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250" w:name="_GoBack"/>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YXZB-20220823</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2022年省级非物质文化遗产代表性传承人抢救性记录工作采购项目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阳江市文化馆</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二二</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八</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YXZB-20220823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2022年省级非物质文化遗产代表性传承人抢救性记录工作采购项目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_Toc27905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_Toc7505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_Toc30712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ind w:left="0" w:left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51987964"/>
      <w:bookmarkStart w:id="2" w:name="_Toc351987768"/>
      <w:bookmarkStart w:id="3" w:name="_Toc369180022"/>
      <w:bookmarkStart w:id="4" w:name="_Toc351988709"/>
      <w:bookmarkStart w:id="5" w:name="_Toc357151175"/>
      <w:bookmarkStart w:id="6" w:name="_Toc353522392"/>
      <w:bookmarkStart w:id="7" w:name="_Toc351990145"/>
    </w:p>
    <w:p>
      <w:pPr>
        <w:pStyle w:val="36"/>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阳江市文化馆</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2022年省级非物质文化遗产代表性传承人抢救性记录工作采购项目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YXZB-20220823</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2022年省级非物质文化遗产代表性传承人抢救性记录工作采购项目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lang w:val="en-US" w:eastAsia="zh-CN"/>
          <w14:textFill>
            <w14:solidFill>
              <w14:schemeClr w14:val="tx1"/>
            </w14:solidFill>
          </w14:textFill>
        </w:rPr>
        <w:t>人民币100000.00元（大写：壹拾万元整）</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w:t>
      </w:r>
      <w:r>
        <w:rPr>
          <w:rFonts w:hint="eastAsia" w:ascii="宋体" w:hAnsi="宋体"/>
          <w:color w:val="000000" w:themeColor="text1"/>
          <w:highlight w:val="none"/>
          <w:lang w:val="en-US" w:eastAsia="zh-CN"/>
          <w14:textFill>
            <w14:solidFill>
              <w14:schemeClr w14:val="tx1"/>
            </w14:solidFill>
          </w14:textFill>
        </w:rPr>
        <w:t>在</w:t>
      </w:r>
      <w:r>
        <w:rPr>
          <w:rFonts w:hint="eastAsia" w:ascii="宋体" w:hAnsi="宋体"/>
          <w:color w:val="000000" w:themeColor="text1"/>
          <w:highlight w:val="none"/>
          <w14:textFill>
            <w14:solidFill>
              <w14:schemeClr w14:val="tx1"/>
            </w14:solidFill>
          </w14:textFill>
        </w:rPr>
        <w:t>2022年12月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前完成</w:t>
      </w:r>
      <w:r>
        <w:rPr>
          <w:rFonts w:hint="eastAsia" w:ascii="宋体" w:hAnsi="宋体"/>
          <w:color w:val="000000" w:themeColor="text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w:t>
      </w:r>
      <w:r>
        <w:rPr>
          <w:rFonts w:hint="eastAsia" w:ascii="宋体" w:hAnsi="宋体"/>
          <w:color w:val="000000" w:themeColor="text1"/>
          <w:highlight w:val="none"/>
          <w14:textFill>
            <w14:solidFill>
              <w14:schemeClr w14:val="tx1"/>
            </w14:solidFill>
          </w14:textFill>
        </w:rPr>
        <w:t>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w:t>
      </w:r>
      <w:r>
        <w:rPr>
          <w:rFonts w:hint="eastAsia" w:ascii="宋体" w:hAnsi="宋体" w:eastAsia="宋体" w:cs="宋体"/>
          <w:color w:val="000000" w:themeColor="text1"/>
          <w:szCs w:val="21"/>
          <w:highlight w:val="none"/>
          <w14:textFill>
            <w14:solidFill>
              <w14:schemeClr w14:val="tx1"/>
            </w14:solidFill>
          </w14:textFill>
        </w:rPr>
        <w:t>件公示时间：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2022年8月23日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2022年8月26日</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left="525" w:leftChars="100" w:hanging="315" w:hanging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以上证件须加盖公章），并与代理采购机构工作人员做好确认工作，未被确认的质疑将作为无效质疑，采购人或代理采购机构可不予作答。</w:t>
      </w:r>
    </w:p>
    <w:p>
      <w:pPr>
        <w:spacing w:line="360" w:lineRule="auto"/>
        <w:ind w:left="420" w:leftChars="100" w:hanging="210" w:hanging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3．获取谈判文件时间及下载：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2022年8月23日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2022年8月26日</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w:t>
      </w:r>
      <w:r>
        <w:rPr>
          <w:rFonts w:hint="eastAsia" w:ascii="宋体" w:hAnsi="宋体" w:eastAsia="宋体" w:cs="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4．获取谈判文件地点：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6．谈判</w:t>
      </w:r>
      <w:r>
        <w:rPr>
          <w:rFonts w:hint="eastAsia" w:ascii="宋体" w:hAnsi="宋体" w:eastAsia="宋体" w:cs="宋体"/>
          <w:bCs/>
          <w:color w:val="000000" w:themeColor="text1"/>
          <w:highlight w:val="none"/>
          <w14:textFill>
            <w14:solidFill>
              <w14:schemeClr w14:val="tx1"/>
            </w14:solidFill>
          </w14:textFill>
        </w:rPr>
        <w:t>文件获取方式：现场发售</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47"/>
          <w:rFonts w:hint="eastAsia" w:ascii="宋体" w:hAnsi="宋体" w:eastAsia="宋体" w:cs="宋体"/>
          <w:color w:val="000000" w:themeColor="text1"/>
          <w:highlight w:val="none"/>
          <w14:textFill>
            <w14:solidFill>
              <w14:schemeClr w14:val="tx1"/>
            </w14:solidFill>
          </w14:textFill>
        </w:rPr>
        <w:t>http://www.yjcg.cc</w:t>
      </w:r>
      <w:r>
        <w:rPr>
          <w:rStyle w:val="47"/>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47"/>
          <w:rFonts w:hint="eastAsia" w:ascii="宋体" w:hAnsi="宋体" w:eastAsia="宋体" w:cs="宋体"/>
          <w:bCs/>
          <w:color w:val="000000" w:themeColor="text1"/>
          <w:szCs w:val="21"/>
          <w:highlight w:val="none"/>
          <w14:textFill>
            <w14:solidFill>
              <w14:schemeClr w14:val="tx1"/>
            </w14:solidFill>
          </w14:textFill>
        </w:rPr>
        <w:t>政府采购资料</w:t>
      </w:r>
      <w:r>
        <w:rPr>
          <w:rStyle w:val="47"/>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递交谈判响应文件</w:t>
      </w:r>
      <w:r>
        <w:rPr>
          <w:rFonts w:hint="eastAsia" w:ascii="宋体" w:hAnsi="宋体" w:eastAsia="宋体" w:cs="宋体"/>
          <w:color w:val="000000" w:themeColor="text1"/>
          <w:kern w:val="0"/>
          <w:szCs w:val="21"/>
          <w:highlight w:val="none"/>
          <w14:textFill>
            <w14:solidFill>
              <w14:schemeClr w14:val="tx1"/>
            </w14:solidFill>
          </w14:textFill>
        </w:rPr>
        <w:t>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2022年8月30日</w:t>
      </w: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:30-1</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:00 (北京时间)。</w:t>
      </w:r>
    </w:p>
    <w:p>
      <w:pPr>
        <w:widowControl/>
        <w:spacing w:line="360" w:lineRule="auto"/>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递交谈判响应文件</w:t>
      </w:r>
      <w:r>
        <w:rPr>
          <w:rFonts w:hint="eastAsia" w:ascii="宋体" w:hAnsi="宋体" w:eastAsia="宋体" w:cs="宋体"/>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报价截止时间（递交谈判响应文件截止时间）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2022年8月30日</w:t>
      </w: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谈判开始时间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2022年8月30日</w:t>
      </w:r>
      <w:r>
        <w:rPr>
          <w:rFonts w:hint="eastAsia" w:ascii="宋体" w:hAnsi="宋体" w:eastAsia="宋体" w:cs="宋体"/>
          <w:color w:val="000000" w:themeColor="text1"/>
          <w:kern w:val="0"/>
          <w:szCs w:val="21"/>
          <w:highlight w:val="none"/>
          <w14:textFill>
            <w14:solidFill>
              <w14:schemeClr w14:val="tx1"/>
            </w14:solidFill>
          </w14:textFill>
        </w:rPr>
        <w:t> 1</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谈判</w:t>
      </w:r>
      <w:r>
        <w:rPr>
          <w:rFonts w:hint="eastAsia" w:ascii="宋体" w:hAnsi="宋体" w:eastAsia="宋体" w:cs="宋体"/>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r>
        <w:rPr>
          <w:rFonts w:hint="eastAsia" w:ascii="宋体" w:hAnsi="宋体" w:eastAsia="宋体" w:cs="宋体"/>
          <w:color w:val="000000" w:themeColor="text1"/>
          <w:szCs w:val="21"/>
          <w:highlight w:val="none"/>
          <w:lang w:eastAsia="zh-CN"/>
          <w14:textFill>
            <w14:solidFill>
              <w14:schemeClr w14:val="tx1"/>
            </w14:solidFill>
          </w14:textFill>
        </w:rPr>
        <w:t>阳江市文化馆</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lang w:val="en-US" w:eastAsia="zh-CN"/>
          <w14:textFill>
            <w14:solidFill>
              <w14:schemeClr w14:val="tx1"/>
            </w14:solidFill>
          </w14:textFill>
        </w:rPr>
        <w:t>戴倩芳</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13542663828</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址：广东省阳江市江城区新江北路文化艺术中心A区阳江市文化馆</w:t>
      </w:r>
    </w:p>
    <w:p>
      <w:pPr>
        <w:widowControl/>
        <w:tabs>
          <w:tab w:val="left" w:pos="502"/>
        </w:tabs>
        <w:adjustRightInd w:val="0"/>
        <w:snapToGrid w:val="0"/>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2.代理采购机构联系方式：</w:t>
      </w:r>
      <w:r>
        <w:rPr>
          <w:rFonts w:hint="eastAsia" w:ascii="宋体" w:hAnsi="宋体" w:eastAsia="宋体" w:cs="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lang w:val="en-US" w:eastAsia="zh-CN"/>
          <w14:textFill>
            <w14:solidFill>
              <w14:schemeClr w14:val="tx1"/>
            </w14:solidFill>
          </w14:textFill>
        </w:rPr>
        <w:t>谢小姐</w:t>
      </w:r>
      <w:r>
        <w:rPr>
          <w:rFonts w:hint="eastAsia" w:ascii="宋体" w:hAnsi="宋体" w:eastAsia="宋体" w:cs="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电话：0662-</w:t>
      </w:r>
      <w:r>
        <w:rPr>
          <w:rFonts w:hint="eastAsia" w:ascii="宋体" w:hAnsi="宋体" w:eastAsia="宋体" w:cs="宋体"/>
          <w:color w:val="000000" w:themeColor="text1"/>
          <w:highlight w:val="none"/>
          <w14:textFill>
            <w14:solidFill>
              <w14:schemeClr w14:val="tx1"/>
            </w14:solidFill>
          </w14:textFill>
        </w:rPr>
        <w:t>3167266</w:t>
      </w:r>
      <w:r>
        <w:rPr>
          <w:rFonts w:hint="eastAsia" w:ascii="宋体" w:hAnsi="宋体" w:eastAsia="宋体" w:cs="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联系地址：</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网址：http://www.yjcg.cc</w:t>
      </w:r>
      <w:bookmarkStart w:id="8" w:name="_Toc353522387"/>
      <w:bookmarkStart w:id="9" w:name="_Toc329242667"/>
      <w:bookmarkStart w:id="10" w:name="_Toc351986193"/>
      <w:bookmarkStart w:id="11" w:name="_Toc351985908"/>
      <w:bookmarkStart w:id="12" w:name="_Toc351986013"/>
      <w:bookmarkStart w:id="13" w:name="_Toc369180017"/>
      <w:bookmarkStart w:id="14" w:name="_Toc351987959"/>
      <w:bookmarkStart w:id="15" w:name="_Toc357151163"/>
      <w:bookmarkStart w:id="16" w:name="_Toc351988704"/>
      <w:bookmarkStart w:id="17" w:name="_Toc351990140"/>
      <w:bookmarkStart w:id="18" w:name="_Toc351987763"/>
    </w:p>
    <w:p>
      <w:pPr>
        <w:spacing w:line="360" w:lineRule="auto"/>
        <w:ind w:firstLine="3255" w:firstLineChars="155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2022年8月23日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452826426"/>
      <w:bookmarkStart w:id="20" w:name="_Toc31370"/>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51987960"/>
      <w:bookmarkStart w:id="23" w:name="_Toc351987764"/>
      <w:bookmarkStart w:id="24" w:name="_Toc357151164"/>
      <w:bookmarkStart w:id="25" w:name="_Toc329242668"/>
      <w:bookmarkStart w:id="26" w:name="_Toc452826427"/>
      <w:bookmarkStart w:id="27" w:name="_Toc351986014"/>
      <w:bookmarkStart w:id="28" w:name="_Toc351986194"/>
      <w:bookmarkStart w:id="29" w:name="_Toc351990141"/>
      <w:bookmarkStart w:id="30" w:name="_Toc351988705"/>
      <w:bookmarkStart w:id="31" w:name="_Toc369180018"/>
      <w:bookmarkStart w:id="32" w:name="_Toc351985909"/>
      <w:bookmarkStart w:id="33" w:name="_Toc353522388"/>
      <w:bookmarkStart w:id="34" w:name="_Toc14112"/>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YXZB-20220823</w:t>
      </w:r>
      <w:bookmarkEnd w:id="34"/>
    </w:p>
    <w:p>
      <w:pPr>
        <w:pStyle w:val="2"/>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353522389"/>
      <w:bookmarkStart w:id="36" w:name="_Toc329242669"/>
      <w:bookmarkStart w:id="37" w:name="_Toc351986195"/>
      <w:bookmarkStart w:id="38" w:name="_Toc351987765"/>
      <w:bookmarkStart w:id="39" w:name="_Toc351990142"/>
      <w:bookmarkStart w:id="40" w:name="_Toc351985910"/>
      <w:bookmarkStart w:id="41" w:name="_Toc351988706"/>
      <w:bookmarkStart w:id="42" w:name="_Toc357151165"/>
      <w:bookmarkStart w:id="43" w:name="_Toc452826428"/>
      <w:bookmarkStart w:id="44" w:name="_Toc351987961"/>
      <w:bookmarkStart w:id="45" w:name="_Toc369180019"/>
      <w:bookmarkStart w:id="46" w:name="_Toc351986015"/>
      <w:bookmarkStart w:id="47" w:name="_Toc6578"/>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2022年省级非物质文化遗产代表性传承人抢救性记录工作采购项目</w:t>
      </w:r>
      <w:bookmarkEnd w:id="47"/>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452826429"/>
      <w:bookmarkStart w:id="49" w:name="_Toc357151166"/>
      <w:bookmarkStart w:id="50" w:name="_Toc351986016"/>
      <w:bookmarkStart w:id="51" w:name="_Toc351990143"/>
      <w:bookmarkStart w:id="52" w:name="_Toc351985911"/>
      <w:bookmarkStart w:id="53" w:name="_Toc351987766"/>
      <w:bookmarkStart w:id="54" w:name="_Toc16941"/>
      <w:bookmarkStart w:id="55" w:name="_Toc351988707"/>
      <w:bookmarkStart w:id="56" w:name="_Toc329242670"/>
      <w:bookmarkStart w:id="57" w:name="_Toc351987962"/>
      <w:bookmarkStart w:id="58" w:name="_Toc369180020"/>
      <w:bookmarkStart w:id="59" w:name="_Toc353522390"/>
      <w:bookmarkStart w:id="60"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包含学术专员的费用、传承人配合拍摄的劳务补贴、本项目的成交服务费和与本项目有关的一切费用。采购人不再支付任何费用。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由采购人按下列程序如期如数支付款项：</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（1）第一次付款：在合同签订生效后10个工作日内，成交供应商提供工作方案，经阳江市文化馆组织的专家审核合格后，采购人向成交供应商支付合同总额的50%。</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（2）第二次付款：记录工作完毕后采购人向成交供应商支付合同总额的30%。</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（3）抢救性记录成果通过阳江市文化馆组织的专家验收后，采购人向成交供应商支付合同总额的20%。</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（4）如因财政资金到位不及时造成的支付延误，采购人免责；</w:t>
            </w:r>
          </w:p>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（5）采购人付款前，成交供应商需提供相应金额的发票，如因成交供应商未能及时提供发票导致付款延误，责任由成交供应商负责。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期满或完成成果后，采购方应对纪录片的成果进行详细而全面检验，如有更改意见及时提出，需要及时更改。检验合格后，由负责人签署验收报告，作为尾款付款凭据之一。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知识产权的要求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1.本项目的知识产权属阳江市文化馆所有，未经采购人书面同意，无论是否被采购人所采用，成交供应商不得对外发布；</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2.采购人提供的资料文件，投标人具有保密义务；</w:t>
            </w:r>
          </w:p>
          <w:p>
            <w:pPr>
              <w:spacing w:line="320" w:lineRule="exac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3.成交供应商为本项目建设而引用、收集其他社会上的文件、软件所涉及的知识产权费用和法律纠纷由投标人自行负责。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成交供应商投入本项目的技术人员应符合广东省省级非物质文化遗产代表性传承人抢救性记录工程操作指南（试行本）（详见附件）相关要求，技术人员应具备大专以上学历，或具有文化艺术、拍摄制作等相关的专业技术职称。</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合同有效期内，成交供应商须提供每周7个工作日×12小时热线和长期免费服务支持，无条件响应阳江市文化馆在该项目上的拍摄时间安排，对阳江市文化馆的服务通知，成交供应商在接报后1小时内响应，3个工作日内处理完毕。</w:t>
            </w:r>
          </w:p>
          <w:p>
            <w:pPr>
              <w:spacing w:line="320" w:lineRule="exac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 投入技术人员（摄影、摄像、剪辑）一人或以上，非遗专业研究人员（历史学、或社会学、或人类学、或民俗学专业</w:t>
            </w:r>
            <w:r>
              <w:rPr>
                <w:rFonts w:hint="eastAsia" w:ascii="宋体" w:hAnsi="宋体" w:cs="宋体"/>
                <w:color w:val="000000" w:themeColor="text1"/>
                <w:highlight w:val="none"/>
                <w:lang w:val="en-US" w:eastAsia="zh-CN"/>
                <w14:textFill>
                  <w14:solidFill>
                    <w14:schemeClr w14:val="tx1"/>
                  </w14:solidFill>
                </w14:textFill>
              </w:rPr>
              <w:t>本科</w:t>
            </w:r>
            <w:r>
              <w:rPr>
                <w:rFonts w:hint="eastAsia" w:ascii="宋体" w:hAnsi="宋体" w:eastAsia="宋体" w:cs="宋体"/>
                <w:color w:val="000000" w:themeColor="text1"/>
                <w:highlight w:val="none"/>
                <w:lang w:val="en-US" w:eastAsia="zh-CN"/>
                <w14:textFill>
                  <w14:solidFill>
                    <w14:schemeClr w14:val="tx1"/>
                  </w14:solidFill>
                </w14:textFill>
              </w:rPr>
              <w:t>或以上学历）一人或以上。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w:t>
            </w:r>
            <w:r>
              <w:rPr>
                <w:rFonts w:hint="eastAsia" w:ascii="宋体" w:hAnsi="宋体" w:eastAsia="宋体" w:cs="宋体"/>
                <w:b/>
                <w:bCs/>
                <w:color w:val="000000" w:themeColor="text1"/>
                <w:szCs w:val="21"/>
                <w:highlight w:val="none"/>
                <w:lang w:val="en-US" w:eastAsia="zh-CN"/>
                <w14:textFill>
                  <w14:solidFill>
                    <w14:schemeClr w14:val="tx1"/>
                  </w14:solidFill>
                </w14:textFill>
              </w:rPr>
              <w:t>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（1）阳江市文化馆拥有本项目以及本项目实施过程中所有采集和拍摄素材的版权，拥有所搜集到的视频、音频、图片、图形、文字等形式资源的使用版权。</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供应商为阳江市文化馆在本项目的唯一合作人，成交供应商在本项目建设过程中可使用“阳江市文化馆制作”的名义。成交供应商不得以阳江市文化馆名义从事与本项目建设无关的活动，否则，阳江市文化馆有权单方面中止合作，并追究成交供应商的一切法律责任。</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（3）按照《工作规范》，组建抢救性记录工作小组，由阳江市文化馆工作人员和相关地市非遗保护中心工作人员担任项目负责人，并在抢救性记录工作小组中起主导作用。</w:t>
            </w:r>
          </w:p>
          <w:p>
            <w:pPr>
              <w:spacing w:line="320" w:lineRule="exac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由阳江市文化馆根据传承人情况确定学术专员，每位传承人记录工作的学术专员不少于1人，负责传承人记录工程的学术工作，担任口述史访谈的采访人，承担口述文字稿的编辑、审校及文献片、综述片的文案审核、审片等工作。阳江市文化馆、成交供应商共同与学术专员签订合作协议，相关费用由成交供应商承担。</w:t>
            </w:r>
            <w:r>
              <w:rPr>
                <w:rFonts w:hint="eastAsia" w:ascii="宋体" w:hAnsi="宋体" w:eastAsia="宋体" w:cs="宋体"/>
                <w:b/>
                <w:bCs/>
                <w:color w:val="000000" w:themeColor="text1"/>
                <w:highlight w:val="none"/>
                <w:lang w:val="en-US" w:eastAsia="zh-CN"/>
                <w14:textFill>
                  <w14:solidFill>
                    <w14:schemeClr w14:val="tx1"/>
                  </w14:solidFill>
                </w14:textFill>
              </w:rPr>
              <w:t>投标时提供承诺函（格式自拟）。</w:t>
            </w:r>
          </w:p>
          <w:p>
            <w:pPr>
              <w:spacing w:line="320" w:lineRule="exac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本项目实施过程中，项目负责人、被采访者、学术专员进行调研、访谈、采集等工作所产生费用由成交供应商承担。采购人有权监督成交供应商在本项目实施全过程中的所有工作，并有权组织本项目相关专家组进行论证、咨询和项目验收。专家论证、咨询和验收的相关费用由成交供应商承担。</w:t>
            </w:r>
            <w:r>
              <w:rPr>
                <w:rFonts w:hint="eastAsia" w:ascii="宋体" w:hAnsi="宋体" w:eastAsia="宋体" w:cs="宋体"/>
                <w:b/>
                <w:bCs/>
                <w:color w:val="000000" w:themeColor="text1"/>
                <w:highlight w:val="none"/>
                <w:lang w:val="en-US" w:eastAsia="zh-CN"/>
                <w14:textFill>
                  <w14:solidFill>
                    <w14:schemeClr w14:val="tx1"/>
                  </w14:solidFill>
                </w14:textFill>
              </w:rPr>
              <w:t>投标时提供承诺函（格式自拟）。</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对传承人进行采集、记录的拍摄计划、具体安排和相关访谈大纲等，应由项目负责人、学术专员与项目建设团队共同商定后方可实施。如果工作小组的工作过程中意见不统一，有关学术方面的问题由学术专员决定，有关拍摄技术和艺术方面的问题由导演决定。若学术和艺术不可兼顾，则应首要保证学术质量。</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（7）本项目的导演、摄像、录音、后期等人员由成交供应商提供，名单须经阳江市文化馆确认。所有人员应签署保密协议，保证抢救性记录工作内容的安全性。</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（8）成交供应商提供的设备须不低于《工作规范》的设备配置要求，并须经阳江市文化馆确认。</w:t>
            </w:r>
          </w:p>
          <w:p>
            <w:pPr>
              <w:spacing w:line="320" w:lineRule="exac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（9）成交供应商提交的内容须经阳江市文化馆指定的本项目专家审核，成交供应商须根据专家审核意见及时作出修改，最终版本要求双方签字确认。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项目提交成果</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（一）本项目文献片（含口述片、项目实践片）交片要求</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1.长期保存级视频资料：提交形式为移动硬盘   数量：3套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2.发布服务级视频资料：提交形式为移动硬盘   数量：3套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（二）口述文字稿交付要求</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1.提交形式为A4纸打印，数量：3套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2.提交形式为移动硬盘（分别提交word版本和PDF版本，其中PDF版本为项目负责人、学术专员和传承人签字确认扫描件）   数量：3套；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（三）本项目原始素材交付要求</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1.原始素材量：本项目实施过程中拍摄、采集的资源素材，资源量应不少于照片1000张、视频素材不少于1200分钟、音频素材不少于600分钟；</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素材整理要求：（1）纸质文献、照片、音频、视频按照相应技术标准和规范进行数字化加工，实物原则上不要求搜集，但需要进行拍摄或扫描；（2）所有原始资料建档，以“传承人姓名＋项目名称”命名一级目录；采集资料、搜集资料并列二级目录，所有资源按相应分类归档；（3）所有照片按照图注制作汇总表（excel表格），内容应包括图注要求的所有信息及图片存储路径。（4）所有材料应进行整理编辑，并编制文献目录。</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3.素材提交形式：（1）以移动硬盘为载体  数量：3套；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（四）工作卷宗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1.提交形式为A4纸打印   数量：3套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2.提交形式为移动硬盘（分别提交word版本和PDF版本）   </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数量：3套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其他要求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在合同履行过程中，采购人将提供必要的配合及协调（包括组织、协调相关非遗项目传承人、保护单位和地方保护工作机构等参与采集与记录工作等）；成交供应商应无条件配合采购人开展的与本项目相关的专家论证、咨询、项目验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贰仟</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20</w:t>
            </w:r>
            <w:r>
              <w:rPr>
                <w:rFonts w:hint="eastAsia" w:ascii="宋体" w:hAnsi="宋体"/>
                <w:b/>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发改价格[2015]299号文的规定，招标代理服务费实行市场调节价。成交供应商在领取《成交通知书》时应一次性交纳招标代理服务费</w:t>
            </w:r>
            <w:r>
              <w:rPr>
                <w:rFonts w:hint="eastAsia" w:ascii="宋体" w:hAnsi="宋体"/>
                <w:bCs/>
                <w:color w:val="000000" w:themeColor="text1"/>
                <w:szCs w:val="21"/>
                <w:highlight w:val="none"/>
                <w:lang w:val="en-US" w:eastAsia="zh-CN"/>
                <w14:textFill>
                  <w14:solidFill>
                    <w14:schemeClr w14:val="tx1"/>
                  </w14:solidFill>
                </w14:textFill>
              </w:rPr>
              <w:t>人民币陆仟元整（￥6000.00元）</w:t>
            </w:r>
            <w:r>
              <w:rPr>
                <w:rFonts w:hint="eastAsia" w:ascii="宋体" w:hAnsi="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51987963"/>
      <w:bookmarkStart w:id="62" w:name="_Toc369180021"/>
      <w:bookmarkStart w:id="63" w:name="_Toc351985912"/>
      <w:bookmarkStart w:id="64" w:name="_Toc329242671"/>
      <w:bookmarkStart w:id="65" w:name="_Toc351986017"/>
      <w:bookmarkStart w:id="66" w:name="_Toc452826430"/>
      <w:bookmarkStart w:id="67" w:name="_Toc351987767"/>
      <w:bookmarkStart w:id="68" w:name="_Toc357151167"/>
      <w:bookmarkStart w:id="69" w:name="_Toc351988708"/>
      <w:bookmarkStart w:id="70" w:name="_Toc351990144"/>
      <w:bookmarkStart w:id="71" w:name="_Toc351986197"/>
      <w:bookmarkStart w:id="72" w:name="_Toc35352239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1960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numPr>
          <w:ilvl w:val="0"/>
          <w:numId w:val="7"/>
        </w:num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项目概况</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为深入贯彻落实《中华人民共和国非物质文化遗产法》和《广东省非物质文化遗产条例》精神，继承和弘扬岭南优秀传统文化，加强对非物质文化遗产的抢救性保护、保存工作，</w:t>
      </w:r>
      <w:r>
        <w:rPr>
          <w:rFonts w:hint="eastAsia" w:ascii="宋体" w:hAnsi="宋体" w:eastAsia="宋体" w:cs="宋体"/>
          <w:color w:val="000000" w:themeColor="text1"/>
          <w:szCs w:val="21"/>
          <w:highlight w:val="none"/>
          <w:lang w:eastAsia="zh-CN"/>
          <w14:textFill>
            <w14:solidFill>
              <w14:schemeClr w14:val="tx1"/>
            </w14:solidFill>
          </w14:textFill>
        </w:rPr>
        <w:t>阳江市非物质文化遗产保护中心根据</w:t>
      </w:r>
      <w:r>
        <w:rPr>
          <w:rFonts w:hint="eastAsia" w:ascii="宋体" w:hAnsi="宋体" w:eastAsia="宋体" w:cs="宋体"/>
          <w:color w:val="000000" w:themeColor="text1"/>
          <w:szCs w:val="21"/>
          <w:highlight w:val="none"/>
          <w14:textFill>
            <w14:solidFill>
              <w14:schemeClr w14:val="tx1"/>
            </w14:solidFill>
          </w14:textFill>
        </w:rPr>
        <w:t>广东省非物质文化遗产保护中心</w:t>
      </w:r>
      <w:r>
        <w:rPr>
          <w:rFonts w:hint="eastAsia" w:ascii="宋体" w:hAnsi="宋体" w:eastAsia="宋体" w:cs="宋体"/>
          <w:color w:val="000000" w:themeColor="text1"/>
          <w:szCs w:val="21"/>
          <w:highlight w:val="none"/>
          <w:lang w:eastAsia="zh-CN"/>
          <w14:textFill>
            <w14:solidFill>
              <w14:schemeClr w14:val="tx1"/>
            </w14:solidFill>
          </w14:textFill>
        </w:rPr>
        <w:t>的工作指导进行</w:t>
      </w:r>
      <w:r>
        <w:rPr>
          <w:rFonts w:hint="eastAsia" w:ascii="宋体" w:hAnsi="宋体" w:eastAsia="宋体" w:cs="宋体"/>
          <w:color w:val="000000" w:themeColor="text1"/>
          <w:szCs w:val="21"/>
          <w:highlight w:val="none"/>
          <w14:textFill>
            <w14:solidFill>
              <w14:schemeClr w14:val="tx1"/>
            </w14:solidFill>
          </w14:textFill>
        </w:rPr>
        <w:t>省级非物质文化遗产代表性传承人记录工作。参照国家级非物质文化遗产代表性传承人抢救性记录标准，</w:t>
      </w:r>
      <w:r>
        <w:rPr>
          <w:rFonts w:hint="eastAsia" w:ascii="宋体" w:hAnsi="宋体" w:eastAsia="宋体" w:cs="宋体"/>
          <w:color w:val="000000" w:themeColor="text1"/>
          <w:szCs w:val="21"/>
          <w:highlight w:val="none"/>
          <w:lang w:eastAsia="zh-CN"/>
          <w14:textFill>
            <w14:solidFill>
              <w14:schemeClr w14:val="tx1"/>
            </w14:solidFill>
          </w14:textFill>
        </w:rPr>
        <w:t>根据</w:t>
      </w:r>
      <w:r>
        <w:rPr>
          <w:rFonts w:hint="eastAsia" w:ascii="宋体" w:hAnsi="宋体" w:eastAsia="宋体" w:cs="宋体"/>
          <w:color w:val="000000" w:themeColor="text1"/>
          <w:szCs w:val="21"/>
          <w:highlight w:val="none"/>
          <w:lang w:val="en-US" w:eastAsia="zh-CN"/>
          <w14:textFill>
            <w14:solidFill>
              <w14:schemeClr w14:val="tx1"/>
            </w14:solidFill>
          </w14:textFill>
        </w:rPr>
        <w:t>广东省省级非物质文化遗产代表性传承人抢救性记录工程操作指南（试行本）的工作指导，我市对阳江小刀制作技艺省级代表性传承人李良辉同志</w:t>
      </w:r>
      <w:r>
        <w:rPr>
          <w:rFonts w:hint="eastAsia" w:ascii="宋体" w:hAnsi="宋体" w:eastAsia="宋体" w:cs="宋体"/>
          <w:color w:val="000000" w:themeColor="text1"/>
          <w:szCs w:val="21"/>
          <w:highlight w:val="none"/>
          <w14:textFill>
            <w14:solidFill>
              <w14:schemeClr w14:val="tx1"/>
            </w14:solidFill>
          </w14:textFill>
        </w:rPr>
        <w:t>开展抢救性记录工作，该工作由</w:t>
      </w:r>
      <w:r>
        <w:rPr>
          <w:rFonts w:hint="eastAsia" w:ascii="宋体" w:hAnsi="宋体" w:eastAsia="宋体" w:cs="宋体"/>
          <w:color w:val="000000" w:themeColor="text1"/>
          <w:szCs w:val="21"/>
          <w:highlight w:val="none"/>
          <w:lang w:eastAsia="zh-CN"/>
          <w14:textFill>
            <w14:solidFill>
              <w14:schemeClr w14:val="tx1"/>
            </w14:solidFill>
          </w14:textFill>
        </w:rPr>
        <w:t>阳江市</w:t>
      </w:r>
      <w:r>
        <w:rPr>
          <w:rFonts w:hint="eastAsia" w:ascii="宋体" w:hAnsi="宋体" w:eastAsia="宋体" w:cs="宋体"/>
          <w:color w:val="000000" w:themeColor="text1"/>
          <w:szCs w:val="21"/>
          <w:highlight w:val="none"/>
          <w14:textFill>
            <w14:solidFill>
              <w14:schemeClr w14:val="tx1"/>
            </w14:solidFill>
          </w14:textFill>
        </w:rPr>
        <w:t>文化馆具体组织实施。</w:t>
      </w:r>
    </w:p>
    <w:p>
      <w:pPr>
        <w:numPr>
          <w:ilvl w:val="0"/>
          <w:numId w:val="7"/>
        </w:num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项目建设内容</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本项目对省级传承人</w:t>
      </w:r>
      <w:r>
        <w:rPr>
          <w:rFonts w:hint="eastAsia" w:ascii="宋体" w:hAnsi="宋体" w:eastAsia="宋体" w:cs="宋体"/>
          <w:color w:val="000000" w:themeColor="text1"/>
          <w:szCs w:val="21"/>
          <w:highlight w:val="none"/>
          <w:lang w:val="en-US" w:eastAsia="zh-CN"/>
          <w14:textFill>
            <w14:solidFill>
              <w14:schemeClr w14:val="tx1"/>
            </w14:solidFill>
          </w14:textFill>
        </w:rPr>
        <w:t>李良辉</w:t>
      </w:r>
      <w:r>
        <w:rPr>
          <w:rFonts w:hint="eastAsia" w:ascii="宋体" w:hAnsi="宋体" w:eastAsia="宋体" w:cs="宋体"/>
          <w:color w:val="000000" w:themeColor="text1"/>
          <w:szCs w:val="21"/>
          <w:highlight w:val="none"/>
          <w14:textFill>
            <w14:solidFill>
              <w14:schemeClr w14:val="tx1"/>
            </w14:solidFill>
          </w14:textFill>
        </w:rPr>
        <w:t>进行抢救性记录工作。参照</w:t>
      </w:r>
      <w:r>
        <w:rPr>
          <w:rFonts w:hint="eastAsia" w:ascii="宋体" w:hAnsi="宋体" w:eastAsia="宋体" w:cs="宋体"/>
          <w:color w:val="000000" w:themeColor="text1"/>
          <w:szCs w:val="21"/>
          <w:highlight w:val="none"/>
          <w:lang w:val="en-US" w:eastAsia="zh-CN"/>
          <w14:textFill>
            <w14:solidFill>
              <w14:schemeClr w14:val="tx1"/>
            </w14:solidFill>
          </w14:textFill>
        </w:rPr>
        <w:t>广东省省级非物质文化遗产代表性传承人抢救性记录工程操作指南（试行本）</w:t>
      </w:r>
      <w:r>
        <w:rPr>
          <w:rFonts w:hint="eastAsia" w:ascii="宋体" w:hAnsi="宋体" w:eastAsia="宋体" w:cs="宋体"/>
          <w:color w:val="000000" w:themeColor="text1"/>
          <w:szCs w:val="21"/>
          <w:highlight w:val="none"/>
          <w14:textFill>
            <w14:solidFill>
              <w14:schemeClr w14:val="tx1"/>
            </w14:solidFill>
          </w14:textFill>
        </w:rPr>
        <w:t>实施</w:t>
      </w:r>
      <w:r>
        <w:rPr>
          <w:rFonts w:hint="eastAsia" w:ascii="宋体" w:hAnsi="宋体" w:eastAsia="宋体" w:cs="宋体"/>
          <w:color w:val="000000" w:themeColor="text1"/>
          <w:szCs w:val="21"/>
          <w:highlight w:val="none"/>
          <w:lang w:eastAsia="zh-CN"/>
          <w14:textFill>
            <w14:solidFill>
              <w14:schemeClr w14:val="tx1"/>
            </w14:solidFill>
          </w14:textFill>
        </w:rPr>
        <w:t>，下面简称《操作指南》</w:t>
      </w:r>
      <w:r>
        <w:rPr>
          <w:rFonts w:hint="eastAsia" w:ascii="宋体" w:hAnsi="宋体" w:eastAsia="宋体" w:cs="宋体"/>
          <w:color w:val="000000" w:themeColor="text1"/>
          <w:szCs w:val="21"/>
          <w:highlight w:val="none"/>
          <w14:textFill>
            <w14:solidFill>
              <w14:schemeClr w14:val="tx1"/>
            </w14:solidFill>
          </w14:textFill>
        </w:rPr>
        <w:t>采用数字多媒体等现代信息技术手段，抢救性采集记录传承人口述、项目实践等内容，调查搜集传承人相关的已有资料，并对原始素材进行整理，从而制作文献片（口述片和项目实践片），编撰口述史文稿，并形成工作卷宗等系列成果。</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（一）抢救性采集、整理与编辑</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以视频采集为主，并辅助以录音、拍照、文字记录等多种方式，对项目代表性传承人进行抢救性采集与记录，采集内容主要包括传承人口述史、传承人项目实践活动等。</w:t>
      </w:r>
    </w:p>
    <w:p>
      <w:pPr>
        <w:spacing w:line="360" w:lineRule="auto"/>
        <w:ind w:firstLine="42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1.传承人口述</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对传承人口述进行科学记录，重点关注传承人的人生经历、从艺经历、个人风格特色、技巧经验，及其背后的民俗背景、文化生态、文化记忆等，访谈时长根据项目规模、访谈体量进行设定，上不设限，对传承人的口述记录至少为5小时以上。</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对传承人的师父、徒弟、家人、同事、研究者、受众等进行访谈，重点关注与传承人相关的历史记忆与实践经验等，通过对相关人员的访谈补充传承人口述的不足之处，有助于科学、完整地梳理传承人的人生经历、从艺经历等，访谈应避免对传承人的主观评价。访谈时长根据项目规模、相关人员情况等进行设定，上不设限。</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2.传承人项目实践</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部分主要采集传承人的项目实践活动，包括时间、地点、场地、环境、过程、受众等，以及传承人的项目实践能力，包括传承人的技艺绝活、经验思想、风格特征、代表作品等。不同类别传承人项目实践的采集内容与量化要求有所不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详见《操作指南》</w:t>
      </w:r>
      <w:r>
        <w:rPr>
          <w:rFonts w:hint="eastAsia" w:ascii="宋体" w:hAnsi="宋体" w:eastAsia="宋体" w:cs="宋体"/>
          <w:color w:val="000000" w:themeColor="text1"/>
          <w:szCs w:val="21"/>
          <w:highlight w:val="none"/>
          <w:lang w:val="en-US" w:eastAsia="zh-CN"/>
          <w14:textFill>
            <w14:solidFill>
              <w14:schemeClr w14:val="tx1"/>
            </w14:solidFill>
          </w14:textFill>
        </w:rPr>
        <w:t>3.2部分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上述采集的资料按照文本、照片、音频、视频进行分类整理（整理要求详见《操作指南》4部分）。</w:t>
      </w:r>
    </w:p>
    <w:p>
      <w:pPr>
        <w:spacing w:line="360" w:lineRule="auto"/>
        <w:ind w:firstLine="422" w:firstLineChars="200"/>
        <w:rPr>
          <w:rFonts w:hint="eastAsia" w:ascii="宋体" w:hAnsi="宋体" w:eastAsia="宋体" w:cs="宋体"/>
          <w:b/>
          <w:color w:val="000000" w:themeColor="text1"/>
          <w:szCs w:val="21"/>
          <w:highlight w:val="none"/>
          <w:lang w:bidi="ar"/>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（二）调查搜集已有资料</w:t>
      </w:r>
    </w:p>
    <w:p>
      <w:pPr>
        <w:spacing w:line="360" w:lineRule="auto"/>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通过缴送、购买、无偿捐赠等方式调查搜集与传承人有关的纸质文献、数字及音像文献和实物文献，其中实物原则上不要求搜集，但需进行拍摄或扫描等数字化保存并登记。</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搜集到的资料按照纸质文献、照片、音频、视频、数字文献和实物进行分类整理、登记，记录工作结项后，所有文献资料统一提交</w:t>
      </w:r>
      <w:r>
        <w:rPr>
          <w:rFonts w:hint="eastAsia" w:ascii="宋体" w:hAnsi="宋体" w:eastAsia="宋体" w:cs="宋体"/>
          <w:color w:val="000000" w:themeColor="text1"/>
          <w:szCs w:val="21"/>
          <w:highlight w:val="none"/>
          <w:lang w:eastAsia="zh-CN"/>
          <w14:textFill>
            <w14:solidFill>
              <w14:schemeClr w14:val="tx1"/>
            </w14:solidFill>
          </w14:textFill>
        </w:rPr>
        <w:t>阳江市</w:t>
      </w:r>
      <w:r>
        <w:rPr>
          <w:rFonts w:hint="eastAsia" w:ascii="宋体" w:hAnsi="宋体" w:eastAsia="宋体" w:cs="宋体"/>
          <w:color w:val="000000" w:themeColor="text1"/>
          <w:szCs w:val="21"/>
          <w:highlight w:val="none"/>
          <w14:textFill>
            <w14:solidFill>
              <w14:schemeClr w14:val="tx1"/>
            </w14:solidFill>
          </w14:textFill>
        </w:rPr>
        <w:t>文化馆。</w:t>
      </w:r>
    </w:p>
    <w:p>
      <w:pPr>
        <w:numPr>
          <w:ilvl w:val="0"/>
          <w:numId w:val="7"/>
        </w:num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项目建设成果与数量</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（一）口述文字稿</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所有口述内容进行文字转录，应分别形成口述速记稿和口述文字稿，文字转录应忠实于讲述者口述。口述速记稿应与口述内容逐句对应，不做任何润色与修饰；口述文字稿应在速记稿基础上进行校对、编辑和适当补充。每位传承人的口述应按访谈的时间顺序形成口述文字稿（含口述速记稿）一套。</w:t>
      </w:r>
    </w:p>
    <w:p>
      <w:pPr>
        <w:numPr>
          <w:ilvl w:val="0"/>
          <w:numId w:val="8"/>
        </w:num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文献片</w:t>
      </w:r>
    </w:p>
    <w:p>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1.口述片：对传承人口述进行编辑整理而形成的系列影像资料，应按照实际访谈时间剪辑，时长上不设限，但应不少于5小时。</w:t>
      </w:r>
      <w:r>
        <w:rPr>
          <w:rFonts w:hint="eastAsia" w:ascii="宋体" w:hAnsi="宋体" w:eastAsia="宋体" w:cs="宋体"/>
          <w:color w:val="000000" w:themeColor="text1"/>
          <w:szCs w:val="21"/>
          <w:highlight w:val="none"/>
          <w:lang w:eastAsia="zh-CN"/>
          <w14:textFill>
            <w14:solidFill>
              <w14:schemeClr w14:val="tx1"/>
            </w14:solidFill>
          </w14:textFill>
        </w:rPr>
        <w:t>形成一部。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2.项目实践片：即按照项目实践或者表演、讲述的先后顺序，以实践活动的基本步骤或者表演的关键环节为单位，完整体现以传承人为中心的项目实践活动的影片。</w:t>
      </w:r>
      <w:r>
        <w:rPr>
          <w:rFonts w:hint="eastAsia" w:ascii="宋体" w:hAnsi="宋体" w:eastAsia="宋体" w:cs="宋体"/>
          <w:color w:val="000000" w:themeColor="text1"/>
          <w:szCs w:val="21"/>
          <w:highlight w:val="none"/>
          <w:lang w:eastAsia="zh-CN"/>
          <w14:textFill>
            <w14:solidFill>
              <w14:schemeClr w14:val="tx1"/>
            </w14:solidFill>
          </w14:textFill>
        </w:rPr>
        <w:t>形成一部</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（三）工作卷宗</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从工作开始、进行到结束后形成的工作内容全套记录文本，包括但不限于电子文本和纸质文本。电子文本包含工作流程相关附件（详见《操作指南》附件15）、口述文字稿、精选照片、收集文献。纸质文本应分类装订成册，包含文本工作流程相关附件（详见《操作指南》附件15）、口述文字稿、精选照片清单。</w:t>
      </w:r>
      <w:r>
        <w:rPr>
          <w:rFonts w:hint="eastAsia" w:ascii="宋体" w:hAnsi="宋体" w:eastAsia="宋体" w:cs="宋体"/>
          <w:color w:val="000000" w:themeColor="text1"/>
          <w:szCs w:val="21"/>
          <w:highlight w:val="none"/>
          <w:lang w:eastAsia="zh-CN"/>
          <w14:textFill>
            <w14:solidFill>
              <w14:schemeClr w14:val="tx1"/>
            </w14:solidFill>
          </w14:textFill>
        </w:rPr>
        <w:t>形成一套</w:t>
      </w:r>
      <w:r>
        <w:rPr>
          <w:rFonts w:hint="eastAsia" w:ascii="宋体" w:hAnsi="宋体" w:eastAsia="宋体" w:cs="宋体"/>
          <w:color w:val="000000" w:themeColor="text1"/>
          <w:szCs w:val="21"/>
          <w:highlight w:val="none"/>
          <w14:textFill>
            <w14:solidFill>
              <w14:schemeClr w14:val="tx1"/>
            </w14:solidFill>
          </w14:textFill>
        </w:rPr>
        <w:t>。</w:t>
      </w:r>
    </w:p>
    <w:p>
      <w:pPr>
        <w:numPr>
          <w:ilvl w:val="0"/>
          <w:numId w:val="7"/>
        </w:num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项目建设技术标准</w:t>
      </w:r>
    </w:p>
    <w:p>
      <w:pPr>
        <w:spacing w:line="360"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（一）视频技术标准</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1.本项目视频源质量应达到广电高清播出级质量，具体执行标准如下：</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信号：PAL制，格式：MPEG2格式，分辨率：1920×1080，采样率：不低于4：2：2，帧速（帧/秒）：25p，码率：不低于50Mbps，音频采样：48kHz。</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2.本项目需要提交给</w:t>
      </w:r>
      <w:r>
        <w:rPr>
          <w:rFonts w:hint="eastAsia" w:ascii="宋体" w:hAnsi="宋体" w:eastAsia="宋体" w:cs="宋体"/>
          <w:color w:val="000000" w:themeColor="text1"/>
          <w:szCs w:val="21"/>
          <w:highlight w:val="none"/>
          <w:lang w:eastAsia="zh-CN"/>
          <w14:textFill>
            <w14:solidFill>
              <w14:schemeClr w14:val="tx1"/>
            </w14:solidFill>
          </w14:textFill>
        </w:rPr>
        <w:t>阳江市</w:t>
      </w:r>
      <w:r>
        <w:rPr>
          <w:rFonts w:hint="eastAsia" w:ascii="宋体" w:hAnsi="宋体" w:eastAsia="宋体" w:cs="宋体"/>
          <w:color w:val="000000" w:themeColor="text1"/>
          <w:szCs w:val="21"/>
          <w:highlight w:val="none"/>
          <w14:textFill>
            <w14:solidFill>
              <w14:schemeClr w14:val="tx1"/>
            </w14:solidFill>
          </w14:textFill>
        </w:rPr>
        <w:t>文化馆二个版本的视频，分别为：</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版本一：长期保存级视频资料，加工标准如下：信号：PAL制，格式：MPEG2格式，分辨率：1920×1080，采样率：不低于4：2：2，帧速（帧/秒）：25p，码率：不低于50Mbps，音频采样：48kHz。 </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版本二：发布服务级视频资料，加工标准如下：MPEG4编码的WMV、FLV或RM格式，视频速率：2000kbps，音频速率：384k，帧速（帧/秒）：25p，音频采样：48kHz。</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3.文献片（含口述片、项目实践片）需按照《操作指南》要求添加片头、片尾和文字字幕等文字信息。</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4.采集的视频资料按受访者口述、空镜进行分类整理。</w:t>
      </w:r>
    </w:p>
    <w:p>
      <w:pPr>
        <w:spacing w:line="360" w:lineRule="auto"/>
        <w:ind w:firstLine="413" w:firstLineChars="196"/>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（二）拍摄技术标准</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1.口述访谈的拍摄至少使用三台摄像机，一台拍摄受访人中近景，第二台拍摄采访人中近景，第三台可灵活调度，拍摄双人全景、双人近景与特写等。</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2.项目实践的拍摄至少使用三台摄像机，包括1个全景机位、1个中近景机位和1个可灵活调度的游机。</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3.摄像应使用全手动控制，保证拍摄质量。</w:t>
      </w:r>
    </w:p>
    <w:p>
      <w:pPr>
        <w:spacing w:line="360"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（三）音频技术标准</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使用外接麦克风进行录音，最好选择领带夹式无线麦克风。摄影机在连接外界麦克风的同时要保留一路参考音（一般情况下，参考音应在一路，外界麦克风应接二路）。每次访谈开始前应调整录音电平，在-3db～-20db之间。同时，用一部数字录音机（录音笔）进行参考音录制，格式要求为WAV或MP3。</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2.采集的音频资料按受访者口述、项目实践等进行分类整理。</w:t>
      </w:r>
    </w:p>
    <w:p>
      <w:pPr>
        <w:spacing w:line="360"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（四）照片技术标准</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1.拍摄照片要求为清晰的数码图片，像素在1000万以上，放大至12寸后不模糊；格式一般要求为JPEG，关键环节要求RAW格式；照片应保持原真性，不做任何修改。</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照片</w:t>
      </w:r>
      <w:r>
        <w:rPr>
          <w:rFonts w:hint="eastAsia" w:ascii="宋体" w:hAnsi="宋体" w:eastAsia="宋体" w:cs="宋体"/>
          <w:color w:val="000000" w:themeColor="text1"/>
          <w:szCs w:val="21"/>
          <w:highlight w:val="none"/>
          <w14:textFill>
            <w14:solidFill>
              <w14:schemeClr w14:val="tx1"/>
            </w14:solidFill>
          </w14:textFill>
        </w:rPr>
        <w:t>按照肖像照、代表作品、环境照片等主要内容分类保存。</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照片图注要求：名称＋内容＋场所，如“薛生金，堆鼓工艺，薛生金工作室”。并根据照片性质增加其他标注信息，如传承照片，需注明徒弟身份及姓名；参加活动或现场表演照片，其他重要人物需标明身份及姓名；代表作品照片需标明名称、创作时间、合作创作者姓名、尺寸及材质等内容。</w:t>
      </w:r>
    </w:p>
    <w:p>
      <w:pPr>
        <w:spacing w:line="360"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（五）文字记录技术标准</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口述史文字记录要忠实于讲述者口述，不做润色与修饰，讲述中涉及到的时间、地点、事件、人名、作品名等需参考相关资料，进行核实，做好校注，成稿后需经学术专员和受访者查验。（详见《操作指南》4.2）</w:t>
      </w:r>
    </w:p>
    <w:p>
      <w:pPr>
        <w:spacing w:line="360"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（六）文献整理、编目技术标准</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对项目建设中所有资料进行数字化，并按照视频、音频、图片、文本等载体类型进行分类整理，相关标准详见《操作指南》4.1.1；对文献片、精选照片等进行简单编目，元数据编目详见《操作指南》4.</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w:t>
      </w:r>
    </w:p>
    <w:p>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对项目建设中的采集文献（包括视频、音频、图片等），按照采购人要求及相关编目标准，进行著录和编目。</w:t>
      </w:r>
    </w:p>
    <w:p>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p>
    <w:p>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广东省省级非物质文化遗产代表性传承人抢救性记录工程操作指南 （试行本）</w:t>
      </w:r>
    </w:p>
    <w:p>
      <w:pPr>
        <w:spacing w:line="360" w:lineRule="auto"/>
        <w:rPr>
          <w:rFonts w:ascii="宋体" w:hAnsi="宋体"/>
          <w:color w:val="000000" w:themeColor="text1"/>
          <w:sz w:val="24"/>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1157"/>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4"/>
    </w:p>
    <w:p>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5" w:name="_Toc434832495"/>
      <w:bookmarkStart w:id="76" w:name="_Toc28466"/>
      <w:r>
        <w:rPr>
          <w:rFonts w:hint="eastAsia" w:ascii="宋体" w:hAnsi="宋体" w:eastAsia="宋体"/>
          <w:color w:val="000000" w:themeColor="text1"/>
          <w:sz w:val="21"/>
          <w:szCs w:val="21"/>
          <w:highlight w:val="none"/>
          <w14:textFill>
            <w14:solidFill>
              <w14:schemeClr w14:val="tx1"/>
            </w14:solidFill>
          </w14:textFill>
        </w:rPr>
        <w:t>投标人须知前附表</w:t>
      </w:r>
      <w:bookmarkEnd w:id="75"/>
      <w:bookmarkEnd w:id="76"/>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8"/>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7"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7"/>
    </w:p>
    <w:p>
      <w:pPr>
        <w:pStyle w:val="4"/>
        <w:spacing w:line="360" w:lineRule="auto"/>
        <w:rPr>
          <w:rFonts w:ascii="宋体" w:hAnsi="宋体"/>
          <w:color w:val="000000" w:themeColor="text1"/>
          <w:sz w:val="21"/>
          <w:szCs w:val="21"/>
          <w:highlight w:val="none"/>
          <w14:textFill>
            <w14:solidFill>
              <w14:schemeClr w14:val="tx1"/>
            </w14:solidFill>
          </w14:textFill>
        </w:rPr>
      </w:pPr>
      <w:bookmarkStart w:id="78" w:name="_Toc28635"/>
      <w:bookmarkStart w:id="79"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8"/>
      <w:bookmarkEnd w:id="7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2022年省级非物质文化遗产代表性传承人抢救性记录工作采购项目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0" w:name="_Toc835"/>
      <w:bookmarkStart w:id="81"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0"/>
      <w:bookmarkEnd w:id="81"/>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阳江市文化馆</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2" w:name="_Toc17042"/>
      <w:bookmarkStart w:id="83"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2"/>
      <w:bookmarkEnd w:id="83"/>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4" w:name="_Toc367780307"/>
      <w:bookmarkStart w:id="85" w:name="_Toc11006"/>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4"/>
      <w:bookmarkEnd w:id="8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6" w:name="_Toc367780308"/>
      <w:bookmarkStart w:id="87" w:name="_Toc1506"/>
      <w:r>
        <w:rPr>
          <w:rFonts w:hint="eastAsia" w:ascii="宋体" w:hAnsi="宋体" w:eastAsia="宋体"/>
          <w:color w:val="000000" w:themeColor="text1"/>
          <w:sz w:val="21"/>
          <w:szCs w:val="21"/>
          <w:highlight w:val="none"/>
          <w14:textFill>
            <w14:solidFill>
              <w14:schemeClr w14:val="tx1"/>
            </w14:solidFill>
          </w14:textFill>
        </w:rPr>
        <w:t>Ｂ谈判文件说明</w:t>
      </w:r>
      <w:bookmarkEnd w:id="86"/>
      <w:bookmarkEnd w:id="87"/>
    </w:p>
    <w:p>
      <w:pPr>
        <w:pStyle w:val="4"/>
        <w:spacing w:line="360" w:lineRule="auto"/>
        <w:rPr>
          <w:rFonts w:ascii="宋体" w:hAnsi="宋体"/>
          <w:color w:val="000000" w:themeColor="text1"/>
          <w:sz w:val="21"/>
          <w:szCs w:val="21"/>
          <w:highlight w:val="none"/>
          <w14:textFill>
            <w14:solidFill>
              <w14:schemeClr w14:val="tx1"/>
            </w14:solidFill>
          </w14:textFill>
        </w:rPr>
      </w:pPr>
      <w:bookmarkStart w:id="88" w:name="_Toc367780309"/>
      <w:bookmarkStart w:id="89" w:name="_Toc2538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8"/>
      <w:bookmarkEnd w:id="8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0" w:name="_Toc16915"/>
      <w:bookmarkStart w:id="91"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0"/>
      <w:bookmarkEnd w:id="9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2" w:name="_Toc367780311"/>
      <w:bookmarkStart w:id="93" w:name="_Toc16127"/>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2"/>
      <w:bookmarkEnd w:id="9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1"/>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4" w:name="_Toc16791"/>
      <w:bookmarkStart w:id="95"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4"/>
      <w:bookmarkEnd w:id="95"/>
    </w:p>
    <w:p>
      <w:pPr>
        <w:pStyle w:val="4"/>
        <w:spacing w:line="360" w:lineRule="auto"/>
        <w:rPr>
          <w:rFonts w:ascii="宋体" w:hAnsi="宋体"/>
          <w:color w:val="000000" w:themeColor="text1"/>
          <w:sz w:val="21"/>
          <w:szCs w:val="21"/>
          <w:highlight w:val="none"/>
          <w14:textFill>
            <w14:solidFill>
              <w14:schemeClr w14:val="tx1"/>
            </w14:solidFill>
          </w14:textFill>
        </w:rPr>
      </w:pPr>
      <w:bookmarkStart w:id="96" w:name="_Toc15144"/>
      <w:bookmarkStart w:id="97"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6"/>
      <w:bookmarkEnd w:id="9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8" w:name="_Toc367780314"/>
      <w:bookmarkStart w:id="99" w:name="_Toc16918"/>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8"/>
      <w:bookmarkEnd w:id="9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0" w:name="_Toc367780315"/>
      <w:bookmarkStart w:id="101" w:name="_Toc11096"/>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0"/>
      <w:bookmarkEnd w:id="1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2"/>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2"/>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2" w:name="_Toc10913"/>
      <w:bookmarkStart w:id="103"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2"/>
      <w:bookmarkEnd w:id="103"/>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4" w:name="_Toc367780317"/>
      <w:bookmarkStart w:id="105" w:name="_Toc7181"/>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4"/>
      <w:bookmarkEnd w:id="105"/>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3"/>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3"/>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3"/>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6" w:name="_Toc367780318"/>
      <w:bookmarkStart w:id="107" w:name="_Toc22690"/>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6"/>
      <w:bookmarkEnd w:id="10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8" w:name="_Toc367780319"/>
      <w:bookmarkStart w:id="109" w:name="_Toc5192"/>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8"/>
      <w:bookmarkEnd w:id="109"/>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0" w:name="_Toc367780320"/>
      <w:bookmarkStart w:id="111" w:name="_Toc24912"/>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0"/>
      <w:bookmarkEnd w:id="111"/>
    </w:p>
    <w:p>
      <w:pPr>
        <w:widowControl/>
        <w:numPr>
          <w:ilvl w:val="1"/>
          <w:numId w:val="14"/>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4"/>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4"/>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2" w:name="_Toc367780321"/>
      <w:bookmarkStart w:id="113" w:name="_Toc15803"/>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2"/>
      <w:bookmarkEnd w:id="113"/>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4" w:name="_Toc21414"/>
      <w:bookmarkStart w:id="115"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4"/>
      <w:bookmarkEnd w:id="11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6" w:name="_Toc367780323"/>
      <w:bookmarkStart w:id="117" w:name="_Toc28498"/>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6"/>
      <w:bookmarkEnd w:id="117"/>
    </w:p>
    <w:p>
      <w:pPr>
        <w:pStyle w:val="4"/>
        <w:spacing w:line="360" w:lineRule="auto"/>
        <w:rPr>
          <w:rFonts w:ascii="宋体" w:hAnsi="宋体"/>
          <w:color w:val="000000" w:themeColor="text1"/>
          <w:sz w:val="21"/>
          <w:szCs w:val="21"/>
          <w:highlight w:val="none"/>
          <w14:textFill>
            <w14:solidFill>
              <w14:schemeClr w14:val="tx1"/>
            </w14:solidFill>
          </w14:textFill>
        </w:rPr>
      </w:pPr>
      <w:bookmarkStart w:id="118" w:name="_Toc367780324"/>
      <w:bookmarkStart w:id="119" w:name="_Toc10033"/>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8"/>
      <w:bookmarkEnd w:id="119"/>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0" w:name="_Toc367780325"/>
      <w:bookmarkStart w:id="121" w:name="_Toc13662"/>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0"/>
      <w:bookmarkEnd w:id="121"/>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2" w:name="_Toc367780326"/>
      <w:bookmarkStart w:id="123" w:name="_Toc977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2"/>
      <w:bookmarkEnd w:id="123"/>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4" w:name="_Toc367780327"/>
      <w:bookmarkStart w:id="125" w:name="_Toc2972"/>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4"/>
      <w:bookmarkEnd w:id="12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6" w:name="_Toc367780328"/>
      <w:bookmarkStart w:id="127" w:name="_Toc21983"/>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6"/>
      <w:bookmarkEnd w:id="127"/>
    </w:p>
    <w:p>
      <w:pPr>
        <w:pStyle w:val="4"/>
        <w:spacing w:line="360" w:lineRule="auto"/>
        <w:rPr>
          <w:rFonts w:ascii="宋体" w:hAnsi="宋体"/>
          <w:color w:val="000000" w:themeColor="text1"/>
          <w:sz w:val="21"/>
          <w:szCs w:val="21"/>
          <w:highlight w:val="none"/>
          <w14:textFill>
            <w14:solidFill>
              <w14:schemeClr w14:val="tx1"/>
            </w14:solidFill>
          </w14:textFill>
        </w:rPr>
      </w:pPr>
      <w:bookmarkStart w:id="128" w:name="_Toc24817"/>
      <w:bookmarkStart w:id="129"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8"/>
      <w:bookmarkEnd w:id="12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0" w:name="_Toc367780330"/>
      <w:bookmarkStart w:id="131" w:name="_Toc13791"/>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0"/>
      <w:bookmarkEnd w:id="13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2" w:name="_Toc31126"/>
      <w:bookmarkStart w:id="133"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2"/>
      <w:bookmarkEnd w:id="1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4" w:name="_Toc14363"/>
      <w:bookmarkStart w:id="135"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4"/>
      <w:bookmarkEnd w:id="135"/>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6" w:name="_Toc11265"/>
      <w:bookmarkStart w:id="137"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6"/>
      <w:bookmarkEnd w:id="13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8" w:name="_Toc7323"/>
      <w:bookmarkStart w:id="139"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8"/>
      <w:bookmarkEnd w:id="139"/>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0" w:name="_Toc367780335"/>
      <w:bookmarkStart w:id="141" w:name="_Toc559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0"/>
      <w:bookmarkEnd w:id="141"/>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2" w:name="_Toc367780336"/>
      <w:bookmarkStart w:id="143" w:name="_Toc31007"/>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2"/>
      <w:bookmarkEnd w:id="143"/>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4" w:name="_Toc367780337"/>
      <w:bookmarkStart w:id="145" w:name="_Toc4532"/>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4"/>
      <w:bookmarkEnd w:id="145"/>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6" w:name="_Toc367780338"/>
      <w:bookmarkStart w:id="147" w:name="_Toc12931"/>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6"/>
      <w:bookmarkEnd w:id="147"/>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8" w:name="_Toc15196"/>
      <w:bookmarkStart w:id="149"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8"/>
      <w:bookmarkEnd w:id="149"/>
    </w:p>
    <w:p>
      <w:pPr>
        <w:pStyle w:val="4"/>
        <w:spacing w:line="360" w:lineRule="auto"/>
        <w:rPr>
          <w:rFonts w:ascii="宋体" w:hAnsi="宋体"/>
          <w:color w:val="000000" w:themeColor="text1"/>
          <w:sz w:val="21"/>
          <w:szCs w:val="21"/>
          <w:highlight w:val="none"/>
          <w14:textFill>
            <w14:solidFill>
              <w14:schemeClr w14:val="tx1"/>
            </w14:solidFill>
          </w14:textFill>
        </w:rPr>
      </w:pPr>
      <w:bookmarkStart w:id="150" w:name="_Toc367780340"/>
      <w:bookmarkStart w:id="151" w:name="_Toc7728"/>
      <w:r>
        <w:rPr>
          <w:rFonts w:hint="eastAsia" w:ascii="宋体" w:hAnsi="宋体"/>
          <w:color w:val="000000" w:themeColor="text1"/>
          <w:sz w:val="21"/>
          <w:szCs w:val="21"/>
          <w:highlight w:val="none"/>
          <w14:textFill>
            <w14:solidFill>
              <w14:schemeClr w14:val="tx1"/>
            </w14:solidFill>
          </w14:textFill>
        </w:rPr>
        <w:t>32     接受和拒绝投标的权利</w:t>
      </w:r>
      <w:bookmarkEnd w:id="150"/>
      <w:bookmarkEnd w:id="15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52" w:name="_Toc367780341"/>
      <w:bookmarkStart w:id="153" w:name="_Toc1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54" w:name="_Toc367780342"/>
      <w:bookmarkStart w:id="155" w:name="_Toc29735"/>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4"/>
      <w:bookmarkEnd w:id="155"/>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6"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157" w:name="_Toc430771059"/>
      <w:bookmarkStart w:id="158" w:name="_Toc432682726"/>
      <w:bookmarkStart w:id="159" w:name="_Toc24763"/>
      <w:bookmarkStart w:id="160" w:name="_Toc499041071"/>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
      <w:bookmarkEnd w:id="158"/>
      <w:bookmarkEnd w:id="159"/>
      <w:bookmarkEnd w:id="16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 w:name="_Toc430185803"/>
      <w:bookmarkStart w:id="162"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3"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
      <w:bookmarkEnd w:id="162"/>
      <w:bookmarkEnd w:id="16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4" w:name="_Toc430771061"/>
      <w:bookmarkStart w:id="165"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4"/>
      <w:bookmarkEnd w:id="16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6" w:name="_Toc430185805"/>
      <w:bookmarkStart w:id="167"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6"/>
      <w:bookmarkEnd w:id="16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8" w:name="_Toc430771063"/>
      <w:bookmarkStart w:id="169"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8"/>
      <w:bookmarkEnd w:id="169"/>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0" w:name="_Toc15987"/>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6"/>
      <w:bookmarkEnd w:id="170"/>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6"/>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6"/>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7"/>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7"/>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00"/>
      <w:bookmarkStart w:id="172"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1"/>
      <w:bookmarkEnd w:id="172"/>
    </w:p>
    <w:p>
      <w:pPr>
        <w:pStyle w:val="2"/>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3" w:name="_Toc6392"/>
      <w:bookmarkStart w:id="174" w:name="_Toc200414513"/>
      <w:r>
        <w:rPr>
          <w:rFonts w:hint="eastAsia" w:ascii="宋体" w:hAnsi="宋体" w:eastAsia="宋体"/>
          <w:color w:val="000000" w:themeColor="text1"/>
          <w:highlight w:val="none"/>
          <w14:textFill>
            <w14:solidFill>
              <w14:schemeClr w14:val="tx1"/>
            </w14:solidFill>
          </w14:textFill>
        </w:rPr>
        <w:t>封面格式</w:t>
      </w:r>
      <w:bookmarkEnd w:id="173"/>
      <w:bookmarkEnd w:id="174"/>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8"/>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8"/>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8"/>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8"/>
        <w:spacing w:line="360" w:lineRule="auto"/>
        <w:jc w:val="center"/>
        <w:rPr>
          <w:rFonts w:ascii="宋体" w:hAnsi="宋体"/>
          <w:bCs/>
          <w:color w:val="000000" w:themeColor="text1"/>
          <w:szCs w:val="24"/>
          <w:highlight w:val="none"/>
          <w14:textFill>
            <w14:solidFill>
              <w14:schemeClr w14:val="tx1"/>
            </w14:solidFill>
          </w14:textFill>
        </w:rPr>
      </w:pPr>
    </w:p>
    <w:p>
      <w:pPr>
        <w:pStyle w:val="8"/>
        <w:spacing w:line="360" w:lineRule="auto"/>
        <w:jc w:val="center"/>
        <w:rPr>
          <w:rFonts w:ascii="宋体" w:hAnsi="宋体"/>
          <w:bCs/>
          <w:color w:val="000000" w:themeColor="text1"/>
          <w:szCs w:val="24"/>
          <w:highlight w:val="none"/>
          <w14:textFill>
            <w14:solidFill>
              <w14:schemeClr w14:val="tx1"/>
            </w14:solidFill>
          </w14:textFill>
        </w:rPr>
      </w:pPr>
    </w:p>
    <w:p>
      <w:pPr>
        <w:pStyle w:val="8"/>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YXZB-20220823</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8"/>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8"/>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5" w:name="_Toc200414514"/>
      <w:bookmarkStart w:id="176" w:name="_Toc9461"/>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5"/>
      <w:bookmarkEnd w:id="176"/>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7" w:name="_Toc27905"/>
      <w:bookmarkStart w:id="178"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7"/>
      <w:bookmarkEnd w:id="178"/>
    </w:p>
    <w:p>
      <w:pPr>
        <w:pStyle w:val="8"/>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79" w:name="_Toc200414516"/>
      <w:bookmarkStart w:id="180" w:name="_Toc18755"/>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79"/>
      <w:bookmarkEnd w:id="180"/>
    </w:p>
    <w:p>
      <w:pPr>
        <w:pStyle w:val="8"/>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1" w:name="_Toc200414517"/>
      <w:bookmarkStart w:id="182" w:name="_Toc2815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1"/>
      <w:bookmarkEnd w:id="182"/>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3" w:name="_Toc200414522"/>
      <w:bookmarkStart w:id="184" w:name="_Toc3908"/>
      <w:r>
        <w:rPr>
          <w:rFonts w:hint="eastAsia" w:ascii="宋体" w:hAnsi="宋体" w:eastAsia="宋体"/>
          <w:color w:val="000000" w:themeColor="text1"/>
          <w:sz w:val="28"/>
          <w:szCs w:val="28"/>
          <w:highlight w:val="none"/>
          <w14:textFill>
            <w14:solidFill>
              <w14:schemeClr w14:val="tx1"/>
            </w14:solidFill>
          </w14:textFill>
        </w:rPr>
        <w:t>（四）</w:t>
      </w:r>
      <w:bookmarkEnd w:id="183"/>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4"/>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2"/>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5" w:name="_Toc2365"/>
      <w:bookmarkStart w:id="186"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5"/>
      <w:bookmarkEnd w:id="186"/>
    </w:p>
    <w:p>
      <w:pPr>
        <w:pStyle w:val="2"/>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7" w:name="_Toc7505"/>
      <w:bookmarkStart w:id="188"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7"/>
      <w:bookmarkEnd w:id="188"/>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9" w:name="_Toc18631"/>
      <w:bookmarkStart w:id="190"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89"/>
      <w:bookmarkEnd w:id="19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1" w:name="_Toc200414527"/>
      <w:bookmarkStart w:id="192" w:name="_Toc1604"/>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1"/>
      <w:bookmarkEnd w:id="19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8"/>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8"/>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8"/>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3" w:name="_Toc200414528"/>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4" w:name="_Toc26982"/>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3"/>
      <w:bookmarkEnd w:id="19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200414529"/>
      <w:bookmarkStart w:id="196" w:name="_Toc7077"/>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5"/>
      <w:bookmarkEnd w:id="19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9894"/>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bl>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8"/>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8" w:name="_Toc430771089"/>
      <w:bookmarkStart w:id="199" w:name="_Toc432682754"/>
      <w:bookmarkStart w:id="200" w:name="_Toc432695229"/>
      <w:bookmarkStart w:id="201" w:name="_Toc7149"/>
      <w:bookmarkStart w:id="202" w:name="_Toc16980"/>
      <w:bookmarkStart w:id="203" w:name="_Toc342060405"/>
      <w:bookmarkStart w:id="204" w:name="_Toc333237819"/>
      <w:bookmarkStart w:id="205" w:name="_Toc339020045"/>
      <w:bookmarkStart w:id="206" w:name="_Toc342296791"/>
      <w:bookmarkStart w:id="207" w:name="_Toc333935717"/>
      <w:bookmarkStart w:id="208" w:name="_Toc339019919"/>
      <w:bookmarkStart w:id="209" w:name="_Toc365985211"/>
      <w:bookmarkStart w:id="210" w:name="_Toc332270377"/>
      <w:bookmarkStart w:id="211" w:name="_Toc345312627"/>
      <w:bookmarkStart w:id="212" w:name="_Toc336681610"/>
      <w:bookmarkStart w:id="213" w:name="_Toc350438779"/>
      <w:bookmarkStart w:id="214" w:name="_Toc339362330"/>
      <w:bookmarkStart w:id="215" w:name="_Toc102451601"/>
      <w:bookmarkStart w:id="216" w:name="_Toc339020125"/>
      <w:bookmarkStart w:id="217" w:name="_Toc343612950"/>
      <w:bookmarkStart w:id="218" w:name="_Toc342398160"/>
      <w:bookmarkStart w:id="219" w:name="_Toc333935376"/>
      <w:bookmarkStart w:id="220" w:name="_Toc343248448"/>
      <w:bookmarkStart w:id="221" w:name="_Toc343247130"/>
      <w:bookmarkStart w:id="222" w:name="_Toc331684072"/>
      <w:bookmarkStart w:id="223" w:name="_Toc339020263"/>
      <w:bookmarkStart w:id="224" w:name="_Toc339441117"/>
      <w:bookmarkStart w:id="225" w:name="_Toc331512931"/>
      <w:bookmarkStart w:id="226" w:name="_Toc330460016"/>
      <w:bookmarkStart w:id="227" w:name="_Toc333237708"/>
      <w:bookmarkStart w:id="228" w:name="_Toc340677100"/>
      <w:bookmarkStart w:id="229" w:name="_Toc342312473"/>
      <w:bookmarkStart w:id="230" w:name="_Toc333238664"/>
      <w:bookmarkStart w:id="231" w:name="_Toc366072562"/>
      <w:bookmarkStart w:id="232" w:name="_Toc340672899"/>
      <w:bookmarkStart w:id="233" w:name="_Toc337632388"/>
      <w:bookmarkStart w:id="234" w:name="_Toc340507472"/>
      <w:bookmarkStart w:id="235" w:name="_Toc350756480"/>
      <w:bookmarkStart w:id="236" w:name="_Toc341348370"/>
      <w:bookmarkStart w:id="237" w:name="_Toc336681965"/>
      <w:bookmarkStart w:id="238" w:name="_Toc332206739"/>
      <w:bookmarkStart w:id="239" w:name="_Toc365967105"/>
      <w:bookmarkStart w:id="240"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8"/>
      <w:bookmarkEnd w:id="199"/>
      <w:bookmarkEnd w:id="200"/>
      <w:bookmarkEnd w:id="201"/>
      <w:bookmarkEnd w:id="20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Style w:val="2"/>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1" w:name="_Toc32373"/>
      <w:bookmarkStart w:id="242" w:name="_Toc20242"/>
      <w:bookmarkStart w:id="243" w:name="_Toc4968"/>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1"/>
      <w:bookmarkEnd w:id="242"/>
      <w:bookmarkEnd w:id="24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4" w:name="_Toc25923"/>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0"/>
      <w:bookmarkEnd w:id="24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19485"/>
      <w:bookmarkStart w:id="246"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5"/>
      <w:bookmarkEnd w:id="246"/>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8"/>
        <w:spacing w:line="360" w:lineRule="auto"/>
        <w:rPr>
          <w:rFonts w:ascii="宋体" w:hAnsi="宋体"/>
          <w:color w:val="000000" w:themeColor="text1"/>
          <w:szCs w:val="21"/>
          <w:highlight w:val="none"/>
          <w14:textFill>
            <w14:solidFill>
              <w14:schemeClr w14:val="tx1"/>
            </w14:solidFill>
          </w14:textFill>
        </w:rPr>
      </w:pP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7" w:name="_Toc16191"/>
      <w:bookmarkStart w:id="248" w:name="_Toc434832511"/>
      <w:r>
        <w:rPr>
          <w:rFonts w:hint="eastAsia" w:ascii="宋体" w:hAnsi="宋体" w:eastAsia="宋体"/>
          <w:color w:val="000000" w:themeColor="text1"/>
          <w:sz w:val="52"/>
          <w:highlight w:val="none"/>
          <w14:textFill>
            <w14:solidFill>
              <w14:schemeClr w14:val="tx1"/>
            </w14:solidFill>
          </w14:textFill>
        </w:rPr>
        <w:t>其 他 格 式</w:t>
      </w:r>
      <w:bookmarkEnd w:id="247"/>
      <w:bookmarkEnd w:id="24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rFonts w:ascii="宋体" w:hAnsi="宋体"/>
          <w:color w:val="000000" w:themeColor="text1"/>
          <w:sz w:val="28"/>
          <w:highlight w:val="none"/>
          <w14:textFill>
            <w14:solidFill>
              <w14:schemeClr w14:val="tx1"/>
            </w14:solidFill>
          </w14:textFill>
        </w:rPr>
      </w:pPr>
      <w:bookmarkStart w:id="249" w:name="_Toc30712"/>
      <w:r>
        <w:rPr>
          <w:rFonts w:hint="eastAsia" w:ascii="宋体" w:hAnsi="宋体"/>
          <w:color w:val="000000" w:themeColor="text1"/>
          <w:sz w:val="28"/>
          <w:highlight w:val="none"/>
          <w14:textFill>
            <w14:solidFill>
              <w14:schemeClr w14:val="tx1"/>
            </w14:solidFill>
          </w14:textFill>
        </w:rPr>
        <w:t>投标保证金退付书</w:t>
      </w:r>
      <w:bookmarkEnd w:id="249"/>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bookmarkEnd w:id="250"/>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2AE2202"/>
    <w:multiLevelType w:val="multilevel"/>
    <w:tmpl w:val="52AE2202"/>
    <w:lvl w:ilvl="0" w:tentative="0">
      <w:start w:val="1"/>
      <w:numFmt w:val="japaneseCounting"/>
      <w:lvlText w:val="%1、"/>
      <w:lvlJc w:val="left"/>
      <w:pPr>
        <w:tabs>
          <w:tab w:val="left" w:pos="833"/>
        </w:tabs>
        <w:ind w:left="833" w:hanging="42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13">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4">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6">
    <w:nsid w:val="6BE942C2"/>
    <w:multiLevelType w:val="singleLevel"/>
    <w:tmpl w:val="6BE942C2"/>
    <w:lvl w:ilvl="0" w:tentative="0">
      <w:start w:val="2"/>
      <w:numFmt w:val="chineseCounting"/>
      <w:suff w:val="nothing"/>
      <w:lvlText w:val="（%1）"/>
      <w:lvlJc w:val="left"/>
      <w:rPr>
        <w:rFonts w:hint="eastAsia"/>
      </w:rPr>
    </w:lvl>
  </w:abstractNum>
  <w:abstractNum w:abstractNumId="17">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8">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5"/>
  </w:num>
  <w:num w:numId="3">
    <w:abstractNumId w:val="2"/>
  </w:num>
  <w:num w:numId="4">
    <w:abstractNumId w:val="1"/>
  </w:num>
  <w:num w:numId="5">
    <w:abstractNumId w:val="0"/>
  </w:num>
  <w:num w:numId="6">
    <w:abstractNumId w:val="4"/>
  </w:num>
  <w:num w:numId="7">
    <w:abstractNumId w:val="12"/>
  </w:num>
  <w:num w:numId="8">
    <w:abstractNumId w:val="16"/>
  </w:num>
  <w:num w:numId="9">
    <w:abstractNumId w:val="7"/>
  </w:num>
  <w:num w:numId="10">
    <w:abstractNumId w:val="8"/>
  </w:num>
  <w:num w:numId="11">
    <w:abstractNumId w:val="13"/>
  </w:num>
  <w:num w:numId="12">
    <w:abstractNumId w:val="10"/>
  </w:num>
  <w:num w:numId="13">
    <w:abstractNumId w:val="18"/>
  </w:num>
  <w:num w:numId="14">
    <w:abstractNumId w:val="11"/>
  </w:num>
  <w:num w:numId="15">
    <w:abstractNumId w:val="5"/>
  </w:num>
  <w:num w:numId="16">
    <w:abstractNumId w:val="6"/>
  </w:num>
  <w:num w:numId="17">
    <w:abstractNumId w:val="9"/>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0C7003"/>
    <w:rsid w:val="054E514F"/>
    <w:rsid w:val="05A70A0D"/>
    <w:rsid w:val="05AC0574"/>
    <w:rsid w:val="05BC419D"/>
    <w:rsid w:val="05D77605"/>
    <w:rsid w:val="05F6352F"/>
    <w:rsid w:val="06651825"/>
    <w:rsid w:val="06C61066"/>
    <w:rsid w:val="06D70337"/>
    <w:rsid w:val="06F227DE"/>
    <w:rsid w:val="08D11305"/>
    <w:rsid w:val="09B554AF"/>
    <w:rsid w:val="09E84E10"/>
    <w:rsid w:val="0A70684A"/>
    <w:rsid w:val="0A951F6E"/>
    <w:rsid w:val="0B6E1848"/>
    <w:rsid w:val="0BFA53E6"/>
    <w:rsid w:val="0C7F72BD"/>
    <w:rsid w:val="0D844120"/>
    <w:rsid w:val="0D9E60D7"/>
    <w:rsid w:val="0F3B2F67"/>
    <w:rsid w:val="0F7A2AAA"/>
    <w:rsid w:val="0F9A500F"/>
    <w:rsid w:val="0FB57FB7"/>
    <w:rsid w:val="11276C93"/>
    <w:rsid w:val="116077A0"/>
    <w:rsid w:val="11E25FD6"/>
    <w:rsid w:val="11FB3784"/>
    <w:rsid w:val="12427DF1"/>
    <w:rsid w:val="12BA5DE6"/>
    <w:rsid w:val="13FF2FB9"/>
    <w:rsid w:val="15E76A24"/>
    <w:rsid w:val="16CB43D6"/>
    <w:rsid w:val="173F3753"/>
    <w:rsid w:val="174801F6"/>
    <w:rsid w:val="17827F02"/>
    <w:rsid w:val="182E7070"/>
    <w:rsid w:val="183F1D1A"/>
    <w:rsid w:val="195C6615"/>
    <w:rsid w:val="19F97358"/>
    <w:rsid w:val="1A553748"/>
    <w:rsid w:val="1A6754AF"/>
    <w:rsid w:val="1AE3378E"/>
    <w:rsid w:val="1AFA6EBD"/>
    <w:rsid w:val="1C5D0427"/>
    <w:rsid w:val="1C7B3169"/>
    <w:rsid w:val="1C933E4A"/>
    <w:rsid w:val="206977D9"/>
    <w:rsid w:val="21A613C7"/>
    <w:rsid w:val="223733C1"/>
    <w:rsid w:val="224E294F"/>
    <w:rsid w:val="226C214F"/>
    <w:rsid w:val="22854FFE"/>
    <w:rsid w:val="228B438E"/>
    <w:rsid w:val="22E31283"/>
    <w:rsid w:val="2348000B"/>
    <w:rsid w:val="23AD760F"/>
    <w:rsid w:val="24890905"/>
    <w:rsid w:val="257A2AD3"/>
    <w:rsid w:val="25AB26B2"/>
    <w:rsid w:val="25B922DD"/>
    <w:rsid w:val="25BB7DA5"/>
    <w:rsid w:val="2617522C"/>
    <w:rsid w:val="28023C5C"/>
    <w:rsid w:val="2B70499C"/>
    <w:rsid w:val="2CC827E0"/>
    <w:rsid w:val="2FAF694F"/>
    <w:rsid w:val="300D3295"/>
    <w:rsid w:val="30274823"/>
    <w:rsid w:val="313145D4"/>
    <w:rsid w:val="31C07988"/>
    <w:rsid w:val="32B562B2"/>
    <w:rsid w:val="34514DEA"/>
    <w:rsid w:val="34A5067E"/>
    <w:rsid w:val="34CC3D50"/>
    <w:rsid w:val="35645814"/>
    <w:rsid w:val="359441D9"/>
    <w:rsid w:val="36682807"/>
    <w:rsid w:val="37AF09B2"/>
    <w:rsid w:val="37F86297"/>
    <w:rsid w:val="38077A24"/>
    <w:rsid w:val="39822E25"/>
    <w:rsid w:val="39A33E38"/>
    <w:rsid w:val="39E30BB5"/>
    <w:rsid w:val="39F775D0"/>
    <w:rsid w:val="3A300497"/>
    <w:rsid w:val="3A9D7A92"/>
    <w:rsid w:val="3AB70F8D"/>
    <w:rsid w:val="3BD261FC"/>
    <w:rsid w:val="3DB37034"/>
    <w:rsid w:val="3E546CEB"/>
    <w:rsid w:val="3E6300DB"/>
    <w:rsid w:val="3F657D6E"/>
    <w:rsid w:val="3FFC76A0"/>
    <w:rsid w:val="4000724E"/>
    <w:rsid w:val="401C19E8"/>
    <w:rsid w:val="418827F6"/>
    <w:rsid w:val="421440A0"/>
    <w:rsid w:val="427914F2"/>
    <w:rsid w:val="42926285"/>
    <w:rsid w:val="42DA0C6E"/>
    <w:rsid w:val="43920409"/>
    <w:rsid w:val="43AA0DB5"/>
    <w:rsid w:val="43AB748D"/>
    <w:rsid w:val="44FA1BC9"/>
    <w:rsid w:val="450966EF"/>
    <w:rsid w:val="45412657"/>
    <w:rsid w:val="46451813"/>
    <w:rsid w:val="465877C4"/>
    <w:rsid w:val="476612EE"/>
    <w:rsid w:val="478B4272"/>
    <w:rsid w:val="47EA5B27"/>
    <w:rsid w:val="484771DF"/>
    <w:rsid w:val="48BD6E6E"/>
    <w:rsid w:val="48F15695"/>
    <w:rsid w:val="495F4D4E"/>
    <w:rsid w:val="49782573"/>
    <w:rsid w:val="4A1C5E76"/>
    <w:rsid w:val="4B396733"/>
    <w:rsid w:val="4B3A2F93"/>
    <w:rsid w:val="4CDF200B"/>
    <w:rsid w:val="4D8818A4"/>
    <w:rsid w:val="4DA9035D"/>
    <w:rsid w:val="4FBF2B30"/>
    <w:rsid w:val="50070AD0"/>
    <w:rsid w:val="51854483"/>
    <w:rsid w:val="524A1ECB"/>
    <w:rsid w:val="5386054C"/>
    <w:rsid w:val="542A299E"/>
    <w:rsid w:val="54491131"/>
    <w:rsid w:val="54E831A5"/>
    <w:rsid w:val="56CE0EA5"/>
    <w:rsid w:val="58627BE8"/>
    <w:rsid w:val="5A4159A9"/>
    <w:rsid w:val="5A633C89"/>
    <w:rsid w:val="5B696393"/>
    <w:rsid w:val="5B7B1804"/>
    <w:rsid w:val="5B7D7635"/>
    <w:rsid w:val="5C475F9E"/>
    <w:rsid w:val="5D684457"/>
    <w:rsid w:val="5EAE747B"/>
    <w:rsid w:val="5F34520E"/>
    <w:rsid w:val="601445A3"/>
    <w:rsid w:val="601C5B46"/>
    <w:rsid w:val="606A15ED"/>
    <w:rsid w:val="60940985"/>
    <w:rsid w:val="60D3074F"/>
    <w:rsid w:val="62F34242"/>
    <w:rsid w:val="646507D9"/>
    <w:rsid w:val="65D90B98"/>
    <w:rsid w:val="66313589"/>
    <w:rsid w:val="676E702E"/>
    <w:rsid w:val="67F10FCD"/>
    <w:rsid w:val="69826A39"/>
    <w:rsid w:val="6A9B1E1D"/>
    <w:rsid w:val="6AFB752E"/>
    <w:rsid w:val="6C0A331C"/>
    <w:rsid w:val="6D0D797F"/>
    <w:rsid w:val="6D881C70"/>
    <w:rsid w:val="6E0C11B0"/>
    <w:rsid w:val="6E3C0C9C"/>
    <w:rsid w:val="6E446298"/>
    <w:rsid w:val="6E673F14"/>
    <w:rsid w:val="6FDD6381"/>
    <w:rsid w:val="6FF81729"/>
    <w:rsid w:val="70C1323B"/>
    <w:rsid w:val="74AA237E"/>
    <w:rsid w:val="7541409D"/>
    <w:rsid w:val="76AC7B4F"/>
    <w:rsid w:val="7750345B"/>
    <w:rsid w:val="7849732E"/>
    <w:rsid w:val="79A57ACE"/>
    <w:rsid w:val="7B4A52E9"/>
    <w:rsid w:val="7D4D5A35"/>
    <w:rsid w:val="7DA75CF8"/>
    <w:rsid w:val="7DF37ED1"/>
    <w:rsid w:val="7E572F28"/>
    <w:rsid w:val="7EFC7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8"/>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0"/>
    <w:qFormat/>
    <w:uiPriority w:val="0"/>
    <w:pPr>
      <w:keepNext/>
      <w:keepLines/>
      <w:spacing w:before="240" w:after="64" w:line="320" w:lineRule="auto"/>
      <w:outlineLvl w:val="6"/>
    </w:pPr>
    <w:rPr>
      <w:b/>
      <w:sz w:val="24"/>
      <w:szCs w:val="20"/>
    </w:rPr>
  </w:style>
  <w:style w:type="paragraph" w:styleId="10">
    <w:name w:val="heading 8"/>
    <w:basedOn w:val="1"/>
    <w:next w:val="8"/>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5"/>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4"/>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2"/>
    <w:qFormat/>
    <w:locked/>
    <w:uiPriority w:val="0"/>
    <w:rPr>
      <w:rFonts w:ascii="Arial" w:hAnsi="Arial" w:eastAsia="黑体"/>
      <w:b/>
      <w:bCs/>
      <w:kern w:val="2"/>
      <w:sz w:val="32"/>
      <w:szCs w:val="32"/>
    </w:rPr>
  </w:style>
  <w:style w:type="character" w:customStyle="1" w:styleId="85">
    <w:name w:val="标题 5 Char"/>
    <w:link w:val="6"/>
    <w:qFormat/>
    <w:locked/>
    <w:uiPriority w:val="0"/>
    <w:rPr>
      <w:b/>
      <w:sz w:val="28"/>
    </w:rPr>
  </w:style>
  <w:style w:type="character" w:customStyle="1" w:styleId="86">
    <w:name w:val="标题 6 Char"/>
    <w:link w:val="7"/>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8"/>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5"/>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23455</Words>
  <Characters>24681</Characters>
  <Lines>196</Lines>
  <Paragraphs>55</Paragraphs>
  <TotalTime>17</TotalTime>
  <ScaleCrop>false</ScaleCrop>
  <LinksUpToDate>false</LinksUpToDate>
  <CharactersWithSpaces>27147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2022-08-23T03:48:00Z</cp:lastPrinted>
  <dcterms:modified xsi:type="dcterms:W3CDTF">2022-08-29T00:53:17Z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958561446096443CA77D9A05DD725A50</vt:lpwstr>
  </property>
</Properties>
</file>