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YXZB-20220709</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阳江风筝非遗慕课制作采购项目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阳江市文化馆</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二二</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七</w:t>
      </w:r>
      <w:r>
        <w:rPr>
          <w:rFonts w:hint="eastAsia" w:hAnsi="宋体"/>
          <w:b/>
          <w:bCs/>
          <w:color w:val="000000" w:themeColor="text1"/>
          <w:sz w:val="24"/>
          <w:szCs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YXZB-20220709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阳江风筝非遗慕课制作采购项目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_Toc30128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_Toc30897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ind w:left="0" w:left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51987964"/>
      <w:bookmarkStart w:id="2" w:name="_Toc351987768"/>
      <w:bookmarkStart w:id="3" w:name="_Toc351990145"/>
      <w:bookmarkStart w:id="4" w:name="_Toc353522392"/>
      <w:bookmarkStart w:id="5" w:name="_Toc357151175"/>
      <w:bookmarkStart w:id="6" w:name="_Toc369180022"/>
      <w:bookmarkStart w:id="7" w:name="_Toc351988709"/>
    </w:p>
    <w:p>
      <w:pPr>
        <w:pStyle w:val="36"/>
        <w:ind w:left="0" w:leftChars="0"/>
        <w:jc w:val="cente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smallCaps w:val="0"/>
          <w:color w:val="000000" w:themeColor="text1"/>
          <w:kern w:val="44"/>
          <w:sz w:val="21"/>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阳江市文化馆</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阳江风筝非遗慕课制作采购项目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YXZB-20220709</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阳江风筝非遗慕课制作采购项目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cs="宋体"/>
          <w:bCs/>
          <w:color w:val="000000" w:themeColor="text1"/>
          <w:kern w:val="0"/>
          <w:szCs w:val="21"/>
          <w:highlight w:val="none"/>
          <w:lang w:val="en-US" w:eastAsia="zh-CN"/>
          <w14:textFill>
            <w14:solidFill>
              <w14:schemeClr w14:val="tx1"/>
            </w14:solidFill>
          </w14:textFill>
        </w:rPr>
        <w:t>234000.</w:t>
      </w:r>
      <w:r>
        <w:rPr>
          <w:rFonts w:hint="eastAsia" w:ascii="宋体" w:hAnsi="宋体" w:cs="宋体"/>
          <w:bCs/>
          <w:color w:val="000000" w:themeColor="text1"/>
          <w:kern w:val="0"/>
          <w:szCs w:val="21"/>
          <w:highlight w:val="none"/>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大写：贰拾叁万肆仟元整</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w:t>
      </w:r>
      <w:r>
        <w:rPr>
          <w:rFonts w:hint="eastAsia" w:ascii="宋体" w:hAnsi="宋体"/>
          <w:color w:val="000000" w:themeColor="text1"/>
          <w:highlight w:val="none"/>
          <w:lang w:val="en-US" w:eastAsia="zh-CN"/>
          <w14:textFill>
            <w14:solidFill>
              <w14:schemeClr w14:val="tx1"/>
            </w14:solidFill>
          </w14:textFill>
        </w:rPr>
        <w:t>在</w:t>
      </w:r>
      <w:r>
        <w:rPr>
          <w:rFonts w:hint="eastAsia" w:ascii="宋体" w:hAnsi="宋体"/>
          <w:color w:val="000000" w:themeColor="text1"/>
          <w:highlight w:val="none"/>
          <w14:textFill>
            <w14:solidFill>
              <w14:schemeClr w14:val="tx1"/>
            </w14:solidFill>
          </w14:textFill>
        </w:rPr>
        <w:t>2022年12月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前完成</w:t>
      </w:r>
      <w:r>
        <w:rPr>
          <w:rFonts w:hint="eastAsia" w:ascii="宋体" w:hAnsi="宋体"/>
          <w:color w:val="000000" w:themeColor="text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w:t>
      </w:r>
      <w:r>
        <w:rPr>
          <w:rFonts w:hint="eastAsia" w:ascii="宋体" w:hAnsi="宋体"/>
          <w:color w:val="000000" w:themeColor="text1"/>
          <w:highlight w:val="none"/>
          <w14:textFill>
            <w14:solidFill>
              <w14:schemeClr w14:val="tx1"/>
            </w14:solidFill>
          </w14:textFill>
        </w:rPr>
        <w:t>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2022年8月22日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2022年8月25日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2022年8月22日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2022年8月25日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rStyle w:val="47"/>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2022年8月30日</w:t>
      </w:r>
      <w:r>
        <w:rPr>
          <w:rFonts w:hint="eastAsia" w:ascii="宋体" w:hAnsi="宋体" w:cs="宋体"/>
          <w:color w:val="000000" w:themeColor="text1"/>
          <w:kern w:val="0"/>
          <w:szCs w:val="21"/>
          <w:highlight w:val="none"/>
          <w14:textFill>
            <w14:solidFill>
              <w14:schemeClr w14:val="tx1"/>
            </w14:solidFill>
          </w14:textFill>
        </w:rPr>
        <w:t>14:30-15:00 (北京时间)。</w:t>
      </w:r>
      <w:bookmarkStart w:id="250" w:name="_GoBack"/>
      <w:bookmarkEnd w:id="250"/>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2022年8月30日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2022年8月30日</w:t>
      </w:r>
      <w:r>
        <w:rPr>
          <w:rFonts w:hint="eastAsia" w:ascii="宋体" w:hAnsi="宋体" w:cs="宋体"/>
          <w:color w:val="000000" w:themeColor="text1"/>
          <w:kern w:val="0"/>
          <w:szCs w:val="21"/>
          <w:highlight w:val="none"/>
          <w14:textFill>
            <w14:solidFill>
              <w14:schemeClr w14:val="tx1"/>
            </w14:solidFill>
          </w14:textFill>
        </w:rPr>
        <w:t>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阳江市文化馆</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联系人：张竹韵</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联系电话：0662-3372219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址：广东省阳江市江城区新江北路文化艺术中心A区阳江市文化馆</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8" w:name="_Toc351986193"/>
      <w:bookmarkStart w:id="9" w:name="_Toc353522387"/>
      <w:bookmarkStart w:id="10" w:name="_Toc351987959"/>
      <w:bookmarkStart w:id="11" w:name="_Toc351986013"/>
      <w:bookmarkStart w:id="12" w:name="_Toc351988704"/>
      <w:bookmarkStart w:id="13" w:name="_Toc329242667"/>
      <w:bookmarkStart w:id="14" w:name="_Toc351985908"/>
      <w:bookmarkStart w:id="15" w:name="_Toc351987763"/>
      <w:bookmarkStart w:id="16" w:name="_Toc351990140"/>
      <w:bookmarkStart w:id="17" w:name="_Toc369180017"/>
      <w:bookmarkStart w:id="18" w:name="_Toc357151163"/>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2022年8月22日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19242"/>
      <w:bookmarkStart w:id="20"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69180018"/>
      <w:bookmarkStart w:id="23" w:name="_Toc351988705"/>
      <w:bookmarkStart w:id="24" w:name="_Toc351987764"/>
      <w:bookmarkStart w:id="25" w:name="_Toc351986194"/>
      <w:bookmarkStart w:id="26" w:name="_Toc351990141"/>
      <w:bookmarkStart w:id="27" w:name="_Toc452826427"/>
      <w:bookmarkStart w:id="28" w:name="_Toc351986014"/>
      <w:bookmarkStart w:id="29" w:name="_Toc351987960"/>
      <w:bookmarkStart w:id="30" w:name="_Toc357151164"/>
      <w:bookmarkStart w:id="31" w:name="_Toc353522388"/>
      <w:bookmarkStart w:id="32" w:name="_Toc329242668"/>
      <w:bookmarkStart w:id="33" w:name="_Toc351985909"/>
      <w:bookmarkStart w:id="34" w:name="_Toc26589"/>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YXZB-20220709</w:t>
      </w:r>
      <w:bookmarkEnd w:id="34"/>
    </w:p>
    <w:p>
      <w:pPr>
        <w:pStyle w:val="2"/>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351987961"/>
      <w:bookmarkStart w:id="36" w:name="_Toc369180019"/>
      <w:bookmarkStart w:id="37" w:name="_Toc351988706"/>
      <w:bookmarkStart w:id="38" w:name="_Toc351990142"/>
      <w:bookmarkStart w:id="39" w:name="_Toc351985910"/>
      <w:bookmarkStart w:id="40" w:name="_Toc452826428"/>
      <w:bookmarkStart w:id="41" w:name="_Toc329242669"/>
      <w:bookmarkStart w:id="42" w:name="_Toc351986015"/>
      <w:bookmarkStart w:id="43" w:name="_Toc351986195"/>
      <w:bookmarkStart w:id="44" w:name="_Toc351987765"/>
      <w:bookmarkStart w:id="45" w:name="_Toc353522389"/>
      <w:bookmarkStart w:id="46" w:name="_Toc357151165"/>
      <w:bookmarkStart w:id="47" w:name="_Toc21452"/>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阳江风筝非遗慕课制作采购项目</w:t>
      </w:r>
      <w:bookmarkEnd w:id="47"/>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351986016"/>
      <w:bookmarkStart w:id="49" w:name="_Toc357151166"/>
      <w:bookmarkStart w:id="50" w:name="_Toc329242670"/>
      <w:bookmarkStart w:id="51" w:name="_Toc351987766"/>
      <w:bookmarkStart w:id="52" w:name="_Toc353522390"/>
      <w:bookmarkStart w:id="53" w:name="_Toc369180020"/>
      <w:bookmarkStart w:id="54" w:name="_Toc452826429"/>
      <w:bookmarkStart w:id="55" w:name="_Toc351986196"/>
      <w:bookmarkStart w:id="56" w:name="_Toc351987962"/>
      <w:bookmarkStart w:id="57" w:name="_Toc351990143"/>
      <w:bookmarkStart w:id="58" w:name="_Toc21081"/>
      <w:bookmarkStart w:id="59" w:name="_Toc351985911"/>
      <w:bookmarkStart w:id="60" w:name="_Toc351988707"/>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前期调研、方案设计、慕课制作、传承人授课补助及配乐版权购买等慕课建设过程中产生的全部费用。采购人不再支付任何费用。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1.合同签订生效后，采购人在五个工作日内向成交供应商支付合同总价的35%；</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2.完成慕课文稿提交给采购人并通过专家评审后的十个工作日内，采购人向成交供应商支付合同总价的35%；</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所有慕课剪辑包装完成，提供完整慕课作品（慕课作品以移动硬盘储存可永久保存的无供应商水印版本音视频资料提交，慕课文字以pdf文档以及纸质装订本提交）给采购人后的十个工作日内，向成交供应商支付合同总价的25%。</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4.剩下5%尾款，在验收合格结项后的十个工作日内，支付给成交供应商，成交供应商应提供每期等额的增值税专用发票。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慕课验收要求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期满或完成成果后，采购人应对慕课的成果进行详细而全面检验，如有更改意见及时提出，需要及时更改。检验合格后，由负责人签署验收报告，作为尾款付款凭据之一。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验收标准</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验收标准参考《关于印发“学才艺”师资入驻和课程建设指南的通知》（文全公文发〔2021〕21号）关于课程建设的要求。</w:t>
            </w:r>
            <w:r>
              <w:rPr>
                <w:rFonts w:hint="eastAsia"/>
                <w:b/>
                <w:bCs/>
                <w:color w:val="000000" w:themeColor="text1"/>
                <w:highlight w:val="none"/>
                <w:lang w:val="en-US" w:eastAsia="zh-CN"/>
                <w14:textFill>
                  <w14:solidFill>
                    <w14:schemeClr w14:val="tx1"/>
                  </w14:solidFill>
                </w14:textFill>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知识产权的要求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1.本项目的知识产权属阳江市文化馆所有，未经采购人书面同意，无论是否被采购人所采用，成交供应商不得对外发布；</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2.采购人提供的资料文件，投标人具有保密义务；</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3.成交供应商为本项目建设而引用、收集其他社会上的文件、软件所涉及的知识产权费用和法律纠纷由投标人自行负责。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其他要求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慕课推广由采购人主要负责，成交供应商在自身条件允许范围内可进行适当推广，不作硬性要求。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叁仟</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30</w:t>
            </w:r>
            <w:r>
              <w:rPr>
                <w:rFonts w:hint="eastAsia" w:ascii="宋体" w:hAnsi="宋体"/>
                <w:b/>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发改价格[2015]299号文的规定，招标代理服务费实行市场调节价。成交供应商在领取《成交通知书》时应一次性交纳招标代理服务费</w:t>
            </w:r>
            <w:r>
              <w:rPr>
                <w:rFonts w:hint="eastAsia" w:ascii="宋体" w:hAnsi="宋体"/>
                <w:bCs/>
                <w:color w:val="000000" w:themeColor="text1"/>
                <w:szCs w:val="21"/>
                <w:highlight w:val="none"/>
                <w:lang w:val="en-US" w:eastAsia="zh-CN"/>
                <w14:textFill>
                  <w14:solidFill>
                    <w14:schemeClr w14:val="tx1"/>
                  </w14:solidFill>
                </w14:textFill>
              </w:rPr>
              <w:t>人民币陆仟元整（￥6000.00元）</w:t>
            </w:r>
            <w:r>
              <w:rPr>
                <w:rFonts w:hint="eastAsia" w:ascii="宋体" w:hAnsi="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51987963"/>
      <w:bookmarkStart w:id="62" w:name="_Toc351985912"/>
      <w:bookmarkStart w:id="63" w:name="_Toc351986017"/>
      <w:bookmarkStart w:id="64" w:name="_Toc357151167"/>
      <w:bookmarkStart w:id="65" w:name="_Toc351986197"/>
      <w:bookmarkStart w:id="66" w:name="_Toc329242671"/>
      <w:bookmarkStart w:id="67" w:name="_Toc351988708"/>
      <w:bookmarkStart w:id="68" w:name="_Toc452826430"/>
      <w:bookmarkStart w:id="69" w:name="_Toc351987767"/>
      <w:bookmarkStart w:id="70" w:name="_Toc353522391"/>
      <w:bookmarkStart w:id="71" w:name="_Toc369180021"/>
      <w:bookmarkStart w:id="72" w:name="_Toc351990144"/>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1390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spacing w:line="360" w:lineRule="auto"/>
        <w:rPr>
          <w:rFonts w:hint="eastAsia" w:ascii="宋体" w:hAnsi="宋体" w:cs="宋体"/>
          <w:b/>
          <w:bCs/>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一、</w:t>
      </w:r>
      <w:r>
        <w:rPr>
          <w:rFonts w:hint="eastAsia" w:ascii="宋体" w:hAnsi="宋体" w:cs="宋体"/>
          <w:b/>
          <w:bCs/>
          <w:color w:val="000000" w:themeColor="text1"/>
          <w:kern w:val="0"/>
          <w:szCs w:val="21"/>
          <w:highlight w:val="none"/>
          <w14:textFill>
            <w14:solidFill>
              <w14:schemeClr w14:val="tx1"/>
            </w14:solidFill>
          </w14:textFill>
        </w:rPr>
        <w:t>项目</w:t>
      </w:r>
      <w:r>
        <w:rPr>
          <w:rFonts w:hint="eastAsia" w:ascii="宋体" w:hAnsi="宋体" w:cs="宋体"/>
          <w:b/>
          <w:bCs/>
          <w:color w:val="000000" w:themeColor="text1"/>
          <w:kern w:val="0"/>
          <w:szCs w:val="21"/>
          <w:highlight w:val="none"/>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1、制作</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要求</w:t>
      </w:r>
      <w:r>
        <w:rPr>
          <w:rFonts w:hint="eastAsia" w:ascii="宋体" w:hAnsi="宋体" w:cs="宋体"/>
          <w:b w:val="0"/>
          <w:bCs w:val="0"/>
          <w:color w:val="000000" w:themeColor="text1"/>
          <w:kern w:val="0"/>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1）</w:t>
      </w:r>
      <w:r>
        <w:rPr>
          <w:rFonts w:ascii="宋体" w:hAnsi="宋体" w:cs="宋体"/>
          <w:b w:val="0"/>
          <w:bCs w:val="0"/>
          <w:color w:val="000000" w:themeColor="text1"/>
          <w:kern w:val="0"/>
          <w:szCs w:val="21"/>
          <w:highlight w:val="none"/>
          <w14:textFill>
            <w14:solidFill>
              <w14:schemeClr w14:val="tx1"/>
            </w14:solidFill>
          </w14:textFill>
        </w:rPr>
        <w:t>调研：成立项目小组并安排调研；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2）</w:t>
      </w:r>
      <w:r>
        <w:rPr>
          <w:rFonts w:ascii="宋体" w:hAnsi="宋体" w:cs="宋体"/>
          <w:b w:val="0"/>
          <w:bCs w:val="0"/>
          <w:color w:val="000000" w:themeColor="text1"/>
          <w:kern w:val="0"/>
          <w:szCs w:val="21"/>
          <w:highlight w:val="none"/>
          <w14:textFill>
            <w14:solidFill>
              <w14:schemeClr w14:val="tx1"/>
            </w14:solidFill>
          </w14:textFill>
        </w:rPr>
        <w:t>搜集资料：包括文字资料及音像资料，并加以汇总整理；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3）</w:t>
      </w:r>
      <w:r>
        <w:rPr>
          <w:rFonts w:ascii="宋体" w:hAnsi="宋体" w:cs="宋体"/>
          <w:b w:val="0"/>
          <w:bCs w:val="0"/>
          <w:color w:val="000000" w:themeColor="text1"/>
          <w:kern w:val="0"/>
          <w:szCs w:val="21"/>
          <w:highlight w:val="none"/>
          <w14:textFill>
            <w14:solidFill>
              <w14:schemeClr w14:val="tx1"/>
            </w14:solidFill>
          </w14:textFill>
        </w:rPr>
        <w:t>选题：选定课程主题，丰富课程内容；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4）</w:t>
      </w:r>
      <w:r>
        <w:rPr>
          <w:rFonts w:ascii="宋体" w:hAnsi="宋体" w:cs="宋体"/>
          <w:b w:val="0"/>
          <w:bCs w:val="0"/>
          <w:color w:val="000000" w:themeColor="text1"/>
          <w:kern w:val="0"/>
          <w:szCs w:val="21"/>
          <w:highlight w:val="none"/>
          <w14:textFill>
            <w14:solidFill>
              <w14:schemeClr w14:val="tx1"/>
            </w14:solidFill>
          </w14:textFill>
        </w:rPr>
        <w:t>选择课程老师：选定课程老师，详细拟定好每节慕课的内容，做好讲义及课件；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5）</w:t>
      </w:r>
      <w:r>
        <w:rPr>
          <w:rFonts w:ascii="宋体" w:hAnsi="宋体" w:cs="宋体"/>
          <w:b w:val="0"/>
          <w:bCs w:val="0"/>
          <w:color w:val="000000" w:themeColor="text1"/>
          <w:kern w:val="0"/>
          <w:szCs w:val="21"/>
          <w:highlight w:val="none"/>
          <w14:textFill>
            <w14:solidFill>
              <w14:schemeClr w14:val="tx1"/>
            </w14:solidFill>
          </w14:textFill>
        </w:rPr>
        <w:t>校对课件，组织相关专家、主讲老师、助教等一起对内容进行核定、校对；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6）</w:t>
      </w:r>
      <w:r>
        <w:rPr>
          <w:rFonts w:ascii="宋体" w:hAnsi="宋体" w:cs="宋体"/>
          <w:b w:val="0"/>
          <w:bCs w:val="0"/>
          <w:color w:val="000000" w:themeColor="text1"/>
          <w:kern w:val="0"/>
          <w:szCs w:val="21"/>
          <w:highlight w:val="none"/>
          <w14:textFill>
            <w14:solidFill>
              <w14:schemeClr w14:val="tx1"/>
            </w14:solidFill>
          </w14:textFill>
        </w:rPr>
        <w:t>拟定拍摄脚本：根据课件内容制定详细拍摄脚本；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7）</w:t>
      </w:r>
      <w:r>
        <w:rPr>
          <w:rFonts w:ascii="宋体" w:hAnsi="宋体" w:cs="宋体"/>
          <w:b w:val="0"/>
          <w:bCs w:val="0"/>
          <w:color w:val="000000" w:themeColor="text1"/>
          <w:kern w:val="0"/>
          <w:szCs w:val="21"/>
          <w:highlight w:val="none"/>
          <w14:textFill>
            <w14:solidFill>
              <w14:schemeClr w14:val="tx1"/>
            </w14:solidFill>
          </w14:textFill>
        </w:rPr>
        <w:t>拍摄：根据拍摄脚本，使用高清专业级以上拍摄设备，进行多机位拍摄；录制结束后，补拍失误镜头；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8）</w:t>
      </w:r>
      <w:r>
        <w:rPr>
          <w:rFonts w:ascii="宋体" w:hAnsi="宋体" w:cs="宋体"/>
          <w:b w:val="0"/>
          <w:bCs w:val="0"/>
          <w:color w:val="000000" w:themeColor="text1"/>
          <w:kern w:val="0"/>
          <w:szCs w:val="21"/>
          <w:highlight w:val="none"/>
          <w14:textFill>
            <w14:solidFill>
              <w14:schemeClr w14:val="tx1"/>
            </w14:solidFill>
          </w14:textFill>
        </w:rPr>
        <w:t>后期剪辑：将拍摄的课程素材根据课程设计内容进行剪辑。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2、课程主要内容：</w:t>
      </w:r>
      <w:r>
        <w:rPr>
          <w:rFonts w:ascii="宋体" w:hAnsi="宋体" w:cs="宋体"/>
          <w:b w:val="0"/>
          <w:bCs w:val="0"/>
          <w:color w:val="000000" w:themeColor="text1"/>
          <w:kern w:val="0"/>
          <w:szCs w:val="21"/>
          <w:highlight w:val="none"/>
          <w14:textFill>
            <w14:solidFill>
              <w14:schemeClr w14:val="tx1"/>
            </w14:solidFill>
          </w14:textFill>
        </w:rPr>
        <w:t>48个小节共576分钟慕课</w:t>
      </w:r>
      <w:r>
        <w:rPr>
          <w:rFonts w:hint="eastAsia" w:ascii="宋体" w:hAnsi="宋体" w:cs="宋体"/>
          <w:b w:val="0"/>
          <w:bCs w:val="0"/>
          <w:color w:val="000000" w:themeColor="text1"/>
          <w:kern w:val="0"/>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 xml:space="preserve">3、课程要求标准（课程内容可按实际情况进行调整）：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每堂课含主课与互动部分，力求有新意、有趣味。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每堂课控制在6个章节以内，每个章节10-15分钟为宜。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MP4格式视频，4-8M码率，画质清晰、声音清楚。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海报图片为jpg、png、jpeg类型高清图。</w:t>
      </w:r>
    </w:p>
    <w:p>
      <w:pPr>
        <w:spacing w:line="360" w:lineRule="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二、慕课内容(具体制作时长将视拍摄情况进行调整)</w:t>
      </w:r>
    </w:p>
    <w:tbl>
      <w:tblPr>
        <w:tblStyle w:val="4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26"/>
        <w:gridCol w:w="1935"/>
        <w:gridCol w:w="4062"/>
        <w:gridCol w:w="92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726" w:type="dxa"/>
            <w:vAlign w:val="center"/>
          </w:tcPr>
          <w:p>
            <w:pPr>
              <w:spacing w:line="360"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课程内容</w:t>
            </w:r>
          </w:p>
        </w:tc>
        <w:tc>
          <w:tcPr>
            <w:tcW w:w="1935" w:type="dxa"/>
            <w:vAlign w:val="center"/>
          </w:tcPr>
          <w:p>
            <w:pPr>
              <w:spacing w:line="360"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各小节内容</w:t>
            </w:r>
          </w:p>
        </w:tc>
        <w:tc>
          <w:tcPr>
            <w:tcW w:w="4062" w:type="dxa"/>
            <w:vAlign w:val="center"/>
          </w:tcPr>
          <w:p>
            <w:pPr>
              <w:spacing w:line="360"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拍摄场景与辅助素材、材料与制作过程</w:t>
            </w:r>
          </w:p>
        </w:tc>
        <w:tc>
          <w:tcPr>
            <w:tcW w:w="925" w:type="dxa"/>
            <w:vAlign w:val="center"/>
          </w:tcPr>
          <w:p>
            <w:pPr>
              <w:spacing w:line="360"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时长</w:t>
            </w:r>
          </w:p>
        </w:tc>
        <w:tc>
          <w:tcPr>
            <w:tcW w:w="654" w:type="dxa"/>
            <w:vAlign w:val="center"/>
          </w:tcPr>
          <w:p>
            <w:pPr>
              <w:spacing w:line="360"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风筝概述</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世界风筝的历史与各国特色风筝</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摄影棚；各国风筝活动高清图与特色风筝高清图。</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10分钟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中国风筝的历史</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摄影棚；后期配上风筝放飞背景、墨子制作木鸢的动画。</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10分钟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中国各个流派特色风筝</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摄影棚；后期配上各地风筝放飞背景、各流派风筝的高清图。</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阳江风筝的历史</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摄影棚；后期配上各地风筝放飞背景、北山公园实景、望鹞领实景、南国放飞场实景。</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阳江特色风筝</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风筝馆、梁玉泉、阮权、梁治昂工作室职业技术学院实景。</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阳江风筝节及历届风筝赛事</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摄影棚、后期配上各地风筝放飞背景、北山公园实景、望鹞领实景、南国放飞场实景。历届比赛高清图</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2</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阳江风筝的材料和工具</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主要材料：各种竹子、刀、锯子、酒精灯工具</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室外竹林砍竹、晾晒、成品、开竹等过程的展示。</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糊裱材料</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摄影棚；1、各种绢、布、纸的介绍；2、各种胶水的使用。</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绘画材料</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摄影棚；各种绘画颜色、笔的介绍。</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放飞的提线</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摄影棚；各种提线的特点与性能。</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10分钟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软体风筝的制作材料与工具</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摄影棚；制作工具与材料介绍。</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运动风筝的制作材料与工具</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摄影棚；制作工具与材料介绍。</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3</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简易阳江风筝教程·鲳鱼</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鲳鱼的扎制</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鲳鱼的糊裱</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摄影棚；纸、浆糊的选择、糊裱整过程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鲳鱼的绘画</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摄影棚；图案与颜色的绘画整过程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鲳鱼的放飞</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摄影棚；南国放飞场；提线的选择、打结、放飞整过程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4</w:t>
            </w:r>
          </w:p>
        </w:tc>
        <w:tc>
          <w:tcPr>
            <w:tcW w:w="1726" w:type="dxa"/>
            <w:vMerge w:val="restart"/>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特色阳江风筝教程·蝴蝶</w:t>
            </w:r>
          </w:p>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从扎、糊、绘、放四个步骤教授软翅类“蝴蝶”风筝的制作及放飞，5-6小节</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蝴蝶的扎制</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蝴蝶的糊裱</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摄影棚；纸、浆糊的选择、糊裱整过程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蝴蝶的绘画</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摄影棚；图案与颜色的绘画整过程。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蝴蝶的放飞</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摄影棚、南国放飞场；提线的选择、打结、放飞整过程。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5</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特色阳江风筝教程·孩雀仔</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孩雀仔的扎制</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孩雀仔的糊裱</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摄影棚；纸、浆糊的选择、糊裱整过程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孩雀仔的绘画</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摄影棚；图案与颜色的绘画整过程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孩雀仔的放飞</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摄影棚、南国放飞场；提线的选择、打结、放飞整过程。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6</w:t>
            </w:r>
          </w:p>
        </w:tc>
        <w:tc>
          <w:tcPr>
            <w:tcW w:w="1726" w:type="dxa"/>
            <w:vMerge w:val="restart"/>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特色阳江风筝教程·双桃</w:t>
            </w:r>
          </w:p>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从扎、糊、绘、放四个步骤教授硬翅类“双桃”风筝的制作及放飞，6-8小节</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双桃的扎制1</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摄影棚；竹子的选择，扎制双桃主骨架</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双桃的扎制2</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摄影棚；竹子的选择，在双桃主骨架上扎制叶子等装饰</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双桃的糊裱</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摄影棚；纸、浆糊的选择、糊裱整过程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双桃的绘画</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摄影棚；图案与颜色的绘画整过程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双桃的放飞</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摄影棚、南国放飞场；提线的选择、打结、放飞整过程</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7</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特色阳江风筝教程·四蝶</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四蝶的扎制1</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摄影棚；竹子的选择，扎制四蝶主骨架</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四蝶的糊裱</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摄影棚；用纸、浆糊等材料糊裱整过程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四蝶的绘画</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摄影棚；用颜色把四蝶的图案与颜色绘画的整过程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四蝶中花草的扎制、糊裱、绘画、安装</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摄影棚；选用竹子把四蝶中心上午立体花叶等装饰扎制完成、糊裱、绘画、安装整过程。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20分钟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四蝶的放飞</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摄影棚、南国放飞场；提线的选择、打结、放飞整过程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8</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蜈蚣风筝的制作与放飞</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蜈蚣头的扎制1</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摄影棚；竹子的选择，扎制蜈蚣头的骨架</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蜈蚣身体长串扎制</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摄影棚；竹子的选择，扎制蜈蚣身体的长串片</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糊裱</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摄影棚；用纸、浆糊等材料糊裱蜈蚣头与长串片整过程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蜈蚣的绘画</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摄影棚；用颜色把蜈蚣头部与长串片的图案与颜色绘画的整过程</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蜈蚣爪子的安装</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摄影棚；选用竹子或者扫把枝把长串片安装完成整过程。</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20分钟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蜈蚣提线的安装</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摄影棚；提线的选择、安装、打结</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蜈蚣的放飞</w:t>
            </w:r>
          </w:p>
        </w:tc>
        <w:tc>
          <w:tcPr>
            <w:tcW w:w="4062" w:type="dxa"/>
            <w:vAlign w:val="center"/>
          </w:tcPr>
          <w:p>
            <w:pPr>
              <w:spacing w:line="360" w:lineRule="auto"/>
              <w:jc w:val="left"/>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9</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软体风筝的放飞</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滚地龙的放飞</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挂件风筝的放飞</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10</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运动风筝的放飞</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双线风筝的放飞</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四线风筝的放飞</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11</w:t>
            </w:r>
          </w:p>
        </w:tc>
        <w:tc>
          <w:tcPr>
            <w:tcW w:w="1726" w:type="dxa"/>
            <w:vMerge w:val="restart"/>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夜光风筝的放飞</w:t>
            </w: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夜光灯的安装</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726" w:type="dxa"/>
            <w:vMerge w:val="continue"/>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c>
          <w:tcPr>
            <w:tcW w:w="1935"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夜光风筝的放飞</w:t>
            </w:r>
          </w:p>
        </w:tc>
        <w:tc>
          <w:tcPr>
            <w:tcW w:w="4062" w:type="dxa"/>
            <w:vAlign w:val="center"/>
          </w:tcPr>
          <w:p>
            <w:pPr>
              <w:spacing w:line="360" w:lineRule="auto"/>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放飞场；试飞、调整、放飞</w:t>
            </w:r>
          </w:p>
        </w:tc>
        <w:tc>
          <w:tcPr>
            <w:tcW w:w="925" w:type="dxa"/>
            <w:vAlign w:val="center"/>
          </w:tcPr>
          <w:p>
            <w:pPr>
              <w:spacing w:line="360" w:lineRule="auto"/>
              <w:jc w:val="center"/>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15分钟</w:t>
            </w:r>
          </w:p>
        </w:tc>
        <w:tc>
          <w:tcPr>
            <w:tcW w:w="654" w:type="dxa"/>
            <w:vAlign w:val="center"/>
          </w:tcPr>
          <w:p>
            <w:pPr>
              <w:spacing w:line="360" w:lineRule="auto"/>
              <w:jc w:val="center"/>
              <w:rPr>
                <w:rFonts w:ascii="宋体" w:hAnsi="宋体" w:cs="宋体"/>
                <w:b w:val="0"/>
                <w:bCs w:val="0"/>
                <w:color w:val="000000" w:themeColor="text1"/>
                <w:kern w:val="0"/>
                <w:szCs w:val="21"/>
                <w:highlight w:val="none"/>
                <w14:textFill>
                  <w14:solidFill>
                    <w14:schemeClr w14:val="tx1"/>
                  </w14:solidFill>
                </w14:textFill>
              </w:rPr>
            </w:pPr>
          </w:p>
        </w:tc>
      </w:tr>
    </w:tbl>
    <w:p>
      <w:pPr>
        <w:spacing w:line="360" w:lineRule="auto"/>
        <w:rPr>
          <w:rFonts w:hint="eastAsia" w:ascii="宋体" w:hAnsi="宋体" w:cs="宋体"/>
          <w:b/>
          <w:bCs/>
          <w:color w:val="000000" w:themeColor="text1"/>
          <w:kern w:val="0"/>
          <w:szCs w:val="21"/>
          <w:highlight w:val="none"/>
          <w:lang w:val="en-US" w:eastAsia="zh-CN"/>
          <w14:textFill>
            <w14:solidFill>
              <w14:schemeClr w14:val="tx1"/>
            </w14:solidFill>
          </w14:textFill>
        </w:rPr>
      </w:pPr>
    </w:p>
    <w:p>
      <w:pPr>
        <w:spacing w:line="360" w:lineRule="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附件：</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《关于印发“学才艺”师资入驻和课程建设指南的通知》（文全公文发〔2021〕21号）</w:t>
      </w:r>
    </w:p>
    <w:p>
      <w:pPr>
        <w:spacing w:line="360" w:lineRule="auto"/>
        <w:rPr>
          <w:rFonts w:ascii="宋体" w:hAnsi="宋体"/>
          <w:color w:val="000000" w:themeColor="text1"/>
          <w:sz w:val="24"/>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14186"/>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4"/>
    </w:p>
    <w:p>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5" w:name="_Toc2368"/>
      <w:bookmarkStart w:id="76"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5"/>
      <w:bookmarkEnd w:id="76"/>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8"/>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7"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7"/>
    </w:p>
    <w:p>
      <w:pPr>
        <w:pStyle w:val="4"/>
        <w:spacing w:line="360" w:lineRule="auto"/>
        <w:rPr>
          <w:rFonts w:ascii="宋体" w:hAnsi="宋体"/>
          <w:color w:val="000000" w:themeColor="text1"/>
          <w:sz w:val="21"/>
          <w:szCs w:val="21"/>
          <w:highlight w:val="none"/>
          <w14:textFill>
            <w14:solidFill>
              <w14:schemeClr w14:val="tx1"/>
            </w14:solidFill>
          </w14:textFill>
        </w:rPr>
      </w:pPr>
      <w:bookmarkStart w:id="78" w:name="_Toc16369"/>
      <w:bookmarkStart w:id="79"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8"/>
      <w:bookmarkEnd w:id="7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阳江风筝非遗慕课制作采购项目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0" w:name="_Toc21747"/>
      <w:bookmarkStart w:id="81"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0"/>
      <w:bookmarkEnd w:id="81"/>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阳江市文化馆</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2" w:name="_Toc29085"/>
      <w:bookmarkStart w:id="83"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2"/>
      <w:bookmarkEnd w:id="83"/>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84" w:name="_Toc367780307"/>
      <w:bookmarkStart w:id="85" w:name="_Toc13243"/>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4"/>
      <w:bookmarkEnd w:id="8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6" w:name="_Toc25467"/>
      <w:bookmarkStart w:id="87"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6"/>
      <w:bookmarkEnd w:id="87"/>
    </w:p>
    <w:p>
      <w:pPr>
        <w:pStyle w:val="4"/>
        <w:spacing w:line="360" w:lineRule="auto"/>
        <w:rPr>
          <w:rFonts w:ascii="宋体" w:hAnsi="宋体"/>
          <w:color w:val="000000" w:themeColor="text1"/>
          <w:sz w:val="21"/>
          <w:szCs w:val="21"/>
          <w:highlight w:val="none"/>
          <w14:textFill>
            <w14:solidFill>
              <w14:schemeClr w14:val="tx1"/>
            </w14:solidFill>
          </w14:textFill>
        </w:rPr>
      </w:pPr>
      <w:bookmarkStart w:id="88" w:name="_Toc30368"/>
      <w:bookmarkStart w:id="89"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8"/>
      <w:bookmarkEnd w:id="8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0" w:name="_Toc2037"/>
      <w:bookmarkStart w:id="91"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0"/>
      <w:bookmarkEnd w:id="9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2" w:name="_Toc367780311"/>
      <w:bookmarkStart w:id="93" w:name="_Toc764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2"/>
      <w:bookmarkEnd w:id="9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4" w:name="_Toc367780312"/>
      <w:bookmarkStart w:id="95" w:name="_Toc16375"/>
      <w:r>
        <w:rPr>
          <w:rFonts w:hint="eastAsia" w:ascii="宋体" w:hAnsi="宋体" w:eastAsia="宋体"/>
          <w:color w:val="000000" w:themeColor="text1"/>
          <w:sz w:val="21"/>
          <w:szCs w:val="21"/>
          <w:highlight w:val="none"/>
          <w14:textFill>
            <w14:solidFill>
              <w14:schemeClr w14:val="tx1"/>
            </w14:solidFill>
          </w14:textFill>
        </w:rPr>
        <w:t>Ｃ谈判文件的编制</w:t>
      </w:r>
      <w:bookmarkEnd w:id="94"/>
      <w:bookmarkEnd w:id="95"/>
    </w:p>
    <w:p>
      <w:pPr>
        <w:pStyle w:val="4"/>
        <w:spacing w:line="360" w:lineRule="auto"/>
        <w:rPr>
          <w:rFonts w:ascii="宋体" w:hAnsi="宋体"/>
          <w:color w:val="000000" w:themeColor="text1"/>
          <w:sz w:val="21"/>
          <w:szCs w:val="21"/>
          <w:highlight w:val="none"/>
          <w14:textFill>
            <w14:solidFill>
              <w14:schemeClr w14:val="tx1"/>
            </w14:solidFill>
          </w14:textFill>
        </w:rPr>
      </w:pPr>
      <w:bookmarkStart w:id="96" w:name="_Toc10731"/>
      <w:bookmarkStart w:id="97"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6"/>
      <w:bookmarkEnd w:id="9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98" w:name="_Toc367780314"/>
      <w:bookmarkStart w:id="99" w:name="_Toc18453"/>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8"/>
      <w:bookmarkEnd w:id="9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0" w:name="_Toc12983"/>
      <w:bookmarkStart w:id="101"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0"/>
      <w:bookmarkEnd w:id="1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2" w:name="_Toc22490"/>
      <w:bookmarkStart w:id="103"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2"/>
      <w:bookmarkEnd w:id="103"/>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4" w:name="_Toc23559"/>
      <w:bookmarkStart w:id="105"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4"/>
      <w:bookmarkEnd w:id="105"/>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6" w:name="_Toc367780318"/>
      <w:bookmarkStart w:id="107" w:name="_Toc19635"/>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6"/>
      <w:bookmarkEnd w:id="10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08" w:name="_Toc367780319"/>
      <w:bookmarkStart w:id="109" w:name="_Toc15182"/>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8"/>
      <w:bookmarkEnd w:id="109"/>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0" w:name="_Toc367780320"/>
      <w:bookmarkStart w:id="111" w:name="_Toc17679"/>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0"/>
      <w:bookmarkEnd w:id="111"/>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2" w:name="_Toc8387"/>
      <w:bookmarkStart w:id="113"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2"/>
      <w:bookmarkEnd w:id="113"/>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14" w:name="_Toc30128"/>
      <w:bookmarkStart w:id="115"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4"/>
      <w:bookmarkEnd w:id="11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6" w:name="_Toc1535"/>
      <w:bookmarkStart w:id="117"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6"/>
      <w:bookmarkEnd w:id="117"/>
    </w:p>
    <w:p>
      <w:pPr>
        <w:pStyle w:val="4"/>
        <w:spacing w:line="360" w:lineRule="auto"/>
        <w:rPr>
          <w:rFonts w:ascii="宋体" w:hAnsi="宋体"/>
          <w:color w:val="000000" w:themeColor="text1"/>
          <w:sz w:val="21"/>
          <w:szCs w:val="21"/>
          <w:highlight w:val="none"/>
          <w14:textFill>
            <w14:solidFill>
              <w14:schemeClr w14:val="tx1"/>
            </w14:solidFill>
          </w14:textFill>
        </w:rPr>
      </w:pPr>
      <w:bookmarkStart w:id="118" w:name="_Toc367780324"/>
      <w:bookmarkStart w:id="119" w:name="_Toc4668"/>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8"/>
      <w:bookmarkEnd w:id="119"/>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0" w:name="_Toc14011"/>
      <w:bookmarkStart w:id="121"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0"/>
      <w:bookmarkEnd w:id="121"/>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2" w:name="_Toc11144"/>
      <w:bookmarkStart w:id="123"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2"/>
      <w:bookmarkEnd w:id="123"/>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24" w:name="_Toc367780327"/>
      <w:bookmarkStart w:id="125" w:name="_Toc11374"/>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4"/>
      <w:bookmarkEnd w:id="12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6" w:name="_Toc14662"/>
      <w:bookmarkStart w:id="127"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6"/>
      <w:bookmarkEnd w:id="127"/>
    </w:p>
    <w:p>
      <w:pPr>
        <w:pStyle w:val="4"/>
        <w:spacing w:line="360" w:lineRule="auto"/>
        <w:rPr>
          <w:rFonts w:ascii="宋体" w:hAnsi="宋体"/>
          <w:color w:val="000000" w:themeColor="text1"/>
          <w:sz w:val="21"/>
          <w:szCs w:val="21"/>
          <w:highlight w:val="none"/>
          <w14:textFill>
            <w14:solidFill>
              <w14:schemeClr w14:val="tx1"/>
            </w14:solidFill>
          </w14:textFill>
        </w:rPr>
      </w:pPr>
      <w:bookmarkStart w:id="128" w:name="_Toc367780329"/>
      <w:bookmarkStart w:id="129" w:name="_Toc7120"/>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8"/>
      <w:bookmarkEnd w:id="12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0" w:name="_Toc367780330"/>
      <w:bookmarkStart w:id="131" w:name="_Toc29165"/>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0"/>
      <w:bookmarkEnd w:id="13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2" w:name="_Toc367780331"/>
      <w:bookmarkStart w:id="133" w:name="_Toc27540"/>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2"/>
      <w:bookmarkEnd w:id="1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4" w:name="_Toc367780332"/>
      <w:bookmarkStart w:id="135" w:name="_Toc27415"/>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4"/>
      <w:bookmarkEnd w:id="135"/>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6" w:name="_Toc367780333"/>
      <w:bookmarkStart w:id="137" w:name="_Toc17879"/>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6"/>
      <w:bookmarkEnd w:id="13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38" w:name="_Toc367780334"/>
      <w:bookmarkStart w:id="139" w:name="_Toc3503"/>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8"/>
      <w:bookmarkEnd w:id="139"/>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0" w:name="_Toc16912"/>
      <w:bookmarkStart w:id="141"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0"/>
      <w:bookmarkEnd w:id="141"/>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2" w:name="_Toc367780336"/>
      <w:bookmarkStart w:id="143" w:name="_Toc1183"/>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2"/>
      <w:bookmarkEnd w:id="143"/>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4" w:name="_Toc21390"/>
      <w:bookmarkStart w:id="145"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4"/>
      <w:bookmarkEnd w:id="145"/>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46" w:name="_Toc367780338"/>
      <w:bookmarkStart w:id="147" w:name="_Toc16863"/>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6"/>
      <w:bookmarkEnd w:id="147"/>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8" w:name="_Toc18622"/>
      <w:bookmarkStart w:id="149"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8"/>
      <w:bookmarkEnd w:id="149"/>
    </w:p>
    <w:p>
      <w:pPr>
        <w:pStyle w:val="4"/>
        <w:spacing w:line="360" w:lineRule="auto"/>
        <w:rPr>
          <w:rFonts w:ascii="宋体" w:hAnsi="宋体"/>
          <w:color w:val="000000" w:themeColor="text1"/>
          <w:sz w:val="21"/>
          <w:szCs w:val="21"/>
          <w:highlight w:val="none"/>
          <w14:textFill>
            <w14:solidFill>
              <w14:schemeClr w14:val="tx1"/>
            </w14:solidFill>
          </w14:textFill>
        </w:rPr>
      </w:pPr>
      <w:bookmarkStart w:id="150" w:name="_Toc367780340"/>
      <w:bookmarkStart w:id="151" w:name="_Toc21784"/>
      <w:r>
        <w:rPr>
          <w:rFonts w:hint="eastAsia" w:ascii="宋体" w:hAnsi="宋体"/>
          <w:color w:val="000000" w:themeColor="text1"/>
          <w:sz w:val="21"/>
          <w:szCs w:val="21"/>
          <w:highlight w:val="none"/>
          <w14:textFill>
            <w14:solidFill>
              <w14:schemeClr w14:val="tx1"/>
            </w14:solidFill>
          </w14:textFill>
        </w:rPr>
        <w:t>32     接受和拒绝投标的权利</w:t>
      </w:r>
      <w:bookmarkEnd w:id="150"/>
      <w:bookmarkEnd w:id="15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52" w:name="_Toc367780341"/>
      <w:bookmarkStart w:id="153" w:name="_Toc18900"/>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4"/>
        <w:spacing w:line="360" w:lineRule="auto"/>
        <w:rPr>
          <w:rFonts w:ascii="宋体" w:hAnsi="宋体"/>
          <w:color w:val="000000" w:themeColor="text1"/>
          <w:sz w:val="21"/>
          <w:szCs w:val="21"/>
          <w:highlight w:val="none"/>
          <w14:textFill>
            <w14:solidFill>
              <w14:schemeClr w14:val="tx1"/>
            </w14:solidFill>
          </w14:textFill>
        </w:rPr>
      </w:pPr>
      <w:bookmarkStart w:id="154" w:name="_Toc26676"/>
      <w:bookmarkStart w:id="155"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4"/>
      <w:bookmarkEnd w:id="155"/>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6"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157" w:name="_Toc430771059"/>
      <w:bookmarkStart w:id="158" w:name="_Toc432682726"/>
      <w:bookmarkStart w:id="159" w:name="_Toc499041071"/>
      <w:bookmarkStart w:id="160" w:name="_Toc3111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7"/>
      <w:bookmarkEnd w:id="158"/>
      <w:bookmarkEnd w:id="159"/>
      <w:bookmarkEnd w:id="16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1" w:name="_Toc430185803"/>
      <w:bookmarkStart w:id="162"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3"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1"/>
      <w:bookmarkEnd w:id="162"/>
      <w:bookmarkEnd w:id="16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4" w:name="_Toc430185804"/>
      <w:bookmarkStart w:id="165"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4"/>
      <w:bookmarkEnd w:id="16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6" w:name="_Toc430771062"/>
      <w:bookmarkStart w:id="167"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6"/>
      <w:bookmarkEnd w:id="16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8" w:name="_Toc430771063"/>
      <w:bookmarkStart w:id="169"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8"/>
      <w:bookmarkEnd w:id="169"/>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0" w:name="_Toc6543"/>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6"/>
      <w:bookmarkEnd w:id="170"/>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2569"/>
      <w:bookmarkStart w:id="172"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1"/>
      <w:bookmarkEnd w:id="172"/>
    </w:p>
    <w:p>
      <w:pPr>
        <w:pStyle w:val="2"/>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3" w:name="_Toc26797"/>
      <w:bookmarkStart w:id="174" w:name="_Toc200414513"/>
      <w:r>
        <w:rPr>
          <w:rFonts w:hint="eastAsia" w:ascii="宋体" w:hAnsi="宋体" w:eastAsia="宋体"/>
          <w:color w:val="000000" w:themeColor="text1"/>
          <w:highlight w:val="none"/>
          <w14:textFill>
            <w14:solidFill>
              <w14:schemeClr w14:val="tx1"/>
            </w14:solidFill>
          </w14:textFill>
        </w:rPr>
        <w:t>封面格式</w:t>
      </w:r>
      <w:bookmarkEnd w:id="173"/>
      <w:bookmarkEnd w:id="174"/>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8"/>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8"/>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rPr>
          <w:rFonts w:ascii="宋体" w:hAnsi="宋体"/>
          <w:bCs/>
          <w:color w:val="000000" w:themeColor="text1"/>
          <w:szCs w:val="24"/>
          <w:highlight w:val="none"/>
          <w14:textFill>
            <w14:solidFill>
              <w14:schemeClr w14:val="tx1"/>
            </w14:solidFill>
          </w14:textFill>
        </w:rPr>
      </w:pPr>
    </w:p>
    <w:p>
      <w:pPr>
        <w:pStyle w:val="8"/>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8"/>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8"/>
        <w:spacing w:line="360" w:lineRule="auto"/>
        <w:jc w:val="center"/>
        <w:rPr>
          <w:rFonts w:ascii="宋体" w:hAnsi="宋体"/>
          <w:bCs/>
          <w:color w:val="000000" w:themeColor="text1"/>
          <w:szCs w:val="24"/>
          <w:highlight w:val="none"/>
          <w14:textFill>
            <w14:solidFill>
              <w14:schemeClr w14:val="tx1"/>
            </w14:solidFill>
          </w14:textFill>
        </w:rPr>
      </w:pPr>
    </w:p>
    <w:p>
      <w:pPr>
        <w:pStyle w:val="8"/>
        <w:spacing w:line="360" w:lineRule="auto"/>
        <w:jc w:val="center"/>
        <w:rPr>
          <w:rFonts w:ascii="宋体" w:hAnsi="宋体"/>
          <w:bCs/>
          <w:color w:val="000000" w:themeColor="text1"/>
          <w:szCs w:val="24"/>
          <w:highlight w:val="none"/>
          <w14:textFill>
            <w14:solidFill>
              <w14:schemeClr w14:val="tx1"/>
            </w14:solidFill>
          </w14:textFill>
        </w:rPr>
      </w:pPr>
    </w:p>
    <w:p>
      <w:pPr>
        <w:pStyle w:val="8"/>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YXZB-20220709</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8"/>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8"/>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8"/>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5" w:name="_Toc200414514"/>
      <w:bookmarkStart w:id="176" w:name="_Toc2266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5"/>
      <w:bookmarkEnd w:id="176"/>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7" w:name="_Toc200414515"/>
      <w:bookmarkStart w:id="178" w:name="_Toc20896"/>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7"/>
      <w:bookmarkEnd w:id="178"/>
    </w:p>
    <w:p>
      <w:pPr>
        <w:pStyle w:val="8"/>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8"/>
        <w:spacing w:line="360" w:lineRule="auto"/>
        <w:ind w:left="420" w:firstLine="0"/>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79" w:name="_Toc10003"/>
      <w:bookmarkStart w:id="180"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79"/>
      <w:bookmarkEnd w:id="180"/>
    </w:p>
    <w:p>
      <w:pPr>
        <w:pStyle w:val="8"/>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ind w:firstLine="0"/>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1" w:name="_Toc200414517"/>
      <w:bookmarkStart w:id="182" w:name="_Toc21624"/>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1"/>
      <w:bookmarkEnd w:id="182"/>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3" w:name="_Toc200414522"/>
      <w:bookmarkStart w:id="184" w:name="_Toc13117"/>
      <w:r>
        <w:rPr>
          <w:rFonts w:hint="eastAsia" w:ascii="宋体" w:hAnsi="宋体" w:eastAsia="宋体"/>
          <w:color w:val="000000" w:themeColor="text1"/>
          <w:sz w:val="28"/>
          <w:szCs w:val="28"/>
          <w:highlight w:val="none"/>
          <w14:textFill>
            <w14:solidFill>
              <w14:schemeClr w14:val="tx1"/>
            </w14:solidFill>
          </w14:textFill>
        </w:rPr>
        <w:t>（四）</w:t>
      </w:r>
      <w:bookmarkEnd w:id="183"/>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4"/>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2"/>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5" w:name="_Toc200414524"/>
      <w:bookmarkStart w:id="186" w:name="_Toc20865"/>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5"/>
      <w:bookmarkEnd w:id="186"/>
    </w:p>
    <w:p>
      <w:pPr>
        <w:pStyle w:val="2"/>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7" w:name="_Toc200414525"/>
      <w:bookmarkStart w:id="188" w:name="_Toc14514"/>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7"/>
      <w:bookmarkEnd w:id="188"/>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9" w:name="_Toc200414526"/>
      <w:bookmarkStart w:id="190" w:name="_Toc10259"/>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89"/>
      <w:bookmarkEnd w:id="19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1" w:name="_Toc200414527"/>
      <w:bookmarkStart w:id="192" w:name="_Toc27199"/>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1"/>
      <w:bookmarkEnd w:id="19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8"/>
              <w:snapToGrid w:val="0"/>
              <w:ind w:firstLine="0"/>
              <w:jc w:val="center"/>
              <w:rPr>
                <w:color w:val="000000" w:themeColor="text1"/>
                <w:highlight w:val="none"/>
                <w14:textFill>
                  <w14:solidFill>
                    <w14:schemeClr w14:val="tx1"/>
                  </w14:solidFill>
                </w14:textFill>
              </w:rPr>
            </w:pPr>
          </w:p>
        </w:tc>
        <w:tc>
          <w:tcPr>
            <w:tcW w:w="1281" w:type="dxa"/>
            <w:vAlign w:val="center"/>
          </w:tcPr>
          <w:p>
            <w:pPr>
              <w:pStyle w:val="8"/>
              <w:snapToGrid w:val="0"/>
              <w:ind w:firstLine="0"/>
              <w:jc w:val="center"/>
              <w:rPr>
                <w:color w:val="000000" w:themeColor="text1"/>
                <w:highlight w:val="none"/>
                <w14:textFill>
                  <w14:solidFill>
                    <w14:schemeClr w14:val="tx1"/>
                  </w14:solidFill>
                </w14:textFill>
              </w:rPr>
            </w:pPr>
          </w:p>
        </w:tc>
        <w:tc>
          <w:tcPr>
            <w:tcW w:w="1287" w:type="dxa"/>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8"/>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8"/>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8"/>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8"/>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8"/>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3" w:name="_Toc200414528"/>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4" w:name="_Toc13634"/>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3"/>
      <w:bookmarkEnd w:id="19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6231"/>
      <w:bookmarkStart w:id="196"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5"/>
      <w:bookmarkEnd w:id="19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30897"/>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8"/>
              <w:snapToGrid w:val="0"/>
              <w:jc w:val="center"/>
              <w:rPr>
                <w:rFonts w:hAnsi="宋体"/>
                <w:bCs/>
                <w:color w:val="000000" w:themeColor="text1"/>
                <w:szCs w:val="24"/>
                <w:highlight w:val="none"/>
                <w14:textFill>
                  <w14:solidFill>
                    <w14:schemeClr w14:val="tx1"/>
                  </w14:solidFill>
                </w14:textFill>
              </w:rPr>
            </w:pPr>
          </w:p>
        </w:tc>
      </w:tr>
    </w:tbl>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p>
    <w:p>
      <w:pPr>
        <w:pStyle w:val="8"/>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8"/>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8" w:name="_Toc30981"/>
      <w:bookmarkStart w:id="199" w:name="_Toc7149"/>
      <w:bookmarkStart w:id="200" w:name="_Toc430771089"/>
      <w:bookmarkStart w:id="201" w:name="_Toc432695229"/>
      <w:bookmarkStart w:id="202" w:name="_Toc432682754"/>
      <w:bookmarkStart w:id="203" w:name="_Toc365967105"/>
      <w:bookmarkStart w:id="204" w:name="_Toc342296791"/>
      <w:bookmarkStart w:id="205" w:name="_Toc339020045"/>
      <w:bookmarkStart w:id="206" w:name="_Toc333237819"/>
      <w:bookmarkStart w:id="207" w:name="_Toc339441117"/>
      <w:bookmarkStart w:id="208" w:name="_Toc331684072"/>
      <w:bookmarkStart w:id="209" w:name="_Toc340672899"/>
      <w:bookmarkStart w:id="210" w:name="_Toc102451601"/>
      <w:bookmarkStart w:id="211" w:name="_Toc345312627"/>
      <w:bookmarkStart w:id="212" w:name="_Toc340507472"/>
      <w:bookmarkStart w:id="213" w:name="_Toc330460016"/>
      <w:bookmarkStart w:id="214" w:name="_Toc340677100"/>
      <w:bookmarkStart w:id="215" w:name="_Toc365985211"/>
      <w:bookmarkStart w:id="216" w:name="_Toc331512931"/>
      <w:bookmarkStart w:id="217" w:name="_Toc350438779"/>
      <w:bookmarkStart w:id="218" w:name="_Toc343247130"/>
      <w:bookmarkStart w:id="219" w:name="_Toc332270377"/>
      <w:bookmarkStart w:id="220" w:name="_Toc366072562"/>
      <w:bookmarkStart w:id="221" w:name="_Toc342060405"/>
      <w:bookmarkStart w:id="222" w:name="_Toc341348370"/>
      <w:bookmarkStart w:id="223" w:name="_Toc339020263"/>
      <w:bookmarkStart w:id="224" w:name="_Toc339020125"/>
      <w:bookmarkStart w:id="225" w:name="_Toc333935717"/>
      <w:bookmarkStart w:id="226" w:name="_Toc343612950"/>
      <w:bookmarkStart w:id="227" w:name="_Toc342398160"/>
      <w:bookmarkStart w:id="228" w:name="_Toc336681610"/>
      <w:bookmarkStart w:id="229" w:name="_Toc333935376"/>
      <w:bookmarkStart w:id="230" w:name="_Toc337632388"/>
      <w:bookmarkStart w:id="231" w:name="_Toc350756480"/>
      <w:bookmarkStart w:id="232" w:name="_Toc336681965"/>
      <w:bookmarkStart w:id="233" w:name="_Toc333238664"/>
      <w:bookmarkStart w:id="234" w:name="_Toc332206739"/>
      <w:bookmarkStart w:id="235" w:name="_Toc333237708"/>
      <w:bookmarkStart w:id="236" w:name="_Toc339019919"/>
      <w:bookmarkStart w:id="237" w:name="_Toc339362330"/>
      <w:bookmarkStart w:id="238" w:name="_Toc342312473"/>
      <w:bookmarkStart w:id="239" w:name="_Toc343248448"/>
      <w:bookmarkStart w:id="240"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8"/>
      <w:bookmarkEnd w:id="199"/>
      <w:bookmarkEnd w:id="200"/>
      <w:bookmarkEnd w:id="201"/>
      <w:bookmarkEnd w:id="20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8"/>
        <w:ind w:firstLine="0"/>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Style w:val="2"/>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1" w:name="_Toc20242"/>
      <w:bookmarkStart w:id="242" w:name="_Toc6482"/>
      <w:bookmarkStart w:id="243" w:name="_Toc32373"/>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1"/>
      <w:bookmarkEnd w:id="242"/>
      <w:bookmarkEnd w:id="24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4" w:name="_Toc1089"/>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0"/>
      <w:bookmarkEnd w:id="24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4319"/>
      <w:bookmarkStart w:id="246"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5"/>
      <w:bookmarkEnd w:id="246"/>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8"/>
        <w:spacing w:line="360" w:lineRule="auto"/>
        <w:rPr>
          <w:rFonts w:ascii="宋体" w:hAnsi="宋体"/>
          <w:color w:val="000000" w:themeColor="text1"/>
          <w:szCs w:val="21"/>
          <w:highlight w:val="none"/>
          <w14:textFill>
            <w14:solidFill>
              <w14:schemeClr w14:val="tx1"/>
            </w14:solidFill>
          </w14:textFill>
        </w:rPr>
      </w:pP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8"/>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8"/>
        <w:spacing w:line="360" w:lineRule="auto"/>
        <w:rPr>
          <w:rFonts w:ascii="宋体" w:hAnsi="宋体"/>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7" w:name="_Toc12279"/>
      <w:bookmarkStart w:id="248" w:name="_Toc434832511"/>
      <w:r>
        <w:rPr>
          <w:rFonts w:hint="eastAsia" w:ascii="宋体" w:hAnsi="宋体" w:eastAsia="宋体"/>
          <w:color w:val="000000" w:themeColor="text1"/>
          <w:sz w:val="52"/>
          <w:highlight w:val="none"/>
          <w14:textFill>
            <w14:solidFill>
              <w14:schemeClr w14:val="tx1"/>
            </w14:solidFill>
          </w14:textFill>
        </w:rPr>
        <w:t>其 他 格 式</w:t>
      </w:r>
      <w:bookmarkEnd w:id="247"/>
      <w:bookmarkEnd w:id="24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rFonts w:ascii="宋体" w:hAnsi="宋体"/>
          <w:color w:val="000000" w:themeColor="text1"/>
          <w:sz w:val="28"/>
          <w:highlight w:val="none"/>
          <w14:textFill>
            <w14:solidFill>
              <w14:schemeClr w14:val="tx1"/>
            </w14:solidFill>
          </w14:textFill>
        </w:rPr>
      </w:pPr>
      <w:bookmarkStart w:id="249" w:name="_Toc15430"/>
      <w:r>
        <w:rPr>
          <w:rFonts w:hint="eastAsia" w:ascii="宋体" w:hAnsi="宋体"/>
          <w:color w:val="000000" w:themeColor="text1"/>
          <w:sz w:val="28"/>
          <w:highlight w:val="none"/>
          <w14:textFill>
            <w14:solidFill>
              <w14:schemeClr w14:val="tx1"/>
            </w14:solidFill>
          </w14:textFill>
        </w:rPr>
        <w:t>投标保证金退付书</w:t>
      </w:r>
      <w:bookmarkEnd w:id="249"/>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rPr>
          <w:rFonts w:hint="eastAsia" w:ascii="宋体" w:hAnsi="宋体"/>
          <w:b/>
          <w:color w:val="000000" w:themeColor="text1"/>
          <w:sz w:val="24"/>
          <w:highlight w:val="none"/>
          <w14:textFill>
            <w14:solidFill>
              <w14:schemeClr w14:val="tx1"/>
            </w14:solidFill>
          </w14:textFill>
        </w:rPr>
      </w:pPr>
    </w:p>
    <w:p>
      <w:pPr>
        <w:pStyle w:val="8"/>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4E514F"/>
    <w:rsid w:val="05A70A0D"/>
    <w:rsid w:val="05AC0574"/>
    <w:rsid w:val="05BC419D"/>
    <w:rsid w:val="05D77605"/>
    <w:rsid w:val="05F6352F"/>
    <w:rsid w:val="06651825"/>
    <w:rsid w:val="06C61066"/>
    <w:rsid w:val="06D70337"/>
    <w:rsid w:val="06F227DE"/>
    <w:rsid w:val="08D11305"/>
    <w:rsid w:val="09B554AF"/>
    <w:rsid w:val="09E84E10"/>
    <w:rsid w:val="0A70684A"/>
    <w:rsid w:val="0A951F6E"/>
    <w:rsid w:val="0B6E1848"/>
    <w:rsid w:val="0BFA53E6"/>
    <w:rsid w:val="0C7F72BD"/>
    <w:rsid w:val="0D844120"/>
    <w:rsid w:val="0D9E60D7"/>
    <w:rsid w:val="0F3B2F67"/>
    <w:rsid w:val="0F7A2AAA"/>
    <w:rsid w:val="0F9A500F"/>
    <w:rsid w:val="116077A0"/>
    <w:rsid w:val="11E25FD6"/>
    <w:rsid w:val="11FB3784"/>
    <w:rsid w:val="12427DF1"/>
    <w:rsid w:val="12BA5DE6"/>
    <w:rsid w:val="13FF2FB9"/>
    <w:rsid w:val="15E76A24"/>
    <w:rsid w:val="16CB43D6"/>
    <w:rsid w:val="173F3753"/>
    <w:rsid w:val="174801F6"/>
    <w:rsid w:val="17827F02"/>
    <w:rsid w:val="182E7070"/>
    <w:rsid w:val="183F1D1A"/>
    <w:rsid w:val="195C6615"/>
    <w:rsid w:val="19F97358"/>
    <w:rsid w:val="1A553748"/>
    <w:rsid w:val="1A6754AF"/>
    <w:rsid w:val="1AE3378E"/>
    <w:rsid w:val="1AFA6EBD"/>
    <w:rsid w:val="1C5D0427"/>
    <w:rsid w:val="1C7B3169"/>
    <w:rsid w:val="1C933E4A"/>
    <w:rsid w:val="206977D9"/>
    <w:rsid w:val="21A613C7"/>
    <w:rsid w:val="223733C1"/>
    <w:rsid w:val="224E294F"/>
    <w:rsid w:val="226C214F"/>
    <w:rsid w:val="22854FFE"/>
    <w:rsid w:val="228B438E"/>
    <w:rsid w:val="22E31283"/>
    <w:rsid w:val="2348000B"/>
    <w:rsid w:val="23AD760F"/>
    <w:rsid w:val="257A2AD3"/>
    <w:rsid w:val="25AB26B2"/>
    <w:rsid w:val="25B922DD"/>
    <w:rsid w:val="25BB7DA5"/>
    <w:rsid w:val="2617522C"/>
    <w:rsid w:val="28023C5C"/>
    <w:rsid w:val="2B70499C"/>
    <w:rsid w:val="2CC827E0"/>
    <w:rsid w:val="2FAF694F"/>
    <w:rsid w:val="300D3295"/>
    <w:rsid w:val="30274823"/>
    <w:rsid w:val="313145D4"/>
    <w:rsid w:val="31C07988"/>
    <w:rsid w:val="32B562B2"/>
    <w:rsid w:val="34514DEA"/>
    <w:rsid w:val="34A5067E"/>
    <w:rsid w:val="34CC3D50"/>
    <w:rsid w:val="35645814"/>
    <w:rsid w:val="359441D9"/>
    <w:rsid w:val="36682807"/>
    <w:rsid w:val="37C64415"/>
    <w:rsid w:val="37F86297"/>
    <w:rsid w:val="38077A24"/>
    <w:rsid w:val="39822E25"/>
    <w:rsid w:val="39A33E38"/>
    <w:rsid w:val="39E30BB5"/>
    <w:rsid w:val="39F775D0"/>
    <w:rsid w:val="3AB70F8D"/>
    <w:rsid w:val="3BD261FC"/>
    <w:rsid w:val="3DB37034"/>
    <w:rsid w:val="3E546CEB"/>
    <w:rsid w:val="3F657D6E"/>
    <w:rsid w:val="3FFC76A0"/>
    <w:rsid w:val="4000724E"/>
    <w:rsid w:val="401C19E8"/>
    <w:rsid w:val="418827F6"/>
    <w:rsid w:val="421440A0"/>
    <w:rsid w:val="427914F2"/>
    <w:rsid w:val="42926285"/>
    <w:rsid w:val="42DA0C6E"/>
    <w:rsid w:val="43920409"/>
    <w:rsid w:val="43AA0DB5"/>
    <w:rsid w:val="43AB748D"/>
    <w:rsid w:val="44FA1BC9"/>
    <w:rsid w:val="450966EF"/>
    <w:rsid w:val="45412657"/>
    <w:rsid w:val="465877C4"/>
    <w:rsid w:val="476612EE"/>
    <w:rsid w:val="478B4272"/>
    <w:rsid w:val="47EA5B27"/>
    <w:rsid w:val="484771DF"/>
    <w:rsid w:val="48BD6E6E"/>
    <w:rsid w:val="48F15695"/>
    <w:rsid w:val="495F4D4E"/>
    <w:rsid w:val="49782573"/>
    <w:rsid w:val="4A1C5E76"/>
    <w:rsid w:val="4B396733"/>
    <w:rsid w:val="4B3A2F93"/>
    <w:rsid w:val="4CDF200B"/>
    <w:rsid w:val="4D8818A4"/>
    <w:rsid w:val="4DA9035D"/>
    <w:rsid w:val="4FBF2B30"/>
    <w:rsid w:val="50070AD0"/>
    <w:rsid w:val="51854483"/>
    <w:rsid w:val="524A1ECB"/>
    <w:rsid w:val="5386054C"/>
    <w:rsid w:val="542A299E"/>
    <w:rsid w:val="54491131"/>
    <w:rsid w:val="54E831A5"/>
    <w:rsid w:val="56CE0EA5"/>
    <w:rsid w:val="58627BE8"/>
    <w:rsid w:val="5A4159A9"/>
    <w:rsid w:val="5A633C89"/>
    <w:rsid w:val="5B696393"/>
    <w:rsid w:val="5B7B1804"/>
    <w:rsid w:val="5B7D7635"/>
    <w:rsid w:val="5C475F9E"/>
    <w:rsid w:val="5D684457"/>
    <w:rsid w:val="5EAE747B"/>
    <w:rsid w:val="5F34520E"/>
    <w:rsid w:val="601445A3"/>
    <w:rsid w:val="601C5B46"/>
    <w:rsid w:val="606A15ED"/>
    <w:rsid w:val="62F34242"/>
    <w:rsid w:val="646507D9"/>
    <w:rsid w:val="65D90B98"/>
    <w:rsid w:val="66313589"/>
    <w:rsid w:val="676E702E"/>
    <w:rsid w:val="67F10FCD"/>
    <w:rsid w:val="69826A39"/>
    <w:rsid w:val="6A9B1E1D"/>
    <w:rsid w:val="6AFB752E"/>
    <w:rsid w:val="6C0A331C"/>
    <w:rsid w:val="6D0D797F"/>
    <w:rsid w:val="6D881C70"/>
    <w:rsid w:val="6E0C11B0"/>
    <w:rsid w:val="6E3C0C9C"/>
    <w:rsid w:val="6E446298"/>
    <w:rsid w:val="6E673F14"/>
    <w:rsid w:val="6FDD6381"/>
    <w:rsid w:val="6FF81729"/>
    <w:rsid w:val="74AA237E"/>
    <w:rsid w:val="7541409D"/>
    <w:rsid w:val="76AC7B4F"/>
    <w:rsid w:val="7750345B"/>
    <w:rsid w:val="7849732E"/>
    <w:rsid w:val="7B4A52E9"/>
    <w:rsid w:val="7D4D5A35"/>
    <w:rsid w:val="7DA75CF8"/>
    <w:rsid w:val="7DF37ED1"/>
    <w:rsid w:val="7E572F28"/>
    <w:rsid w:val="7F3713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8"/>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0"/>
    <w:qFormat/>
    <w:uiPriority w:val="0"/>
    <w:pPr>
      <w:keepNext/>
      <w:keepLines/>
      <w:spacing w:before="240" w:after="64" w:line="320" w:lineRule="auto"/>
      <w:outlineLvl w:val="6"/>
    </w:pPr>
    <w:rPr>
      <w:b/>
      <w:sz w:val="24"/>
      <w:szCs w:val="20"/>
    </w:rPr>
  </w:style>
  <w:style w:type="paragraph" w:styleId="10">
    <w:name w:val="heading 8"/>
    <w:basedOn w:val="1"/>
    <w:next w:val="8"/>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5"/>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4"/>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2"/>
    <w:qFormat/>
    <w:locked/>
    <w:uiPriority w:val="0"/>
    <w:rPr>
      <w:rFonts w:ascii="Arial" w:hAnsi="Arial" w:eastAsia="黑体"/>
      <w:b/>
      <w:bCs/>
      <w:kern w:val="2"/>
      <w:sz w:val="32"/>
      <w:szCs w:val="32"/>
    </w:rPr>
  </w:style>
  <w:style w:type="character" w:customStyle="1" w:styleId="85">
    <w:name w:val="标题 5 Char"/>
    <w:link w:val="6"/>
    <w:qFormat/>
    <w:locked/>
    <w:uiPriority w:val="0"/>
    <w:rPr>
      <w:b/>
      <w:sz w:val="28"/>
    </w:rPr>
  </w:style>
  <w:style w:type="character" w:customStyle="1" w:styleId="86">
    <w:name w:val="标题 6 Char"/>
    <w:link w:val="7"/>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8"/>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5"/>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20967</Words>
  <Characters>22099</Characters>
  <Lines>196</Lines>
  <Paragraphs>55</Paragraphs>
  <TotalTime>3</TotalTime>
  <ScaleCrop>false</ScaleCrop>
  <LinksUpToDate>false</LinksUpToDate>
  <CharactersWithSpaces>24542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2016-12-28T09:38:00Z</cp:lastPrinted>
  <dcterms:modified xsi:type="dcterms:W3CDTF">2022-08-29T00:47:56Z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958561446096443CA77D9A05DD725A50</vt:lpwstr>
  </property>
</Properties>
</file>