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widowControl/>
        <w:adjustRightInd w:val="0"/>
        <w:snapToGrid w:val="0"/>
        <w:spacing w:line="360" w:lineRule="auto"/>
        <w:jc w:val="left"/>
        <w:rPr>
          <w:rFonts w:hAnsi="宋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1"/>
                    <a:stretch>
                      <a:fillRect/>
                    </a:stretch>
                  </pic:blipFill>
                  <pic:spPr>
                    <a:xfrm>
                      <a:off x="0" y="0"/>
                      <a:ext cx="2265680" cy="400685"/>
                    </a:xfrm>
                    <a:prstGeom prst="rect">
                      <a:avLst/>
                    </a:prstGeom>
                  </pic:spPr>
                </pic:pic>
              </a:graphicData>
            </a:graphic>
          </wp:inline>
        </w:drawing>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竞争性谈判</w:t>
      </w:r>
    </w:p>
    <w:p>
      <w:pPr>
        <w:pStyle w:val="22"/>
        <w:widowControl/>
        <w:adjustRightInd w:val="0"/>
        <w:snapToGrid w:val="0"/>
        <w:spacing w:line="360" w:lineRule="auto"/>
        <w:jc w:val="center"/>
        <w:rPr>
          <w:rFonts w:hAnsi="宋体"/>
          <w:bCs/>
          <w:color w:val="000000" w:themeColor="text1"/>
          <w:sz w:val="72"/>
          <w:szCs w:val="72"/>
          <w:highlight w:val="none"/>
          <w14:textFill>
            <w14:solidFill>
              <w14:schemeClr w14:val="tx1"/>
            </w14:solidFill>
          </w14:textFill>
        </w:rPr>
      </w:pPr>
    </w:p>
    <w:p>
      <w:pPr>
        <w:pStyle w:val="22"/>
        <w:widowControl/>
        <w:adjustRightInd w:val="0"/>
        <w:snapToGrid w:val="0"/>
        <w:spacing w:line="360" w:lineRule="auto"/>
        <w:jc w:val="center"/>
        <w:rPr>
          <w:rFonts w:ascii="黑体" w:hAnsi="黑体" w:eastAsia="黑体"/>
          <w:b/>
          <w:bCs/>
          <w:color w:val="000000" w:themeColor="text1"/>
          <w:sz w:val="36"/>
          <w:highlight w:val="none"/>
          <w14:textFill>
            <w14:solidFill>
              <w14:schemeClr w14:val="tx1"/>
            </w14:solidFill>
          </w14:textFill>
        </w:rPr>
      </w:pPr>
      <w:r>
        <w:rPr>
          <w:rFonts w:hint="eastAsia" w:ascii="黑体" w:hAnsi="黑体" w:eastAsia="黑体"/>
          <w:b/>
          <w:bCs/>
          <w:color w:val="000000" w:themeColor="text1"/>
          <w:sz w:val="72"/>
          <w:highlight w:val="none"/>
          <w14:textFill>
            <w14:solidFill>
              <w14:schemeClr w14:val="tx1"/>
            </w14:solidFill>
          </w14:textFill>
        </w:rPr>
        <w:t>谈  判  文  件</w:t>
      </w: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jc w:val="center"/>
        <w:rPr>
          <w:rFonts w:hAnsi="宋体"/>
          <w:bCs/>
          <w:color w:val="000000" w:themeColor="text1"/>
          <w:sz w:val="52"/>
          <w:szCs w:val="52"/>
          <w:highlight w:val="none"/>
          <w14:textFill>
            <w14:solidFill>
              <w14:schemeClr w14:val="tx1"/>
            </w14:solidFill>
          </w14:textFill>
        </w:rPr>
      </w:pPr>
    </w:p>
    <w:p>
      <w:pPr>
        <w:pStyle w:val="22"/>
        <w:widowControl/>
        <w:adjustRightInd w:val="0"/>
        <w:snapToGrid w:val="0"/>
        <w:spacing w:line="360" w:lineRule="auto"/>
        <w:rPr>
          <w:rFonts w:hAnsi="宋体"/>
          <w:bCs/>
          <w:color w:val="000000" w:themeColor="text1"/>
          <w:sz w:val="52"/>
          <w:szCs w:val="52"/>
          <w:highlight w:val="none"/>
          <w14:textFill>
            <w14:solidFill>
              <w14:schemeClr w14:val="tx1"/>
            </w14:solidFill>
          </w14:textFill>
        </w:rPr>
      </w:pPr>
    </w:p>
    <w:tbl>
      <w:tblPr>
        <w:tblStyle w:val="42"/>
        <w:tblW w:w="5769" w:type="dxa"/>
        <w:jc w:val="center"/>
        <w:tblLayout w:type="fixed"/>
        <w:tblCellMar>
          <w:top w:w="0" w:type="dxa"/>
          <w:left w:w="108" w:type="dxa"/>
          <w:bottom w:w="0" w:type="dxa"/>
          <w:right w:w="108" w:type="dxa"/>
        </w:tblCellMar>
      </w:tblPr>
      <w:tblGrid>
        <w:gridCol w:w="1951"/>
        <w:gridCol w:w="284"/>
        <w:gridCol w:w="3534"/>
      </w:tblGrid>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3534" w:type="dxa"/>
            <w:vAlign w:val="center"/>
          </w:tcPr>
          <w:p>
            <w:pPr>
              <w:pStyle w:val="22"/>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YXZB-20220311</w:t>
            </w:r>
          </w:p>
        </w:tc>
      </w:tr>
      <w:tr>
        <w:tblPrEx>
          <w:tblCellMar>
            <w:top w:w="0" w:type="dxa"/>
            <w:left w:w="108" w:type="dxa"/>
            <w:bottom w:w="0" w:type="dxa"/>
            <w:right w:w="108" w:type="dxa"/>
          </w:tblCellMar>
        </w:tblPrEx>
        <w:trPr>
          <w:trHeight w:val="77" w:hRule="atLeast"/>
          <w:jc w:val="center"/>
        </w:trPr>
        <w:tc>
          <w:tcPr>
            <w:tcW w:w="1951" w:type="dxa"/>
          </w:tcPr>
          <w:p>
            <w:pPr>
              <w:pStyle w:val="22"/>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3534"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合山中学鱼池改造工程</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2"/>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3534"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阳江市阳东区合山中学</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2"/>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2"/>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3534" w:type="dxa"/>
            <w:vAlign w:val="center"/>
          </w:tcPr>
          <w:p>
            <w:pPr>
              <w:pStyle w:val="22"/>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2"/>
        <w:widowControl/>
        <w:adjustRightInd w:val="0"/>
        <w:snapToGrid w:val="0"/>
        <w:spacing w:line="360" w:lineRule="auto"/>
        <w:jc w:val="center"/>
        <w:rPr>
          <w:rFonts w:hAnsi="宋体"/>
          <w:bCs/>
          <w:color w:val="000000" w:themeColor="text1"/>
          <w:sz w:val="24"/>
          <w:szCs w:val="24"/>
          <w:highlight w:val="none"/>
          <w14:textFill>
            <w14:solidFill>
              <w14:schemeClr w14:val="tx1"/>
            </w14:solidFill>
          </w14:textFill>
        </w:rPr>
      </w:pPr>
    </w:p>
    <w:p>
      <w:pPr>
        <w:pStyle w:val="22"/>
        <w:widowControl/>
        <w:adjustRightInd w:val="0"/>
        <w:snapToGrid w:val="0"/>
        <w:spacing w:line="360" w:lineRule="auto"/>
        <w:jc w:val="center"/>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二○二二年</w:t>
      </w:r>
      <w:r>
        <w:rPr>
          <w:rFonts w:hint="eastAsia" w:hAnsi="宋体"/>
          <w:b/>
          <w:bCs/>
          <w:color w:val="000000" w:themeColor="text1"/>
          <w:sz w:val="24"/>
          <w:szCs w:val="24"/>
          <w:highlight w:val="none"/>
          <w:lang w:val="en-US" w:eastAsia="zh-CN"/>
          <w14:textFill>
            <w14:solidFill>
              <w14:schemeClr w14:val="tx1"/>
            </w14:solidFill>
          </w14:textFill>
        </w:rPr>
        <w:t>三</w:t>
      </w:r>
      <w:r>
        <w:rPr>
          <w:rFonts w:hint="eastAsia" w:hAnsi="宋体"/>
          <w:b/>
          <w:bCs/>
          <w:color w:val="000000" w:themeColor="text1"/>
          <w:sz w:val="24"/>
          <w:szCs w:val="24"/>
          <w:highlight w:val="none"/>
          <w14:textFill>
            <w14:solidFill>
              <w14:schemeClr w14:val="tx1"/>
            </w14:solidFill>
          </w14:textFill>
        </w:rPr>
        <w:t>月</w:t>
      </w:r>
    </w:p>
    <w:p>
      <w:pPr>
        <w:spacing w:beforeLines="50" w:afterLines="50" w:line="360" w:lineRule="auto"/>
        <w:jc w:val="center"/>
        <w:rPr>
          <w:rFonts w:hint="eastAsia" w:ascii="宋体" w:hAnsi="宋体"/>
          <w:b/>
          <w:color w:val="000000" w:themeColor="text1"/>
          <w:sz w:val="36"/>
          <w:highlight w:val="none"/>
          <w14:textFill>
            <w14:solidFill>
              <w14:schemeClr w14:val="tx1"/>
            </w14:solidFill>
          </w14:textFill>
        </w:rPr>
      </w:pPr>
    </w:p>
    <w:p>
      <w:pPr>
        <w:spacing w:beforeLines="50" w:afterLines="50" w:line="360" w:lineRule="auto"/>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请供应商特别留意谈判文件上注明的投标截止和开标时间，逾期送达或邮寄送达的谈判文件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谈判文件中标有“★”的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Cs/>
          <w:color w:val="000000" w:themeColor="text1"/>
          <w:szCs w:val="21"/>
          <w:highlight w:val="none"/>
          <w14:textFill>
            <w14:solidFill>
              <w14:schemeClr w14:val="tx1"/>
            </w14:solidFill>
          </w14:textFill>
        </w:rPr>
        <w:t>。</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w:t>
      </w:r>
      <w:r>
        <w:rPr>
          <w:rFonts w:hint="eastAsia" w:ascii="宋体" w:hAnsi="宋体"/>
          <w:color w:val="000000" w:themeColor="text1"/>
          <w:szCs w:val="21"/>
          <w:highlight w:val="none"/>
          <w14:textFill>
            <w14:solidFill>
              <w14:schemeClr w14:val="tx1"/>
            </w14:solidFill>
          </w14:textFill>
        </w:rPr>
        <w:t>小企业发展暂行办法》）。</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建议将谈判文件按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6"/>
        </w:numPr>
        <w:spacing w:line="48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，务必将保证金按谈判文件的要求缴纳，招标代理服务费存入谈判文件指定的服务费账户。切勿将款项转错账户，以免影响采购活动。</w:t>
      </w:r>
    </w:p>
    <w:p>
      <w:pPr>
        <w:numPr>
          <w:ilvl w:val="0"/>
          <w:numId w:val="6"/>
        </w:numPr>
        <w:spacing w:line="48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为采购代理机构，不对供应商购买谈判文件时提交的相关资料的真伪做出判断，如供应商发现相关资料被盗用或复制，建议遵循法律途径解决，追究侵权者责任。对一家供应商递交两份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谈判小组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w:t>
      </w:r>
      <w:r>
        <w:rPr>
          <w:rFonts w:ascii="宋体" w:hAnsi="宋体"/>
          <w:color w:val="000000" w:themeColor="text1"/>
          <w:szCs w:val="21"/>
          <w:highlight w:val="none"/>
          <w14:textFill>
            <w14:solidFill>
              <w14:schemeClr w14:val="tx1"/>
            </w14:solidFill>
          </w14:textFill>
        </w:rPr>
        <w:t>处理</w:t>
      </w:r>
      <w:r>
        <w:rPr>
          <w:rFonts w:hint="eastAsia" w:ascii="宋体" w:hAnsi="宋体"/>
          <w:color w:val="000000" w:themeColor="text1"/>
          <w:szCs w:val="21"/>
          <w:highlight w:val="none"/>
          <w14:textFill>
            <w14:solidFill>
              <w14:schemeClr w14:val="tx1"/>
            </w14:solidFill>
          </w14:textFill>
        </w:rPr>
        <w:t>（如有特殊要求的除外）。</w:t>
      </w:r>
    </w:p>
    <w:p>
      <w:pPr>
        <w:pStyle w:val="22"/>
        <w:widowControl/>
        <w:adjustRightInd w:val="0"/>
        <w:snapToGrid w:val="0"/>
        <w:spacing w:line="480" w:lineRule="exact"/>
        <w:jc w:val="center"/>
        <w:rPr>
          <w:rFonts w:hAnsi="宋体"/>
          <w:bCs/>
          <w:color w:val="000000" w:themeColor="text1"/>
          <w:sz w:val="24"/>
          <w:szCs w:val="24"/>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（本提示内容非谈判文件的组成部分，仅为善意提醒。如有不一致，以谈判文件为准。）</w:t>
      </w:r>
    </w:p>
    <w:p>
      <w:pPr>
        <w:pStyle w:val="22"/>
        <w:widowControl/>
        <w:adjustRightInd w:val="0"/>
        <w:snapToGrid w:val="0"/>
        <w:spacing w:line="360" w:lineRule="auto"/>
        <w:rPr>
          <w:rFonts w:hAnsi="宋体"/>
          <w:bCs/>
          <w:color w:val="000000" w:themeColor="text1"/>
          <w:sz w:val="24"/>
          <w:szCs w:val="24"/>
          <w:highlight w:val="none"/>
          <w14:textFill>
            <w14:solidFill>
              <w14:schemeClr w14:val="tx1"/>
            </w14:solidFill>
          </w14:textFill>
        </w:rPr>
        <w:sectPr>
          <w:footerReference r:id="rId6" w:type="first"/>
          <w:headerReference r:id="rId3" w:type="default"/>
          <w:footerReference r:id="rId4" w:type="default"/>
          <w:footerReference r:id="rId5" w:type="even"/>
          <w:pgSz w:w="11907" w:h="16840"/>
          <w:pgMar w:top="1985" w:right="1474" w:bottom="1418" w:left="1474" w:header="851" w:footer="851" w:gutter="0"/>
          <w:cols w:space="720" w:num="1"/>
          <w:docGrid w:linePitch="380" w:charSpace="-5735"/>
        </w:sectPr>
      </w:pPr>
    </w:p>
    <w:p>
      <w:pPr>
        <w:pStyle w:val="36"/>
        <w:jc w:val="center"/>
        <w:rPr>
          <w:rFonts w:ascii="宋体"/>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目     录</w:t>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TOC \o "1-3" \h \z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竞争性谈判邀请书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_Toc13161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_Toc23201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项目编号：</w:t>
      </w:r>
      <w:r>
        <w:rPr>
          <w:rFonts w:hint="eastAsia"/>
          <w:color w:val="000000" w:themeColor="text1"/>
          <w:highlight w:val="none"/>
          <w:lang w:eastAsia="zh-CN"/>
          <w14:textFill>
            <w14:solidFill>
              <w14:schemeClr w14:val="tx1"/>
            </w14:solidFill>
          </w14:textFill>
        </w:rPr>
        <w:t>YXZB-20220311</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_Toc28276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项目名称：</w:t>
      </w:r>
      <w:r>
        <w:rPr>
          <w:rFonts w:hint="eastAsia"/>
          <w:color w:val="000000" w:themeColor="text1"/>
          <w:highlight w:val="none"/>
          <w:lang w:eastAsia="zh-CN"/>
          <w14:textFill>
            <w14:solidFill>
              <w14:schemeClr w14:val="tx1"/>
            </w14:solidFill>
          </w14:textFill>
        </w:rPr>
        <w:t>合山中学鱼池改造工程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_Toc2355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 xml:space="preserve">A  </w:t>
      </w:r>
      <w:r>
        <w:rPr>
          <w:rFonts w:hint="eastAsia"/>
          <w:color w:val="000000" w:themeColor="text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_Toc7739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_Toc7739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_Toc14216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_Toc2534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_Toc425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_Toc12476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_Toc30622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合格的供应商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_Toc8468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_Toc31501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Ｂ谈判文件说明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_Toc31501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_Toc14339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_Toc30386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_Toc30386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_Toc5985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Ｃ谈判文件的编制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_Toc19741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_Toc19741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_Toc8617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_Toc8617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_Toc15857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_Toc15857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_Toc2564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_Toc14071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_Toc24781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_Toc25777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投报价格与报价货币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_Toc23172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_Toc9085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_Toc31847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_Toc31895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Ｄ谈判响应文件的递交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_Toc10228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_Toc31748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19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递交谈判响应文件的时间、地点及截止时间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_Toc12175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迟交的谈判响应文件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谈判响应文件的修改和撤回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_Toc9552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Ｅ竞争性谈判采购程序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_Toc22757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接收谈判响应文件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_Toc23875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谈判小组</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_Toc3910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对谈判响应文件的初审</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_Toc9884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25</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_Toc9884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_Toc22635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6</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谈判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_Toc7095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_Toc18201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_Toc9939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29</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评审注意事项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_Toc23792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30</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发布成交结果公告和发放成交通知书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_Toc2540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31     投标供应商对成交结果的质疑、投诉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_Toc26482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_Toc26482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_Toc27169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32     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_Toc30274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33</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_Toc9092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34</w:t>
      </w: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_Toc15419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_Toc4177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合同书格式（参考范本）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_Toc31308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  谈判文件格式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_Toc1749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_Toc19011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_Toc11145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_Toc4338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_Toc4338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_Toc24892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（三）法定代表人（负责人）授权书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_Toc24892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_Toc23106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（四）资格审查文件要求提交的其它有效证明文件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_Toc12085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谈判响应文件商务及技术部分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_Toc12085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_Toc14140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附件一：谈判响应函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_Toc30131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附件二：第一次报价一览表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_Toc13591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附件三：谈判分项报价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_Toc19265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附件四：商务条款偏离一览表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_Toc19265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_Toc32183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附件五：技术条款偏离一览表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_Toc29094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_Toc30035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_Toc1931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_Toc1560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附件九：成交服务费承诺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_Toc1027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附件十：谈判供应商提交的其他资料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_Toc4603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\l _Toc13208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end"/>
      </w:r>
    </w:p>
    <w:p>
      <w:pPr>
        <w:pStyle w:val="36"/>
        <w:bidi w:val="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0" w:name="_Toc452826425"/>
      <w:bookmarkStart w:id="1" w:name="_Toc3908"/>
      <w:bookmarkStart w:id="2" w:name="_Toc353522392"/>
      <w:bookmarkStart w:id="3" w:name="_Toc351987964"/>
      <w:bookmarkStart w:id="4" w:name="_Toc351990145"/>
      <w:bookmarkStart w:id="5" w:name="_Toc369180022"/>
      <w:bookmarkStart w:id="6" w:name="_Toc357151175"/>
      <w:bookmarkStart w:id="7" w:name="_Toc351988709"/>
      <w:bookmarkStart w:id="8" w:name="_Toc351987768"/>
      <w:r>
        <w:rPr>
          <w:rFonts w:hint="eastAsia" w:ascii="宋体" w:hAnsi="宋体"/>
          <w:color w:val="000000" w:themeColor="text1"/>
          <w:sz w:val="21"/>
          <w:szCs w:val="21"/>
          <w:highlight w:val="none"/>
          <w14:textFill>
            <w14:solidFill>
              <w14:schemeClr w14:val="tx1"/>
            </w14:solidFill>
          </w14:textFill>
        </w:rPr>
        <w:t>第一部分  竞争性谈判邀请书</w:t>
      </w:r>
      <w:bookmarkEnd w:id="0"/>
      <w:bookmarkEnd w:id="1"/>
    </w:p>
    <w:p>
      <w:pPr>
        <w:rPr>
          <w:color w:val="000000" w:themeColor="text1"/>
          <w:highlight w:val="none"/>
          <w14:textFill>
            <w14:solidFill>
              <w14:schemeClr w14:val="tx1"/>
            </w14:solidFill>
          </w14:textFill>
        </w:rPr>
      </w:pPr>
    </w:p>
    <w:p>
      <w:pPr>
        <w:spacing w:line="360" w:lineRule="auto"/>
        <w:ind w:left="178" w:leftChars="85"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u w:val="single"/>
          <w:lang w:eastAsia="zh-CN"/>
          <w14:textFill>
            <w14:solidFill>
              <w14:schemeClr w14:val="tx1"/>
            </w14:solidFill>
          </w14:textFill>
        </w:rPr>
        <w:t>阳江市阳东区合山中学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u w:val="single"/>
          <w:lang w:eastAsia="zh-CN"/>
          <w14:textFill>
            <w14:solidFill>
              <w14:schemeClr w14:val="tx1"/>
            </w14:solidFill>
          </w14:textFill>
        </w:rPr>
        <w:t>合山中学鱼池改造工程</w:t>
      </w:r>
      <w:r>
        <w:rPr>
          <w:rFonts w:hint="eastAsia" w:ascii="宋体" w:hAnsi="宋体"/>
          <w:color w:val="000000" w:themeColor="text1"/>
          <w:highlight w:val="none"/>
          <w14:textFill>
            <w14:solidFill>
              <w14:schemeClr w14:val="tx1"/>
            </w14:solidFill>
          </w14:textFill>
        </w:rPr>
        <w:t>接受合格的国内供应商提交密封报价,</w:t>
      </w:r>
      <w:r>
        <w:rPr>
          <w:rFonts w:hint="eastAsia" w:ascii="宋体" w:hAnsi="宋体"/>
          <w:color w:val="000000" w:themeColor="text1"/>
          <w:szCs w:val="21"/>
          <w:highlight w:val="none"/>
          <w:lang w:val="zh-CN"/>
          <w14:textFill>
            <w14:solidFill>
              <w14:schemeClr w14:val="tx1"/>
            </w14:solidFill>
          </w14:textFill>
        </w:rPr>
        <w:t xml:space="preserve"> 欢迎符合资格条件</w:t>
      </w:r>
      <w:r>
        <w:rPr>
          <w:rFonts w:hint="eastAsia" w:ascii="宋体" w:hAnsi="宋体"/>
          <w:color w:val="000000" w:themeColor="text1"/>
          <w:szCs w:val="21"/>
          <w:highlight w:val="none"/>
          <w14:textFill>
            <w14:solidFill>
              <w14:schemeClr w14:val="tx1"/>
            </w14:solidFill>
          </w14:textFill>
        </w:rPr>
        <w:t>的供应商参加。</w:t>
      </w:r>
      <w:r>
        <w:rPr>
          <w:rFonts w:hint="eastAsia" w:ascii="宋体" w:hAnsi="宋体"/>
          <w:color w:val="000000" w:themeColor="text1"/>
          <w:highlight w:val="none"/>
          <w14:textFill>
            <w14:solidFill>
              <w14:schemeClr w14:val="tx1"/>
            </w14:solidFill>
          </w14:textFill>
        </w:rPr>
        <w:t>有关事项如下：</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一、</w:t>
      </w:r>
      <w:r>
        <w:rPr>
          <w:rFonts w:ascii="宋体" w:hAnsi="宋体"/>
          <w:b/>
          <w:color w:val="000000" w:themeColor="text1"/>
          <w:highlight w:val="none"/>
          <w14:textFill>
            <w14:solidFill>
              <w14:schemeClr w14:val="tx1"/>
            </w14:solidFill>
          </w14:textFill>
        </w:rPr>
        <w:t>投标人</w:t>
      </w:r>
      <w:r>
        <w:rPr>
          <w:rFonts w:hint="eastAsia" w:ascii="宋体" w:hAnsi="宋体" w:cs="Tahoma"/>
          <w:b/>
          <w:bCs/>
          <w:color w:val="000000" w:themeColor="text1"/>
          <w:szCs w:val="21"/>
          <w:highlight w:val="none"/>
          <w14:textFill>
            <w14:solidFill>
              <w14:schemeClr w14:val="tx1"/>
            </w14:solidFill>
          </w14:textFill>
        </w:rPr>
        <w:t>投标资格要求</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1.投标人应具备《中华人民共和国政府采购法》第二十二条规定的条件</w:t>
      </w:r>
      <w:r>
        <w:rPr>
          <w:rFonts w:hint="eastAsia" w:ascii="宋体" w:hAnsi="宋体"/>
          <w:color w:val="000000" w:themeColor="text1"/>
          <w:highlight w:val="none"/>
          <w14:textFill>
            <w14:solidFill>
              <w14:schemeClr w14:val="tx1"/>
            </w14:solidFill>
          </w14:textFill>
        </w:rPr>
        <w:t>:</w:t>
      </w:r>
    </w:p>
    <w:p>
      <w:pPr>
        <w:tabs>
          <w:tab w:val="left" w:pos="8042"/>
        </w:tabs>
        <w:spacing w:line="360" w:lineRule="auto"/>
        <w:ind w:left="420" w:left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w:t>
      </w:r>
      <w:r>
        <w:rPr>
          <w:rFonts w:ascii="宋体" w:hAnsi="宋体"/>
          <w:color w:val="000000" w:themeColor="text1"/>
          <w:highlight w:val="none"/>
          <w14:textFill>
            <w14:solidFill>
              <w14:schemeClr w14:val="tx1"/>
            </w14:solidFill>
          </w14:textFill>
        </w:rPr>
        <w:tab/>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2）具有良好的商业信誉和健全的财务会计制度；</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3）具有履行合同所必需的设备和专业技术能力；</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4）有依法缴纳税收和社会保障资金的良好记录；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5）参加政府采购活动前三年内，在经营活动中没有重大违法记录；</w:t>
      </w:r>
      <w:r>
        <w:rPr>
          <w:rFonts w:ascii="宋体" w:hAnsi="宋体"/>
          <w:color w:val="000000" w:themeColor="text1"/>
          <w:highlight w:val="none"/>
          <w14:textFill>
            <w14:solidFill>
              <w14:schemeClr w14:val="tx1"/>
            </w14:solidFill>
          </w14:textFill>
        </w:rPr>
        <w:br w:type="textWrapping"/>
      </w:r>
      <w:r>
        <w:rPr>
          <w:rFonts w:ascii="宋体" w:hAnsi="宋体"/>
          <w:color w:val="000000" w:themeColor="text1"/>
          <w:highlight w:val="none"/>
          <w14:textFill>
            <w14:solidFill>
              <w14:schemeClr w14:val="tx1"/>
            </w14:solidFill>
          </w14:textFill>
        </w:rPr>
        <w:t>6）法律、行政法规规定的其他条件。</w:t>
      </w:r>
    </w:p>
    <w:p>
      <w:pPr>
        <w:widowControl/>
        <w:tabs>
          <w:tab w:val="left" w:pos="735"/>
        </w:tabs>
        <w:adjustRightInd w:val="0"/>
        <w:snapToGrid w:val="0"/>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highlight w:val="none"/>
          <w14:textFill>
            <w14:solidFill>
              <w14:schemeClr w14:val="tx1"/>
            </w14:solidFill>
          </w14:textFill>
        </w:rPr>
        <w:t>本项目不接受联合体投标；</w:t>
      </w:r>
    </w:p>
    <w:p>
      <w:pPr>
        <w:spacing w:line="360" w:lineRule="auto"/>
        <w:ind w:firstLine="210" w:firstLineChars="1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在招标代理机构登记并购买谈判文件。</w:t>
      </w:r>
    </w:p>
    <w:p>
      <w:pPr>
        <w:widowControl/>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Arial"/>
          <w:b/>
          <w:bCs/>
          <w:color w:val="000000" w:themeColor="text1"/>
          <w:highlight w:val="none"/>
          <w14:textFill>
            <w14:solidFill>
              <w14:schemeClr w14:val="tx1"/>
            </w14:solidFill>
          </w14:textFill>
        </w:rPr>
        <w:t>二、谈判</w:t>
      </w:r>
      <w:r>
        <w:rPr>
          <w:rFonts w:hint="eastAsia" w:ascii="宋体" w:hAnsi="宋体" w:cs="Tahoma"/>
          <w:b/>
          <w:bCs/>
          <w:color w:val="000000" w:themeColor="text1"/>
          <w:highlight w:val="none"/>
          <w14:textFill>
            <w14:solidFill>
              <w14:schemeClr w14:val="tx1"/>
            </w14:solidFill>
          </w14:textFill>
        </w:rPr>
        <w:t>项目的名称、用途、数量、简要技术要求或者</w:t>
      </w:r>
      <w:r>
        <w:rPr>
          <w:rFonts w:hint="eastAsia" w:ascii="宋体" w:hAnsi="宋体" w:cs="Arial"/>
          <w:b/>
          <w:bCs/>
          <w:color w:val="000000" w:themeColor="text1"/>
          <w:highlight w:val="none"/>
          <w14:textFill>
            <w14:solidFill>
              <w14:schemeClr w14:val="tx1"/>
            </w14:solidFill>
          </w14:textFill>
        </w:rPr>
        <w:t>谈判</w:t>
      </w:r>
      <w:r>
        <w:rPr>
          <w:rFonts w:hint="eastAsia" w:ascii="宋体" w:hAnsi="宋体" w:cs="Tahoma"/>
          <w:b/>
          <w:bCs/>
          <w:color w:val="000000" w:themeColor="text1"/>
          <w:highlight w:val="none"/>
          <w14:textFill>
            <w14:solidFill>
              <w14:schemeClr w14:val="tx1"/>
            </w14:solidFill>
          </w14:textFill>
        </w:rPr>
        <w:t xml:space="preserve">项目的性质 </w:t>
      </w:r>
    </w:p>
    <w:p>
      <w:pPr>
        <w:widowControl/>
        <w:adjustRightInd w:val="0"/>
        <w:snapToGrid w:val="0"/>
        <w:spacing w:line="360" w:lineRule="auto"/>
        <w:ind w:firstLine="210" w:firstLineChars="100"/>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1．谈判项目编号：</w:t>
      </w:r>
      <w:r>
        <w:rPr>
          <w:rFonts w:hint="eastAsia" w:ascii="宋体" w:hAnsi="宋体"/>
          <w:b/>
          <w:bCs/>
          <w:color w:val="000000" w:themeColor="text1"/>
          <w:szCs w:val="21"/>
          <w:highlight w:val="none"/>
          <w:lang w:eastAsia="zh-CN"/>
          <w14:textFill>
            <w14:solidFill>
              <w14:schemeClr w14:val="tx1"/>
            </w14:solidFill>
          </w14:textFill>
        </w:rPr>
        <w:t>YXZB-20220311</w:t>
      </w:r>
    </w:p>
    <w:p>
      <w:pPr>
        <w:widowControl/>
        <w:adjustRightInd w:val="0"/>
        <w:snapToGrid w:val="0"/>
        <w:spacing w:line="360" w:lineRule="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2．谈判项目名称：</w:t>
      </w:r>
      <w:r>
        <w:rPr>
          <w:rFonts w:hint="eastAsia" w:ascii="宋体" w:hAnsi="宋体"/>
          <w:bCs/>
          <w:color w:val="000000" w:themeColor="text1"/>
          <w:szCs w:val="21"/>
          <w:highlight w:val="none"/>
          <w:lang w:eastAsia="zh-CN"/>
          <w14:textFill>
            <w14:solidFill>
              <w14:schemeClr w14:val="tx1"/>
            </w14:solidFill>
          </w14:textFill>
        </w:rPr>
        <w:t>合山中学鱼池改造工程</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3．采购预算：</w:t>
      </w:r>
      <w:r>
        <w:rPr>
          <w:rFonts w:hint="eastAsia" w:ascii="宋体" w:hAnsi="宋体"/>
          <w:bCs/>
          <w:color w:val="000000" w:themeColor="text1"/>
          <w:szCs w:val="21"/>
          <w:highlight w:val="none"/>
          <w14:textFill>
            <w14:solidFill>
              <w14:schemeClr w14:val="tx1"/>
            </w14:solidFill>
          </w14:textFill>
        </w:rPr>
        <w:t>人民币114171.90元（超出该上限的报价将作为无效报价处理）。</w:t>
      </w:r>
    </w:p>
    <w:p>
      <w:pPr>
        <w:widowControl/>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4．数  量：一项</w:t>
      </w:r>
    </w:p>
    <w:p>
      <w:pPr>
        <w:adjustRightInd w:val="0"/>
        <w:snapToGrid w:val="0"/>
        <w:spacing w:line="360" w:lineRule="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w:t>
      </w: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：合同签订后</w:t>
      </w:r>
      <w:r>
        <w:rPr>
          <w:rFonts w:hint="eastAsia" w:ascii="宋体" w:hAnsi="宋体"/>
          <w:color w:val="000000" w:themeColor="text1"/>
          <w:szCs w:val="21"/>
          <w:highlight w:val="none"/>
          <w:lang w:val="en-US" w:eastAsia="zh-CN"/>
          <w14:textFill>
            <w14:solidFill>
              <w14:schemeClr w14:val="tx1"/>
            </w14:solidFill>
          </w14:textFill>
        </w:rPr>
        <w:t>15</w:t>
      </w:r>
      <w:r>
        <w:rPr>
          <w:rFonts w:hint="eastAsia" w:ascii="宋体" w:hAnsi="宋体"/>
          <w:color w:val="000000" w:themeColor="text1"/>
          <w:szCs w:val="21"/>
          <w:highlight w:val="none"/>
          <w14:textFill>
            <w14:solidFill>
              <w14:schemeClr w14:val="tx1"/>
            </w14:solidFill>
          </w14:textFill>
        </w:rPr>
        <w:t>日内完工。（包括供货、安装调试，超出该</w:t>
      </w: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作为无效投标处理）。</w:t>
      </w:r>
    </w:p>
    <w:p>
      <w:pPr>
        <w:adjustRightInd w:val="0"/>
        <w:snapToGrid w:val="0"/>
        <w:spacing w:line="360" w:lineRule="auto"/>
        <w:rPr>
          <w:rFonts w:ascii="宋体" w:hAnsi="宋体" w:cs="Tahoma"/>
          <w:iCs/>
          <w:color w:val="000000" w:themeColor="text1"/>
          <w:kern w:val="28"/>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 xml:space="preserve">  6．谈判项目的性质：竞争性谈判</w:t>
      </w:r>
    </w:p>
    <w:p>
      <w:pPr>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iCs/>
          <w:color w:val="000000" w:themeColor="text1"/>
          <w:kern w:val="28"/>
          <w:szCs w:val="21"/>
          <w:highlight w:val="none"/>
          <w14:textFill>
            <w14:solidFill>
              <w14:schemeClr w14:val="tx1"/>
            </w14:solidFill>
          </w14:textFill>
        </w:rPr>
        <w:t>三、</w:t>
      </w:r>
      <w:r>
        <w:rPr>
          <w:rFonts w:hint="eastAsia" w:ascii="宋体" w:hAnsi="宋体" w:cs="Tahoma"/>
          <w:b/>
          <w:bCs/>
          <w:color w:val="000000" w:themeColor="text1"/>
          <w:szCs w:val="21"/>
          <w:highlight w:val="none"/>
          <w14:textFill>
            <w14:solidFill>
              <w14:schemeClr w14:val="tx1"/>
            </w14:solidFill>
          </w14:textFill>
        </w:rPr>
        <w:t>获取谈判文件的时间、地点、方式及谈判文件售价</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1．谈判文件公示时间：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2022年3月17日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2022年3月</w:t>
      </w:r>
      <w:r>
        <w:rPr>
          <w:rFonts w:hint="eastAsia" w:ascii="宋体" w:hAnsi="宋体" w:cs="Times New Roman"/>
          <w:color w:val="000000" w:themeColor="text1"/>
          <w:kern w:val="2"/>
          <w:sz w:val="21"/>
          <w:szCs w:val="21"/>
          <w:highlight w:val="none"/>
          <w:lang w:val="en-US" w:eastAsia="zh-CN" w:bidi="ar-SA"/>
          <w14:textFill>
            <w14:solidFill>
              <w14:schemeClr w14:val="tx1"/>
            </w14:solidFill>
          </w14:textFill>
        </w:rPr>
        <w:t>22</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w:t>
      </w:r>
    </w:p>
    <w:p>
      <w:pPr>
        <w:spacing w:line="360" w:lineRule="auto"/>
        <w:ind w:left="525" w:leftChars="100" w:hanging="315" w:hangingChars="15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spacing w:line="360" w:lineRule="auto"/>
        <w:ind w:left="420" w:leftChars="1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3．获取谈判文件时间及下载：</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2022年3月17日</w:t>
      </w:r>
      <w:r>
        <w:rPr>
          <w:rFonts w:hint="eastAsia" w:ascii="宋体" w:hAnsi="宋体"/>
          <w:color w:val="000000" w:themeColor="text1"/>
          <w:szCs w:val="21"/>
          <w:highlight w:val="none"/>
          <w14:textFill>
            <w14:solidFill>
              <w14:schemeClr w14:val="tx1"/>
            </w14:solidFill>
          </w14:textFill>
        </w:rPr>
        <w:t>至</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2022年3月22日</w:t>
      </w:r>
      <w:r>
        <w:rPr>
          <w:rFonts w:hint="eastAsia" w:ascii="宋体" w:hAnsi="宋体"/>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olor w:val="000000" w:themeColor="text1"/>
          <w:szCs w:val="21"/>
          <w:highlight w:val="none"/>
          <w14:textFill>
            <w14:solidFill>
              <w14:schemeClr w14:val="tx1"/>
            </w14:solidFill>
          </w14:textFill>
        </w:rPr>
        <w:t>（节假日除外）（北京时间）。</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4．获取谈判文件地点：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w:t>
      </w:r>
      <w:bookmarkStart w:id="251" w:name="_GoBack"/>
      <w:bookmarkEnd w:id="251"/>
      <w:r>
        <w:rPr>
          <w:rFonts w:hint="eastAsia" w:ascii="宋体" w:hAnsi="宋体" w:cs="宋体"/>
          <w:color w:val="000000" w:themeColor="text1"/>
          <w:szCs w:val="21"/>
          <w:highlight w:val="none"/>
          <w:lang w:val="en-US" w:eastAsia="zh-CN"/>
          <w14:textFill>
            <w14:solidFill>
              <w14:schemeClr w14:val="tx1"/>
            </w14:solidFill>
          </w14:textFill>
        </w:rPr>
        <w:t>室</w:t>
      </w:r>
      <w:r>
        <w:rPr>
          <w:rFonts w:hint="eastAsia" w:ascii="宋体" w:hAnsi="宋体"/>
          <w:color w:val="000000" w:themeColor="text1"/>
          <w:szCs w:val="21"/>
          <w:highlight w:val="none"/>
          <w14:textFill>
            <w14:solidFill>
              <w14:schemeClr w14:val="tx1"/>
            </w14:solidFill>
          </w14:textFill>
        </w:rPr>
        <w:t>。</w:t>
      </w:r>
    </w:p>
    <w:p>
      <w:pPr>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5．谈判文件售价：谈判文件每套人民币150元，售后不退。</w:t>
      </w:r>
    </w:p>
    <w:p>
      <w:pPr>
        <w:spacing w:line="360" w:lineRule="auto"/>
        <w:ind w:left="283" w:leftChars="-1" w:hanging="285" w:hangingChars="13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6．谈判</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olor w:val="000000" w:themeColor="text1"/>
          <w:szCs w:val="21"/>
          <w:highlight w:val="none"/>
          <w14:textFill>
            <w14:solidFill>
              <w14:schemeClr w14:val="tx1"/>
            </w14:solidFill>
          </w14:textFill>
        </w:rPr>
        <w:t>。</w:t>
      </w:r>
    </w:p>
    <w:p>
      <w:pPr>
        <w:widowControl/>
        <w:tabs>
          <w:tab w:val="left" w:pos="735"/>
        </w:tabs>
        <w:adjustRightInd w:val="0"/>
        <w:snapToGrid w:val="0"/>
        <w:spacing w:line="360" w:lineRule="auto"/>
        <w:ind w:left="420" w:leftChars="100" w:hanging="210" w:hangingChars="10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hint="eastAsia" w:ascii="宋体" w:hAnsi="宋体"/>
          <w:bCs/>
          <w:color w:val="000000" w:themeColor="text1"/>
          <w:szCs w:val="21"/>
          <w:highlight w:val="none"/>
          <w14:textFill>
            <w14:solidFill>
              <w14:schemeClr w14:val="tx1"/>
            </w14:solidFill>
          </w14:textFill>
        </w:rPr>
        <w:t>购买谈判文件必须携带:</w:t>
      </w:r>
    </w:p>
    <w:p>
      <w:pPr>
        <w:widowControl/>
        <w:tabs>
          <w:tab w:val="left" w:pos="735"/>
        </w:tabs>
        <w:adjustRightInd w:val="0"/>
        <w:snapToGrid w:val="0"/>
        <w:spacing w:line="360" w:lineRule="auto"/>
        <w:ind w:left="659" w:leftChars="164"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1）法定代表人（负责人）证明书原件、法定代表人（负责人）授权委托书原件、法定代表人（负责人）身份证复印件、授权委托人身份证复印件和企业法人营业执照副本复印件及《购买标书登记表》（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47"/>
          <w:color w:val="000000" w:themeColor="text1"/>
          <w:highlight w:val="none"/>
          <w14:textFill>
            <w14:solidFill>
              <w14:schemeClr w14:val="tx1"/>
            </w14:solidFill>
          </w14:textFill>
        </w:rPr>
        <w:t>http://www.yjcg.cc</w:t>
      </w:r>
      <w:r>
        <w:rPr>
          <w:rStyle w:val="47"/>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47"/>
          <w:rFonts w:hint="eastAsia" w:ascii="宋体" w:hAnsi="宋体"/>
          <w:bCs/>
          <w:color w:val="000000" w:themeColor="text1"/>
          <w:szCs w:val="21"/>
          <w:highlight w:val="none"/>
          <w14:textFill>
            <w14:solidFill>
              <w14:schemeClr w14:val="tx1"/>
            </w14:solidFill>
          </w14:textFill>
        </w:rPr>
        <w:t>政府采购资料</w:t>
      </w:r>
      <w:r>
        <w:rPr>
          <w:rStyle w:val="47"/>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tabs>
          <w:tab w:val="left" w:pos="735"/>
        </w:tabs>
        <w:adjustRightInd w:val="0"/>
        <w:snapToGrid w:val="0"/>
        <w:spacing w:line="360" w:lineRule="auto"/>
        <w:ind w:left="660" w:leftChars="164" w:hanging="316" w:hangingChars="150"/>
        <w:rPr>
          <w:rFonts w:ascii="宋体" w:hAnsi="宋体"/>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四、报价截止时间、开标时间及地点</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时间：</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2022年3月24日</w:t>
      </w:r>
      <w:r>
        <w:rPr>
          <w:rFonts w:hint="eastAsia" w:ascii="宋体" w:hAnsi="宋体" w:cs="宋体"/>
          <w:color w:val="000000" w:themeColor="text1"/>
          <w:kern w:val="0"/>
          <w:szCs w:val="21"/>
          <w:highlight w:val="none"/>
          <w:lang w:val="en-US" w:eastAsia="zh-CN"/>
          <w14:textFill>
            <w14:solidFill>
              <w14:schemeClr w14:val="tx1"/>
            </w14:solidFill>
          </w14:textFill>
        </w:rPr>
        <w:t>9</w:t>
      </w:r>
      <w:r>
        <w:rPr>
          <w:rFonts w:hint="eastAsia" w:ascii="宋体" w:hAnsi="宋体" w:cs="宋体"/>
          <w:color w:val="000000" w:themeColor="text1"/>
          <w:kern w:val="0"/>
          <w:szCs w:val="21"/>
          <w:highlight w:val="none"/>
          <w14:textFill>
            <w14:solidFill>
              <w14:schemeClr w14:val="tx1"/>
            </w14:solidFill>
          </w14:textFill>
        </w:rPr>
        <w:t>:30-</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:00 (北京时间)。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递交谈判响应文件</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201</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14:textFill>
            <w14:solidFill>
              <w14:schemeClr w14:val="tx1"/>
            </w14:solidFill>
          </w14:textFill>
        </w:rPr>
        <w:t>室</w:t>
      </w:r>
      <w:r>
        <w:rPr>
          <w:rFonts w:hint="eastAsia" w:ascii="宋体" w:hAnsi="宋体" w:cs="宋体"/>
          <w:color w:val="000000" w:themeColor="text1"/>
          <w:kern w:val="0"/>
          <w:szCs w:val="21"/>
          <w:highlight w:val="none"/>
          <w14:textFill>
            <w14:solidFill>
              <w14:schemeClr w14:val="tx1"/>
            </w14:solidFill>
          </w14:textFill>
        </w:rPr>
        <w:t>。</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w:t>
      </w:r>
      <w:r>
        <w:rPr>
          <w:rFonts w:hint="eastAsia" w:ascii="宋体" w:hAnsi="宋体" w:cs="Tahoma"/>
          <w:color w:val="000000" w:themeColor="text1"/>
          <w:highlight w:val="none"/>
          <w14:textFill>
            <w14:solidFill>
              <w14:schemeClr w14:val="tx1"/>
            </w14:solidFill>
          </w14:textFill>
        </w:rPr>
        <w:t>报价截止时间（递交谈判响应文件截止时间）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2022年3月24日</w:t>
      </w:r>
      <w:r>
        <w:rPr>
          <w:rFonts w:hint="eastAsia"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en-US" w:eastAsia="zh-CN"/>
          <w14:textFill>
            <w14:solidFill>
              <w14:schemeClr w14:val="tx1"/>
            </w14:solidFill>
          </w14:textFill>
        </w:rPr>
        <w:t>10</w:t>
      </w:r>
      <w:r>
        <w:rPr>
          <w:rFonts w:hint="eastAsia" w:ascii="宋体" w:hAnsi="宋体" w:cs="宋体"/>
          <w:color w:val="000000" w:themeColor="text1"/>
          <w:kern w:val="0"/>
          <w:szCs w:val="21"/>
          <w:highlight w:val="none"/>
          <w14:textFill>
            <w14:solidFill>
              <w14:schemeClr w14:val="tx1"/>
            </w14:solidFill>
          </w14:textFill>
        </w:rPr>
        <w:t>:00(北京时间)。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w:t>
      </w:r>
      <w:r>
        <w:rPr>
          <w:rFonts w:hint="eastAsia" w:ascii="宋体" w:hAnsi="宋体" w:cs="Tahoma"/>
          <w:color w:val="000000" w:themeColor="text1"/>
          <w:highlight w:val="none"/>
          <w14:textFill>
            <w14:solidFill>
              <w14:schemeClr w14:val="tx1"/>
            </w14:solidFill>
          </w14:textFill>
        </w:rPr>
        <w:t>谈判开始时间</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2022年3月24日</w:t>
      </w:r>
      <w:r>
        <w:rPr>
          <w:rFonts w:hint="eastAsia" w:ascii="宋体" w:hAnsi="宋体" w:cs="宋体"/>
          <w:color w:val="000000" w:themeColor="text1"/>
          <w:kern w:val="0"/>
          <w:szCs w:val="21"/>
          <w:highlight w:val="none"/>
          <w14:textFill>
            <w14:solidFill>
              <w14:schemeClr w14:val="tx1"/>
            </w14:solidFill>
          </w14:textFill>
        </w:rPr>
        <w:t> 1</w:t>
      </w:r>
      <w:r>
        <w:rPr>
          <w:rFonts w:hint="eastAsia" w:ascii="宋体" w:hAnsi="宋体" w:cs="宋体"/>
          <w:color w:val="000000" w:themeColor="text1"/>
          <w:kern w:val="0"/>
          <w:szCs w:val="21"/>
          <w:highlight w:val="none"/>
          <w:lang w:val="en-US" w:eastAsia="zh-CN"/>
          <w14:textFill>
            <w14:solidFill>
              <w14:schemeClr w14:val="tx1"/>
            </w14:solidFill>
          </w14:textFill>
        </w:rPr>
        <w:t>0</w:t>
      </w:r>
      <w:r>
        <w:rPr>
          <w:rFonts w:hint="eastAsia" w:ascii="宋体" w:hAnsi="宋体" w:cs="宋体"/>
          <w:color w:val="000000" w:themeColor="text1"/>
          <w:kern w:val="0"/>
          <w:szCs w:val="21"/>
          <w:highlight w:val="none"/>
          <w14:textFill>
            <w14:solidFill>
              <w14:schemeClr w14:val="tx1"/>
            </w14:solidFill>
          </w14:textFill>
        </w:rPr>
        <w:t>:00(北京时间)。</w:t>
      </w:r>
    </w:p>
    <w:p>
      <w:pPr>
        <w:widowControl/>
        <w:spacing w:line="360" w:lineRule="auto"/>
        <w:ind w:firstLine="210" w:firstLineChars="1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w:t>
      </w:r>
      <w:r>
        <w:rPr>
          <w:rFonts w:hint="eastAsia" w:ascii="宋体" w:hAnsi="宋体" w:cs="Tahoma"/>
          <w:color w:val="000000" w:themeColor="text1"/>
          <w:highlight w:val="none"/>
          <w14:textFill>
            <w14:solidFill>
              <w14:schemeClr w14:val="tx1"/>
            </w14:solidFill>
          </w14:textFill>
        </w:rPr>
        <w:t>谈判</w:t>
      </w:r>
      <w:r>
        <w:rPr>
          <w:rFonts w:hint="eastAsia" w:ascii="宋体" w:hAnsi="宋体" w:cs="宋体"/>
          <w:color w:val="000000" w:themeColor="text1"/>
          <w:kern w:val="0"/>
          <w:szCs w:val="21"/>
          <w:highlight w:val="none"/>
          <w14:textFill>
            <w14:solidFill>
              <w14:schemeClr w14:val="tx1"/>
            </w14:solidFill>
          </w14:textFill>
        </w:rPr>
        <w:t>地点：</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lang w:val="en-US" w:eastAsia="zh-CN"/>
          <w14:textFill>
            <w14:solidFill>
              <w14:schemeClr w14:val="tx1"/>
            </w14:solidFill>
          </w14:textFill>
        </w:rPr>
        <w:t>202</w:t>
      </w:r>
      <w:r>
        <w:rPr>
          <w:rFonts w:hint="eastAsia" w:ascii="宋体" w:hAnsi="宋体"/>
          <w:color w:val="000000" w:themeColor="text1"/>
          <w:szCs w:val="21"/>
          <w:highlight w:val="none"/>
          <w14:textFill>
            <w14:solidFill>
              <w14:schemeClr w14:val="tx1"/>
            </w14:solidFill>
          </w14:textFill>
        </w:rPr>
        <w:t>评标室</w:t>
      </w:r>
      <w:r>
        <w:rPr>
          <w:rFonts w:hint="eastAsia" w:ascii="宋体" w:hAnsi="宋体" w:cs="宋体"/>
          <w:color w:val="000000" w:themeColor="text1"/>
          <w:kern w:val="0"/>
          <w:szCs w:val="21"/>
          <w:highlight w:val="none"/>
          <w14:textFill>
            <w14:solidFill>
              <w14:schemeClr w14:val="tx1"/>
            </w14:solidFill>
          </w14:textFill>
        </w:rPr>
        <w:t>。</w:t>
      </w:r>
    </w:p>
    <w:p>
      <w:pPr>
        <w:widowControl/>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五、采购人、代理采购机构的名称、地址和联系方式</w:t>
      </w:r>
    </w:p>
    <w:p>
      <w:pPr>
        <w:widowControl/>
        <w:tabs>
          <w:tab w:val="left" w:pos="502"/>
        </w:tabs>
        <w:adjustRightInd w:val="0"/>
        <w:snapToGrid w:val="0"/>
        <w:spacing w:line="360" w:lineRule="auto"/>
        <w:ind w:firstLine="210" w:firstLineChars="10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1.采购人联系方式：</w:t>
      </w:r>
    </w:p>
    <w:p>
      <w:pPr>
        <w:tabs>
          <w:tab w:val="left" w:pos="735"/>
          <w:tab w:val="left" w:pos="4680"/>
        </w:tabs>
        <w:adjustRightInd w:val="0"/>
        <w:snapToGrid w:val="0"/>
        <w:spacing w:line="360" w:lineRule="auto"/>
        <w:ind w:firstLine="420" w:firstLineChars="20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阳江市阳东区合山中学</w:t>
      </w:r>
    </w:p>
    <w:p>
      <w:pPr>
        <w:tabs>
          <w:tab w:val="left" w:pos="735"/>
          <w:tab w:val="left" w:pos="4680"/>
        </w:tabs>
        <w:adjustRightInd w:val="0"/>
        <w:snapToGrid w:val="0"/>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钟奇勇</w:t>
      </w:r>
    </w:p>
    <w:p>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联系电话：</w:t>
      </w:r>
      <w:r>
        <w:rPr>
          <w:rFonts w:hint="eastAsia" w:ascii="宋体" w:hAnsi="宋体"/>
          <w:color w:val="000000" w:themeColor="text1"/>
          <w:szCs w:val="21"/>
          <w:highlight w:val="none"/>
          <w:lang w:val="en-US" w:eastAsia="zh-CN"/>
          <w14:textFill>
            <w14:solidFill>
              <w14:schemeClr w14:val="tx1"/>
            </w14:solidFill>
          </w14:textFill>
        </w:rPr>
        <w:t>13542693412</w:t>
      </w:r>
    </w:p>
    <w:p>
      <w:pPr>
        <w:spacing w:line="360" w:lineRule="auto"/>
        <w:ind w:firstLine="420" w:firstLineChars="20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val="en-US" w:eastAsia="zh-CN"/>
          <w14:textFill>
            <w14:solidFill>
              <w14:schemeClr w14:val="tx1"/>
            </w14:solidFill>
          </w14:textFill>
        </w:rPr>
        <w:t>阳江市阳东区合山镇合广镇广路8号</w:t>
      </w:r>
    </w:p>
    <w:p>
      <w:pPr>
        <w:widowControl/>
        <w:tabs>
          <w:tab w:val="left" w:pos="502"/>
        </w:tabs>
        <w:adjustRightInd w:val="0"/>
        <w:snapToGrid w:val="0"/>
        <w:spacing w:line="360" w:lineRule="auto"/>
        <w:ind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联系人：冯国辉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传真：0662-2669666　　　　　</w:t>
      </w:r>
    </w:p>
    <w:p>
      <w:pPr>
        <w:tabs>
          <w:tab w:val="left" w:pos="735"/>
          <w:tab w:val="left" w:pos="4680"/>
        </w:tabs>
        <w:adjustRightInd w:val="0"/>
        <w:snapToGrid w:val="0"/>
        <w:spacing w:line="360" w:lineRule="auto"/>
        <w:ind w:firstLine="420" w:firstLineChars="200"/>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w:t>
      </w:r>
    </w:p>
    <w:p>
      <w:pPr>
        <w:widowControl/>
        <w:tabs>
          <w:tab w:val="left" w:pos="502"/>
        </w:tabs>
        <w:adjustRightInd w:val="0"/>
        <w:snapToGrid w:val="0"/>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rFonts w:ascii="宋体" w:hAnsi="宋体"/>
          <w:color w:val="000000" w:themeColor="text1"/>
          <w:szCs w:val="21"/>
          <w:highlight w:val="none"/>
          <w14:textFill>
            <w14:solidFill>
              <w14:schemeClr w14:val="tx1"/>
            </w14:solidFill>
          </w14:textFill>
        </w:rPr>
        <w:t>http://www.yjcg.cc</w:t>
      </w:r>
      <w:bookmarkStart w:id="9" w:name="_Toc357151163"/>
      <w:bookmarkStart w:id="10" w:name="_Toc351986193"/>
      <w:bookmarkStart w:id="11" w:name="_Toc329242667"/>
      <w:bookmarkStart w:id="12" w:name="_Toc351987763"/>
      <w:bookmarkStart w:id="13" w:name="_Toc351990140"/>
      <w:bookmarkStart w:id="14" w:name="_Toc351988704"/>
      <w:bookmarkStart w:id="15" w:name="_Toc351986013"/>
      <w:bookmarkStart w:id="16" w:name="_Toc353522387"/>
      <w:bookmarkStart w:id="17" w:name="_Toc351987959"/>
      <w:bookmarkStart w:id="18" w:name="_Toc351985908"/>
      <w:bookmarkStart w:id="19" w:name="_Toc369180017"/>
    </w:p>
    <w:p>
      <w:pPr>
        <w:spacing w:line="360" w:lineRule="auto"/>
        <w:ind w:firstLine="3255" w:firstLineChars="15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3255" w:firstLineChars="1550"/>
        <w:jc w:val="righ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spacing w:line="360" w:lineRule="auto"/>
        <w:ind w:left="6615" w:leftChars="2450" w:hanging="1470" w:hangingChars="700"/>
        <w:jc w:val="right"/>
        <w:rPr>
          <w:rFonts w:ascii="宋体" w:hAnsi="宋体"/>
          <w:color w:val="000000" w:themeColor="text1"/>
          <w:highlight w:val="none"/>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2022年3月17日</w:t>
      </w:r>
    </w:p>
    <w:p>
      <w:pPr>
        <w:pStyle w:val="3"/>
        <w:numPr>
          <w:ilvl w:val="0"/>
          <w:numId w:val="0"/>
        </w:numPr>
        <w:autoSpaceDE w:val="0"/>
        <w:autoSpaceDN w:val="0"/>
        <w:adjustRightInd w:val="0"/>
        <w:snapToGrid w:val="0"/>
        <w:spacing w:beforeLines="100" w:after="0" w:line="360" w:lineRule="auto"/>
        <w:jc w:val="center"/>
        <w:textAlignment w:val="baseline"/>
        <w:rPr>
          <w:rFonts w:ascii="宋体" w:hAnsi="宋体"/>
          <w:color w:val="000000" w:themeColor="text1"/>
          <w:sz w:val="21"/>
          <w:szCs w:val="21"/>
          <w:highlight w:val="none"/>
          <w14:textFill>
            <w14:solidFill>
              <w14:schemeClr w14:val="tx1"/>
            </w14:solidFill>
          </w14:textFill>
        </w:rPr>
      </w:pPr>
      <w:bookmarkStart w:id="20" w:name="_Toc13161"/>
      <w:bookmarkStart w:id="21" w:name="_Toc452826426"/>
      <w:r>
        <w:rPr>
          <w:rFonts w:hint="eastAsia" w:ascii="宋体" w:hAnsi="宋体"/>
          <w:color w:val="000000" w:themeColor="text1"/>
          <w:sz w:val="21"/>
          <w:szCs w:val="21"/>
          <w:highlight w:val="none"/>
          <w14:textFill>
            <w14:solidFill>
              <w14:schemeClr w14:val="tx1"/>
            </w14:solidFill>
          </w14:textFill>
        </w:rPr>
        <w:t>第二部分  采购项目内容</w:t>
      </w:r>
      <w:bookmarkEnd w:id="9"/>
      <w:bookmarkEnd w:id="10"/>
      <w:bookmarkEnd w:id="11"/>
      <w:bookmarkEnd w:id="12"/>
      <w:bookmarkEnd w:id="13"/>
      <w:bookmarkEnd w:id="14"/>
      <w:bookmarkEnd w:id="15"/>
      <w:bookmarkEnd w:id="16"/>
      <w:bookmarkEnd w:id="17"/>
      <w:bookmarkEnd w:id="18"/>
      <w:bookmarkEnd w:id="19"/>
      <w:bookmarkEnd w:id="20"/>
      <w:bookmarkEnd w:id="21"/>
      <w:bookmarkStart w:id="22" w:name="_Toc75570886"/>
    </w:p>
    <w:p>
      <w:pPr>
        <w:pStyle w:val="3"/>
        <w:numPr>
          <w:ilvl w:val="0"/>
          <w:numId w:val="0"/>
        </w:numPr>
        <w:autoSpaceDE w:val="0"/>
        <w:autoSpaceDN w:val="0"/>
        <w:adjustRightInd w:val="0"/>
        <w:snapToGrid w:val="0"/>
        <w:spacing w:beforeLines="100" w:after="0" w:line="360" w:lineRule="auto"/>
        <w:jc w:val="left"/>
        <w:textAlignment w:val="baseline"/>
        <w:rPr>
          <w:rFonts w:hint="eastAsia" w:ascii="宋体" w:hAnsi="宋体" w:eastAsia="宋体"/>
          <w:color w:val="000000" w:themeColor="text1"/>
          <w:sz w:val="21"/>
          <w:szCs w:val="21"/>
          <w:highlight w:val="none"/>
          <w:lang w:eastAsia="zh-CN"/>
          <w14:textFill>
            <w14:solidFill>
              <w14:schemeClr w14:val="tx1"/>
            </w14:solidFill>
          </w14:textFill>
        </w:rPr>
      </w:pPr>
      <w:bookmarkStart w:id="23" w:name="_Toc351986194"/>
      <w:bookmarkStart w:id="24" w:name="_Toc357151164"/>
      <w:bookmarkStart w:id="25" w:name="_Toc369180018"/>
      <w:bookmarkStart w:id="26" w:name="_Toc452826427"/>
      <w:bookmarkStart w:id="27" w:name="_Toc353522388"/>
      <w:bookmarkStart w:id="28" w:name="_Toc351987960"/>
      <w:bookmarkStart w:id="29" w:name="_Toc351990141"/>
      <w:bookmarkStart w:id="30" w:name="_Toc351987764"/>
      <w:bookmarkStart w:id="31" w:name="_Toc351985909"/>
      <w:bookmarkStart w:id="32" w:name="_Toc351988705"/>
      <w:bookmarkStart w:id="33" w:name="_Toc329242668"/>
      <w:bookmarkStart w:id="34" w:name="_Toc351986014"/>
      <w:bookmarkStart w:id="35" w:name="_Toc23201"/>
      <w:r>
        <w:rPr>
          <w:rFonts w:hint="eastAsia" w:ascii="宋体" w:hAnsi="宋体"/>
          <w:color w:val="000000" w:themeColor="text1"/>
          <w:sz w:val="21"/>
          <w:szCs w:val="21"/>
          <w:highlight w:val="none"/>
          <w14:textFill>
            <w14:solidFill>
              <w14:schemeClr w14:val="tx1"/>
            </w14:solidFill>
          </w14:textFill>
        </w:rPr>
        <w:t>项目编号：</w:t>
      </w:r>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olor w:val="000000" w:themeColor="text1"/>
          <w:sz w:val="21"/>
          <w:szCs w:val="21"/>
          <w:highlight w:val="none"/>
          <w:u w:val="single"/>
          <w:lang w:eastAsia="zh-CN"/>
          <w14:textFill>
            <w14:solidFill>
              <w14:schemeClr w14:val="tx1"/>
            </w14:solidFill>
          </w14:textFill>
        </w:rPr>
        <w:t>YXZB-20220311</w:t>
      </w:r>
      <w:bookmarkEnd w:id="35"/>
    </w:p>
    <w:p>
      <w:pPr>
        <w:pStyle w:val="4"/>
        <w:widowControl/>
        <w:numPr>
          <w:ilvl w:val="1"/>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36" w:name="_Toc369180019"/>
      <w:bookmarkStart w:id="37" w:name="_Toc351988706"/>
      <w:bookmarkStart w:id="38" w:name="_Toc351987765"/>
      <w:bookmarkStart w:id="39" w:name="_Toc452826428"/>
      <w:bookmarkStart w:id="40" w:name="_Toc351985910"/>
      <w:bookmarkStart w:id="41" w:name="_Toc357151165"/>
      <w:bookmarkStart w:id="42" w:name="_Toc353522389"/>
      <w:bookmarkStart w:id="43" w:name="_Toc351986195"/>
      <w:bookmarkStart w:id="44" w:name="_Toc329242669"/>
      <w:bookmarkStart w:id="45" w:name="_Toc351987961"/>
      <w:bookmarkStart w:id="46" w:name="_Toc351986015"/>
      <w:bookmarkStart w:id="47" w:name="_Toc351990142"/>
      <w:bookmarkStart w:id="48" w:name="_Toc28276"/>
      <w:r>
        <w:rPr>
          <w:rFonts w:hint="eastAsia" w:ascii="宋体" w:hAnsi="宋体" w:eastAsia="宋体"/>
          <w:color w:val="000000" w:themeColor="text1"/>
          <w:kern w:val="44"/>
          <w:sz w:val="21"/>
          <w:szCs w:val="21"/>
          <w:highlight w:val="none"/>
          <w14:textFill>
            <w14:solidFill>
              <w14:schemeClr w14:val="tx1"/>
            </w14:solidFill>
          </w14:textFill>
        </w:rPr>
        <w:t>项目名称：</w:t>
      </w:r>
      <w:bookmarkEnd w:id="36"/>
      <w:bookmarkEnd w:id="37"/>
      <w:bookmarkEnd w:id="38"/>
      <w:bookmarkEnd w:id="39"/>
      <w:bookmarkEnd w:id="40"/>
      <w:bookmarkEnd w:id="41"/>
      <w:bookmarkEnd w:id="42"/>
      <w:bookmarkEnd w:id="43"/>
      <w:bookmarkEnd w:id="44"/>
      <w:bookmarkEnd w:id="45"/>
      <w:bookmarkEnd w:id="46"/>
      <w:bookmarkEnd w:id="47"/>
      <w:r>
        <w:rPr>
          <w:rFonts w:hint="eastAsia" w:ascii="宋体" w:hAnsi="宋体" w:eastAsia="宋体"/>
          <w:color w:val="000000" w:themeColor="text1"/>
          <w:kern w:val="44"/>
          <w:sz w:val="21"/>
          <w:szCs w:val="21"/>
          <w:highlight w:val="none"/>
          <w:u w:val="single"/>
          <w:lang w:eastAsia="zh-CN"/>
          <w14:textFill>
            <w14:solidFill>
              <w14:schemeClr w14:val="tx1"/>
            </w14:solidFill>
          </w14:textFill>
        </w:rPr>
        <w:t>合山中学鱼池改造工程</w:t>
      </w:r>
      <w:bookmarkEnd w:id="48"/>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49" w:name="_Toc357151166"/>
      <w:bookmarkStart w:id="50" w:name="_Toc351990143"/>
      <w:bookmarkStart w:id="51" w:name="_Toc351986016"/>
      <w:bookmarkStart w:id="52" w:name="_Toc351987962"/>
      <w:bookmarkStart w:id="53" w:name="_Toc351986196"/>
      <w:bookmarkStart w:id="54" w:name="_Toc329242670"/>
      <w:bookmarkStart w:id="55" w:name="_Toc452826429"/>
      <w:bookmarkStart w:id="56" w:name="_Toc2355"/>
      <w:bookmarkStart w:id="57" w:name="_Toc351988707"/>
      <w:bookmarkStart w:id="58" w:name="_Toc369180020"/>
      <w:bookmarkStart w:id="59" w:name="_Toc351985911"/>
      <w:bookmarkStart w:id="60" w:name="_Toc351987766"/>
      <w:bookmarkStart w:id="61" w:name="_Toc353522390"/>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2"/>
      <w:bookmarkEnd w:id="49"/>
      <w:bookmarkEnd w:id="50"/>
      <w:bookmarkEnd w:id="51"/>
      <w:bookmarkEnd w:id="52"/>
      <w:bookmarkEnd w:id="53"/>
      <w:bookmarkEnd w:id="54"/>
      <w:bookmarkEnd w:id="55"/>
      <w:bookmarkEnd w:id="56"/>
      <w:bookmarkEnd w:id="57"/>
      <w:bookmarkEnd w:id="58"/>
      <w:bookmarkEnd w:id="59"/>
      <w:bookmarkEnd w:id="60"/>
      <w:bookmarkEnd w:id="61"/>
    </w:p>
    <w:tbl>
      <w:tblPr>
        <w:tblStyle w:val="42"/>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266"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详见第一部份《竞争性谈判邀请书》。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运至合同指定地点的运输费、卸装费、保险费、验收等一切费用，采购人不再支付其他任何费用。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w:t>
            </w:r>
            <w:r>
              <w:rPr>
                <w:rFonts w:hint="eastAsia"/>
                <w:color w:val="000000" w:themeColor="text1"/>
                <w:highlight w:val="none"/>
                <w:lang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与采购人双方签订，签订时间为《</w:t>
            </w:r>
            <w:r>
              <w:rPr>
                <w:rFonts w:hint="eastAsia"/>
                <w:color w:val="000000" w:themeColor="text1"/>
                <w:highlight w:val="none"/>
                <w:lang w:eastAsia="zh-CN"/>
                <w14:textFill>
                  <w14:solidFill>
                    <w14:schemeClr w14:val="tx1"/>
                  </w14:solidFill>
                </w14:textFill>
              </w:rPr>
              <w:t>成交</w:t>
            </w:r>
            <w:r>
              <w:rPr>
                <w:rFonts w:hint="eastAsia"/>
                <w:color w:val="000000" w:themeColor="text1"/>
                <w:highlight w:val="none"/>
                <w14:textFill>
                  <w14:solidFill>
                    <w14:schemeClr w14:val="tx1"/>
                  </w14:solidFill>
                </w14:textFill>
              </w:rPr>
              <w:t>通知书》</w:t>
            </w:r>
            <w:r>
              <w:rPr>
                <w:rFonts w:hint="eastAsia"/>
                <w:color w:val="000000" w:themeColor="text1"/>
                <w:highlight w:val="none"/>
                <w:lang w:eastAsia="zh-CN"/>
                <w14:textFill>
                  <w14:solidFill>
                    <w14:schemeClr w14:val="tx1"/>
                  </w14:solidFill>
                </w14:textFill>
              </w:rPr>
              <w:t>发出</w:t>
            </w:r>
            <w:r>
              <w:rPr>
                <w:rFonts w:hint="eastAsia"/>
                <w:color w:val="000000" w:themeColor="text1"/>
                <w:highlight w:val="none"/>
                <w14:textFill>
                  <w14:solidFill>
                    <w14:schemeClr w14:val="tx1"/>
                  </w14:solidFill>
                </w14:textFill>
              </w:rPr>
              <w:t>后</w:t>
            </w:r>
            <w:r>
              <w:rPr>
                <w:rFonts w:hint="eastAsia"/>
                <w:color w:val="000000" w:themeColor="text1"/>
                <w:highlight w:val="none"/>
                <w:lang w:val="en-US" w:eastAsia="zh-CN"/>
                <w14:textFill>
                  <w14:solidFill>
                    <w14:schemeClr w14:val="tx1"/>
                  </w14:solidFill>
                </w14:textFill>
              </w:rPr>
              <w:t>30</w:t>
            </w:r>
            <w:r>
              <w:rPr>
                <w:rFonts w:hint="eastAsia"/>
                <w:color w:val="000000" w:themeColor="text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采购人指定地点</w:t>
            </w:r>
            <w:r>
              <w:rPr>
                <w:rFonts w:hint="eastAsia" w:ascii="宋体" w:hAnsi="宋体"/>
                <w:bCs/>
                <w:color w:val="000000" w:themeColor="text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266"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所有项目建设</w:t>
            </w:r>
            <w:r>
              <w:rPr>
                <w:rFonts w:hint="eastAsia"/>
                <w:color w:val="000000" w:themeColor="text1"/>
                <w:highlight w:val="none"/>
                <w14:textFill>
                  <w14:solidFill>
                    <w14:schemeClr w14:val="tx1"/>
                  </w14:solidFill>
                </w14:textFill>
              </w:rPr>
              <w:t>完毕</w:t>
            </w:r>
            <w:r>
              <w:rPr>
                <w:rFonts w:hint="eastAsia"/>
                <w:color w:val="000000" w:themeColor="text1"/>
                <w:highlight w:val="none"/>
                <w:lang w:val="en-US" w:eastAsia="zh-CN"/>
                <w14:textFill>
                  <w14:solidFill>
                    <w14:schemeClr w14:val="tx1"/>
                  </w14:solidFill>
                </w14:textFill>
              </w:rPr>
              <w:t>并验收合格后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30天内支</w:t>
            </w:r>
            <w:r>
              <w:rPr>
                <w:rFonts w:hint="eastAsia"/>
                <w:color w:val="000000" w:themeColor="text1"/>
                <w:highlight w:val="none"/>
                <w14:textFill>
                  <w14:solidFill>
                    <w14:schemeClr w14:val="tx1"/>
                  </w14:solidFill>
                </w14:textFill>
              </w:rPr>
              <w:t>付合同</w:t>
            </w:r>
            <w:r>
              <w:rPr>
                <w:rFonts w:hint="eastAsia"/>
                <w:color w:val="000000" w:themeColor="text1"/>
                <w:highlight w:val="none"/>
                <w:lang w:val="en-US" w:eastAsia="zh-CN"/>
                <w14:textFill>
                  <w14:solidFill>
                    <w14:schemeClr w14:val="tx1"/>
                  </w14:solidFill>
                </w14:textFill>
              </w:rPr>
              <w:t>总价</w:t>
            </w:r>
            <w:r>
              <w:rPr>
                <w:rFonts w:hint="eastAsia"/>
                <w:color w:val="000000" w:themeColor="text1"/>
                <w:highlight w:val="none"/>
                <w14:textFill>
                  <w14:solidFill>
                    <w14:schemeClr w14:val="tx1"/>
                  </w14:solidFill>
                </w14:textFill>
              </w:rPr>
              <w:t>9</w:t>
            </w:r>
            <w:r>
              <w:rPr>
                <w:rFonts w:hint="eastAsia"/>
                <w:color w:val="000000" w:themeColor="text1"/>
                <w:highlight w:val="none"/>
                <w:lang w:val="en-US" w:eastAsia="zh-CN"/>
                <w14:textFill>
                  <w14:solidFill>
                    <w14:schemeClr w14:val="tx1"/>
                  </w14:solidFill>
                </w14:textFill>
              </w:rPr>
              <w:t>7</w:t>
            </w:r>
            <w:r>
              <w:rPr>
                <w:rFonts w:hint="eastAsia"/>
                <w:color w:val="000000" w:themeColor="text1"/>
                <w:highlight w:val="none"/>
                <w14:textFill>
                  <w14:solidFill>
                    <w14:schemeClr w14:val="tx1"/>
                  </w14:solidFill>
                </w14:textFill>
              </w:rPr>
              <w:t>%，项目验收合格之日起满一年如无质量问题，质保期满后一次性无息付支付余下的</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95"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lang w:val="en-US" w:eastAsia="zh-CN"/>
                <w14:textFill>
                  <w14:solidFill>
                    <w14:schemeClr w14:val="tx1"/>
                  </w14:solidFill>
                </w14:textFill>
              </w:rPr>
              <w:t>贰</w:t>
            </w:r>
            <w:r>
              <w:rPr>
                <w:rFonts w:hint="eastAsia" w:ascii="宋体" w:hAnsi="宋体"/>
                <w:b/>
                <w:color w:val="000000" w:themeColor="text1"/>
                <w:szCs w:val="21"/>
                <w:highlight w:val="none"/>
                <w14:textFill>
                  <w14:solidFill>
                    <w14:schemeClr w14:val="tx1"/>
                  </w14:solidFill>
                </w14:textFill>
              </w:rPr>
              <w:t>仟元整（￥</w:t>
            </w:r>
            <w:r>
              <w:rPr>
                <w:rFonts w:hint="eastAsia" w:ascii="宋体" w:hAnsi="宋体"/>
                <w:b/>
                <w:color w:val="000000" w:themeColor="text1"/>
                <w:szCs w:val="21"/>
                <w:highlight w:val="none"/>
                <w:lang w:val="en-US" w:eastAsia="zh-CN"/>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根据发改价格[2015]299号文的规定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w:t>
            </w:r>
            <w:r>
              <w:rPr>
                <w:rFonts w:hint="eastAsia" w:ascii="宋体" w:hAnsi="宋体"/>
                <w:color w:val="000000" w:themeColor="text1"/>
                <w:szCs w:val="21"/>
                <w:highlight w:val="none"/>
                <w:lang w:val="en-US" w:eastAsia="zh-CN"/>
                <w14:textFill>
                  <w14:solidFill>
                    <w14:schemeClr w14:val="tx1"/>
                  </w14:solidFill>
                </w14:textFill>
              </w:rPr>
              <w:t>伍</w:t>
            </w:r>
            <w:r>
              <w:rPr>
                <w:rFonts w:hint="eastAsia" w:ascii="宋体" w:hAnsi="宋体"/>
                <w:color w:val="000000" w:themeColor="text1"/>
                <w:szCs w:val="21"/>
                <w:highlight w:val="none"/>
                <w14:textFill>
                  <w14:solidFill>
                    <w14:schemeClr w14:val="tx1"/>
                  </w14:solidFill>
                </w14:textFill>
              </w:rPr>
              <w:t>仟元整（￥</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9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2" w:name="_Toc351990144"/>
      <w:bookmarkStart w:id="63" w:name="_Toc351986197"/>
      <w:bookmarkStart w:id="64" w:name="_Toc452826430"/>
      <w:bookmarkStart w:id="65" w:name="_Toc351987767"/>
      <w:bookmarkStart w:id="66" w:name="_Toc353522391"/>
      <w:bookmarkStart w:id="67" w:name="_Toc329242671"/>
      <w:bookmarkStart w:id="68" w:name="_Toc357151167"/>
      <w:bookmarkStart w:id="69" w:name="_Toc351985912"/>
      <w:bookmarkStart w:id="70" w:name="_Toc369180021"/>
      <w:bookmarkStart w:id="71" w:name="_Toc351986017"/>
      <w:bookmarkStart w:id="72" w:name="_Toc351988708"/>
      <w:bookmarkStart w:id="73" w:name="_Toc351987963"/>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4" w:name="_Toc7739"/>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2"/>
      <w:bookmarkEnd w:id="63"/>
      <w:bookmarkEnd w:id="64"/>
      <w:bookmarkEnd w:id="65"/>
      <w:bookmarkEnd w:id="66"/>
      <w:bookmarkEnd w:id="67"/>
      <w:bookmarkEnd w:id="68"/>
      <w:bookmarkEnd w:id="69"/>
      <w:bookmarkEnd w:id="70"/>
      <w:bookmarkEnd w:id="71"/>
      <w:bookmarkEnd w:id="72"/>
      <w:bookmarkEnd w:id="73"/>
      <w:bookmarkEnd w:id="74"/>
    </w:p>
    <w:p>
      <w:pPr>
        <w:rPr>
          <w:color w:val="000000" w:themeColor="text1"/>
          <w:highlight w:val="none"/>
          <w14:textFill>
            <w14:solidFill>
              <w14:schemeClr w14:val="tx1"/>
            </w14:solidFill>
          </w14:textFill>
        </w:rPr>
      </w:pPr>
    </w:p>
    <w:tbl>
      <w:tblPr>
        <w:tblStyle w:val="42"/>
        <w:tblW w:w="904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702"/>
        <w:gridCol w:w="4408"/>
        <w:gridCol w:w="1035"/>
        <w:gridCol w:w="11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702"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项目名称</w:t>
            </w:r>
          </w:p>
        </w:tc>
        <w:tc>
          <w:tcPr>
            <w:tcW w:w="440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项目特征描述</w:t>
            </w:r>
          </w:p>
        </w:tc>
        <w:tc>
          <w:tcPr>
            <w:tcW w:w="10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117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04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 xml:space="preserve"> 一、拆除部分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拆除原有铁艺栏杆</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1.栏杆、栏板拆除 金属</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2.拆除废料外运 人工装自卸汽车运 3km内 实际运距(km):10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拆除池底马赛克及找平层</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1.平面块料拆除 块料面层 水泥砂浆结合层 铲除找平层 人工费+200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2.拆除废料外运 人工装自卸汽车运 3km内 实际运距(km):10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铲除原有草皮</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1.绿化地铲除杂草</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拆除池壁马赛克及找平层</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1.立面块料拆除 陶瓷面砖 水泥砂浆或沥青结合层 铲除找平层 人工费+200</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2.拆除废料外运 人工装自卸汽车运 3km内 实际运距(km):10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04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 xml:space="preserve"> 二、改造及新建部分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04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 鱼池部分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挖一般土方</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1.挖掘机挖一般土方 一、二类土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2.人工挖一般土方 一、二类土</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3</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回填方</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1.回填土 夯实机夯实 平地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3</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余方弃置</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1.挖掘机装土方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2.自卸汽车运土方 运距1km内 实际运距(km):10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3</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种植台湾草</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1.铺草皮 原土铺草皮</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2.草皮保养 机械灌溉 6个月 单价*6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深灰英石假山叠型景观</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1.深灰英石假山叠型景观</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t</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假山石湾公仔点缀装饰（白鹤、姜太公、六角凉亭、文昌塔、棋盘）</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1.假山石湾公仔点缀装饰（白鹤、姜太公、六角凉亭、文昌塔、棋盘）</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假山普通常绿绿化点缀种植</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1.假山普通常绿绿化点缀种植</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批</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鱼池底挂网砂浆找平</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1.楼地面水泥砂浆找平层 混凝土或硬基层上 20mm 实际厚度(mm):50 合并制作子目 抹灰水泥砂浆(配合比) 中砂 1:3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2.墙、柱面钉(挂)钢(铁)网 铁丝网</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3.陶瓷马赛克 水泥砂浆 楼地面 不拼花 合并制作子目 抹灰水泥砂浆(配合比) 中砂 1:1</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4.双组份聚氨酯涂膜防水 平面 1.5mm厚</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原有铁艺栏杆油漆</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1.金属面调和漆 调和漆一遍 实际遍数(遍):2</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8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鱼池壁贴马赛克</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1.底层抹灰15mm 各种墙面 内墙 实际水泥石灰砂浆厚度(mm):30 合并制作子目 抹灰水泥砂浆(配合比) 中砂 1:3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2.镶贴马赛克 白水泥膏 墙面墙裙</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3.双组份聚氨酯涂膜防水 平面 1.5mm厚 立面涂刷聚氨酯 人工*1.25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04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 xml:space="preserve"> 2.净化池部分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挖一般土方</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1.挖掘机挖一般土方 一、二类土</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2.人工挖一般土方 一、二类土</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3</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回填方</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1.回填土 夯实机夯实 平地</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3</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余方弃置</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1.挖掘机装土方</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2.自卸汽车运土方 运距1km内 实际运距(km):10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3</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8"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C25净化池底板</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1.地坪 厚度8cm 实际厚度(cm):10 合并制作子目 普通预拌混凝土 碎石粒径综合考虑 C25</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2.现浇构件圆钢 φ10内</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净化池底砂浆找平</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1.楼地面水泥砂浆找平层 混凝土或硬基层上 20mm 合并制作子目 抹灰水泥砂浆(配合比) 中砂 1:3</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2.双组份聚氨酯涂膜防水 平面 1.5mm厚</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更换不锈钢立柱</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1.不锈钢立柱 φ150 直型</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120mm厚池壁</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1.蒸压灰砂砖外墙 墙体厚度 11.5cm 合并制作子目 砌筑用水泥砂浆(配合比) 中砂 M7.5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3</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墙面一般抹灰</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1.各种墙面15+5mm 水泥石灰砂浆底 水泥砂浆面 内墙 合并制作子目 抹灰水泥砂浆(配合比) 中砂 1:3 合并制作子目 抹灰水泥砂浆(配合比) 中砂 1:3</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墙面涂膜防水</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1.双组份聚氨酯涂膜防水 平面 1.5mm厚 立面涂刷聚氨酯 人工*1.25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C25混凝土预制板</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1.预制混凝土构件安装 整体板</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3</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预制板面铺假草皮</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1.人造草坪</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r>
              <w:rPr>
                <w:rFonts w:hint="eastAsia" w:ascii="宋体" w:hAnsi="宋体" w:eastAsia="宋体" w:cs="宋体"/>
                <w:i w:val="0"/>
                <w:iCs w:val="0"/>
                <w:color w:val="000000" w:themeColor="text1"/>
                <w:kern w:val="0"/>
                <w:sz w:val="21"/>
                <w:szCs w:val="21"/>
                <w:highlight w:val="none"/>
                <w:u w:val="none"/>
                <w:vertAlign w:val="superscript"/>
                <w:lang w:val="en-US" w:eastAsia="zh-CN" w:bidi="ar"/>
                <w14:textFill>
                  <w14:solidFill>
                    <w14:schemeClr w14:val="tx1"/>
                  </w14:solidFill>
                </w14:textFill>
              </w:rPr>
              <w:t>2</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04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 xml:space="preserve"> 三、净化过滤系统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蚝壳（50斤）</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1.蚝壳（50斤）</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27</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珊瑚（50斤）</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1.珊瑚（50斤）</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包</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28</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生化毡（1000*2000）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1.生化毡（1000*2000）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块</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29</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0.6米不锈钢毛刷</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1.0.6米不锈钢毛刷</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绿网袋</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1.绿网袋</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31</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30W杀菌灯</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1.医院灯具安装 紫外线杀菌灯</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12000海豚水泵</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1.潜水泵安装 设备重量(t以内) 0.05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33</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池泉150W水泵</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1.潜水泵安装 设备重量(t以内) 0.05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34</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池泉100W水泵</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1.潜水泵安装 设备重量(t以内) 0.05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35</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户外不锈钢电箱500*600*200及水泵控制开关</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1.成套配电箱安装 悬挂式(半周长m以内) 0.5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36</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不锈钢支架</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1.不锈钢支架</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37</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过滤材料安装及循环系统调试</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1.过滤材料安装及循环系统调试</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系统</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043" w:type="dxa"/>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 xml:space="preserve"> </w:t>
            </w: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四、安装部分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喇叭喷头</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1.喷泉喷头安装 公称直径mm以内 25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39</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蘑菇喷头</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1.喷泉喷头安装 公称直径mm以内 25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304不锈钢LED七彩射灯（18w)</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1.点光源艺术装饰灯具安装 射灯 吸顶式 示意图号:182、183、184、185、186、187</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41</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PVC水管DN75</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1.给排水管道 室外塑料排水管(粘接) 公称外径(mm以内) 75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42</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PVC排水管DN110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1.给排水管道 室外塑料排水管(粘接) 公称外径(mm以内) 110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43</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PVC给水管DN25</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1.给排水管道 室外塑料给水管(粘接) 公称外径(mm以内) 32</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2.管道消毒、冲洗 公称直径(mm以内) 25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电气配管PC20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1.半硬质塑料管砖、混凝土结构暗配 公称直径(mm以内) 20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45</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电气配线BV-2.5mm2</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1.硬绝缘导线管内穿线 导线截面(mm2以内) 2.5</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46</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电气配线BV-6mm2</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1.硬绝缘导线管内穿线 导线截面(mm2以内) 6</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2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47</w:t>
            </w:r>
          </w:p>
        </w:tc>
        <w:tc>
          <w:tcPr>
            <w:tcW w:w="170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金属线槽MR100*100</w:t>
            </w:r>
          </w:p>
        </w:tc>
        <w:tc>
          <w:tcPr>
            <w:tcW w:w="440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1.金属线槽安装 宽+高(mm以内) 300</w:t>
            </w:r>
          </w:p>
        </w:tc>
        <w:tc>
          <w:tcPr>
            <w:tcW w:w="10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m</w:t>
            </w:r>
          </w:p>
        </w:tc>
        <w:tc>
          <w:tcPr>
            <w:tcW w:w="11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6.8</w:t>
            </w:r>
          </w:p>
        </w:tc>
      </w:tr>
    </w:tbl>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Cs w:val="21"/>
          <w:highlight w:val="none"/>
          <w:lang w:val="zh-CN"/>
          <w14:textFill>
            <w14:solidFill>
              <w14:schemeClr w14:val="tx1"/>
            </w14:solidFill>
          </w14:textFill>
        </w:rPr>
      </w:pPr>
    </w:p>
    <w:p>
      <w:pPr>
        <w:rPr>
          <w:rFonts w:ascii="宋体" w:hAnsi="宋体"/>
          <w:color w:val="000000" w:themeColor="text1"/>
          <w:sz w:val="24"/>
          <w:highlight w:val="none"/>
          <w:lang w:val="zh-CN"/>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p>
    <w:p>
      <w:pPr>
        <w:pStyle w:val="4"/>
        <w:widowControl/>
        <w:numPr>
          <w:ilvl w:val="1"/>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14216"/>
      <w:r>
        <w:rPr>
          <w:rFonts w:hint="eastAsia" w:ascii="宋体" w:hAnsi="宋体" w:eastAsia="宋体"/>
          <w:color w:val="000000" w:themeColor="text1"/>
          <w:kern w:val="0"/>
          <w:sz w:val="21"/>
          <w:szCs w:val="21"/>
          <w:highlight w:val="none"/>
          <w14:textFill>
            <w14:solidFill>
              <w14:schemeClr w14:val="tx1"/>
            </w14:solidFill>
          </w14:textFill>
        </w:rPr>
        <w:t>第三部分 报价须知</w:t>
      </w:r>
      <w:bookmarkEnd w:id="75"/>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76" w:name="_Toc434832495"/>
      <w:bookmarkStart w:id="77" w:name="_Toc2534"/>
      <w:r>
        <w:rPr>
          <w:rFonts w:hint="eastAsia" w:ascii="宋体" w:hAnsi="宋体" w:eastAsia="宋体"/>
          <w:color w:val="000000" w:themeColor="text1"/>
          <w:sz w:val="21"/>
          <w:szCs w:val="21"/>
          <w:highlight w:val="none"/>
          <w14:textFill>
            <w14:solidFill>
              <w14:schemeClr w14:val="tx1"/>
            </w14:solidFill>
          </w14:textFill>
        </w:rPr>
        <w:t>投标人须知前附表</w:t>
      </w:r>
      <w:bookmarkEnd w:id="76"/>
      <w:bookmarkEnd w:id="77"/>
    </w:p>
    <w:tbl>
      <w:tblPr>
        <w:tblStyle w:val="42"/>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005"/>
        <w:gridCol w:w="35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谈判小组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投标人在每一份谈判文件上明确标明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封面需按谈判文件封面格式要求标注并加盖公章。电子文件单独密封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w:t>
            </w:r>
            <w:r>
              <w:rPr>
                <w:rFonts w:hint="eastAsia"/>
                <w:color w:val="000000" w:themeColor="text1"/>
                <w:szCs w:val="21"/>
                <w:highlight w:val="none"/>
                <w14:textFill>
                  <w14:solidFill>
                    <w14:schemeClr w14:val="tx1"/>
                  </w14:solidFill>
                </w14:textFill>
              </w:rPr>
              <w:t>谈判</w:t>
            </w:r>
            <w:r>
              <w:rPr>
                <w:color w:val="000000" w:themeColor="text1"/>
                <w:szCs w:val="21"/>
                <w:highlight w:val="none"/>
                <w14:textFill>
                  <w14:solidFill>
                    <w14:schemeClr w14:val="tx1"/>
                  </w14:solidFill>
                </w14:textFill>
              </w:rPr>
              <w:t>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为了方便唱标，投标人在递交谈判文件的同时，向代理采购机构提交包含“第一次报价一览表”、“投标保证金”、“分项报价表”、“保证金退付书”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（谈判截止时间）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投标人未按上述规定对谈判文件进行密封和加写标记，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pStyle w:val="2"/>
              <w:tabs>
                <w:tab w:val="left" w:pos="26"/>
              </w:tabs>
              <w:autoSpaceDE w:val="0"/>
              <w:autoSpaceDN w:val="0"/>
              <w:adjustRightInd w:val="0"/>
              <w:ind w:left="26" w:firstLine="0"/>
              <w:textAlignment w:val="baseline"/>
              <w:rPr>
                <w:bCs/>
                <w:color w:val="000000" w:themeColor="text1"/>
                <w:highlight w:val="none"/>
                <w14:textFill>
                  <w14:solidFill>
                    <w14:schemeClr w14:val="tx1"/>
                  </w14:solidFill>
                </w14:textFill>
              </w:rPr>
            </w:pPr>
            <w:r>
              <w:rPr>
                <w:rFonts w:hint="eastAsia"/>
                <w:b/>
                <w:color w:val="000000" w:themeColor="text1"/>
                <w:szCs w:val="21"/>
                <w:highlight w:val="none"/>
                <w14:textFill>
                  <w14:solidFill>
                    <w14:schemeClr w14:val="tx1"/>
                  </w14:solidFill>
                </w14:textFill>
              </w:rPr>
              <w:t>谈判文件中打“★”号条款必须实质性响应，负偏离（不满足要求）将导致谈判无效。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05" w:type="dxa"/>
            <w:vMerge w:val="restart"/>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57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3005" w:type="dxa"/>
            <w:vMerge w:val="continue"/>
            <w:tcBorders>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p>
        </w:tc>
        <w:tc>
          <w:tcPr>
            <w:tcW w:w="3573"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bookmarkEnd w:id="2"/>
    <w:bookmarkEnd w:id="3"/>
    <w:bookmarkEnd w:id="4"/>
    <w:bookmarkEnd w:id="5"/>
    <w:bookmarkEnd w:id="6"/>
    <w:bookmarkEnd w:id="7"/>
    <w:bookmarkEnd w:id="8"/>
    <w:p>
      <w:pPr>
        <w:spacing w:line="360" w:lineRule="auto"/>
        <w:rPr>
          <w:rFonts w:ascii="宋体" w:hAnsi="宋体"/>
          <w:b/>
          <w:color w:val="000000" w:themeColor="text1"/>
          <w:szCs w:val="21"/>
          <w:highlight w:val="none"/>
          <w14:textFill>
            <w14:solidFill>
              <w14:schemeClr w14:val="tx1"/>
            </w14:solidFill>
          </w14:textFill>
        </w:rPr>
      </w:pPr>
      <w:bookmarkStart w:id="78" w:name="_Toc367780303"/>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Ａ  说  明</w:t>
      </w:r>
      <w:bookmarkEnd w:id="78"/>
    </w:p>
    <w:p>
      <w:pPr>
        <w:pStyle w:val="5"/>
        <w:spacing w:line="360" w:lineRule="auto"/>
        <w:rPr>
          <w:rFonts w:ascii="宋体" w:hAnsi="宋体"/>
          <w:color w:val="000000" w:themeColor="text1"/>
          <w:sz w:val="21"/>
          <w:szCs w:val="21"/>
          <w:highlight w:val="none"/>
          <w14:textFill>
            <w14:solidFill>
              <w14:schemeClr w14:val="tx1"/>
            </w14:solidFill>
          </w14:textFill>
        </w:rPr>
      </w:pPr>
      <w:bookmarkStart w:id="79" w:name="_Toc367780304"/>
      <w:bookmarkStart w:id="80" w:name="_Toc425"/>
      <w:r>
        <w:rPr>
          <w:rFonts w:ascii="宋体" w:hAnsi="宋体"/>
          <w:color w:val="000000" w:themeColor="text1"/>
          <w:sz w:val="21"/>
          <w:szCs w:val="21"/>
          <w:highlight w:val="none"/>
          <w14:textFill>
            <w14:solidFill>
              <w14:schemeClr w14:val="tx1"/>
            </w14:solidFill>
          </w14:textFill>
        </w:rPr>
        <w:t>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适用范围和资金来源</w:t>
      </w:r>
      <w:bookmarkEnd w:id="79"/>
      <w:bookmarkEnd w:id="8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本谈判文件仅适用于本次竞争性谈判邀请函中所叙述的</w:t>
      </w:r>
      <w:r>
        <w:rPr>
          <w:rFonts w:hint="eastAsia" w:ascii="宋体" w:hAnsi="宋体"/>
          <w:color w:val="000000" w:themeColor="text1"/>
          <w:szCs w:val="21"/>
          <w:highlight w:val="none"/>
          <w:lang w:eastAsia="zh-CN"/>
          <w14:textFill>
            <w14:solidFill>
              <w14:schemeClr w14:val="tx1"/>
            </w14:solidFill>
          </w14:textFill>
        </w:rPr>
        <w:t>合山中学鱼池改造工程</w:t>
      </w:r>
      <w:r>
        <w:rPr>
          <w:rFonts w:hint="eastAsia" w:ascii="宋体" w:hAnsi="宋体"/>
          <w:bCs/>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本谈判文件有关条款由</w:t>
      </w:r>
      <w:r>
        <w:rPr>
          <w:rFonts w:hint="eastAsia" w:ascii="宋体" w:hAnsi="宋体" w:cs="Tahoma"/>
          <w:color w:val="000000" w:themeColor="text1"/>
          <w:szCs w:val="21"/>
          <w:highlight w:val="none"/>
          <w14:textFill>
            <w14:solidFill>
              <w14:schemeClr w14:val="tx1"/>
            </w14:solidFill>
          </w14:textFill>
        </w:rPr>
        <w:t>代理采购机构</w:t>
      </w:r>
      <w:r>
        <w:rPr>
          <w:rFonts w:hint="eastAsia" w:ascii="宋体" w:hAnsi="宋体"/>
          <w:bCs/>
          <w:color w:val="000000" w:themeColor="text1"/>
          <w:szCs w:val="21"/>
          <w:highlight w:val="none"/>
          <w14:textFill>
            <w14:solidFill>
              <w14:schemeClr w14:val="tx1"/>
            </w14:solidFill>
          </w14:textFill>
        </w:rPr>
        <w:t>负责解释。</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1" w:name="_Toc367780305"/>
      <w:bookmarkStart w:id="82" w:name="_Toc12476"/>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定义</w:t>
      </w:r>
      <w:bookmarkEnd w:id="81"/>
      <w:bookmarkEnd w:id="82"/>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“代理采购机构”系指</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“供应商”系指符合谈判文件合格供应商资格要求，并按谈判文件规定提交谈判响应文件的供应商。</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“采购人”系指</w:t>
      </w:r>
      <w:r>
        <w:rPr>
          <w:rFonts w:hint="eastAsia" w:ascii="宋体" w:hAnsi="宋体"/>
          <w:bCs/>
          <w:color w:val="000000" w:themeColor="text1"/>
          <w:szCs w:val="21"/>
          <w:highlight w:val="none"/>
          <w:lang w:eastAsia="zh-CN"/>
          <w14:textFill>
            <w14:solidFill>
              <w14:schemeClr w14:val="tx1"/>
            </w14:solidFill>
          </w14:textFill>
        </w:rPr>
        <w:t>阳江市阳东区合山中学</w:t>
      </w:r>
      <w:r>
        <w:rPr>
          <w:rFonts w:hint="eastAsia" w:ascii="宋体" w:hAnsi="宋体"/>
          <w:bCs/>
          <w:color w:val="000000" w:themeColor="text1"/>
          <w:szCs w:val="21"/>
          <w:highlight w:val="none"/>
          <w14:textFill>
            <w14:solidFill>
              <w14:schemeClr w14:val="tx1"/>
            </w14:solidFill>
          </w14:textFill>
        </w:rPr>
        <w:t>，即项目采购用户方。</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货物</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系指投标供应商根据谈判文件规定，须向采购人提供的货物、材料、备品备件、工具、使用手册及有关技术资料等。</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“服务”系指谈判文件规定卖方须承担与实施本项目有关的伴随服务，包括但不限于运输、设计、装卸、安装、调试、技术支持、售后服务等义务和合同中规定卖方应承担的其它义务。</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“天”是指日历天。</w:t>
      </w:r>
    </w:p>
    <w:p>
      <w:pPr>
        <w:widowControl/>
        <w:numPr>
          <w:ilvl w:val="1"/>
          <w:numId w:val="7"/>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“工作日”系指国家规定除法定节假日以外的以日</w:t>
      </w:r>
      <w:r>
        <w:rPr>
          <w:rFonts w:ascii="宋体" w:hAnsi="宋体"/>
          <w:bCs/>
          <w:color w:val="000000" w:themeColor="text1"/>
          <w:szCs w:val="21"/>
          <w:highlight w:val="none"/>
          <w14:textFill>
            <w14:solidFill>
              <w14:schemeClr w14:val="tx1"/>
            </w14:solidFill>
          </w14:textFill>
        </w:rPr>
        <w:t>为计算单位的工作时间</w:t>
      </w:r>
      <w:r>
        <w:rPr>
          <w:rFonts w:hint="eastAsia" w:ascii="宋体" w:hAnsi="宋体"/>
          <w:bCs/>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3" w:name="_Toc367780306"/>
      <w:bookmarkStart w:id="84" w:name="_Toc30622"/>
      <w:r>
        <w:rPr>
          <w:rFonts w:ascii="宋体" w:hAnsi="宋体"/>
          <w:color w:val="000000" w:themeColor="text1"/>
          <w:sz w:val="21"/>
          <w:szCs w:val="21"/>
          <w:highlight w:val="none"/>
          <w14:textFill>
            <w14:solidFill>
              <w14:schemeClr w14:val="tx1"/>
            </w14:solidFill>
          </w14:textFill>
        </w:rPr>
        <w:t>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合格的供应商</w:t>
      </w:r>
      <w:bookmarkEnd w:id="83"/>
      <w:bookmarkEnd w:id="84"/>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凡具有供应能力，符合并承认和履行本谈判文件中各项规定者为合格的供应商。</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供应商必须遵守国家有关规定和其他相关的法律、法规、规章、条例及谈判文件中的规定。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rFonts w:ascii="宋体" w:hAnsi="宋体"/>
          <w:bCs/>
          <w:color w:val="000000" w:themeColor="text1"/>
          <w:szCs w:val="21"/>
          <w:highlight w:val="none"/>
          <w14:textFill>
            <w14:solidFill>
              <w14:schemeClr w14:val="tx1"/>
            </w14:solidFill>
          </w14:textFill>
        </w:rPr>
        <w:t>专门面向中小微企业采购的项目，只能由中小企业或微型企业参加。</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85" w:name="_Toc367780307"/>
      <w:bookmarkStart w:id="86" w:name="_Toc8468"/>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谈判费用</w:t>
      </w:r>
      <w:bookmarkEnd w:id="85"/>
      <w:bookmarkEnd w:id="8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自行承担所有与准备和参加谈判有关的费用。无论谈判结果如何，响应谈判的投标供应商自行承担参与本项目投标有关的所有费用，代理采购机构和采购人均无义务和责任承担这些费用。供应商所提供的谈判文件等在接收谈判文件截止时间后概不退回。</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87" w:name="_Toc31501"/>
      <w:bookmarkStart w:id="88" w:name="_Toc367780308"/>
      <w:r>
        <w:rPr>
          <w:rFonts w:hint="eastAsia" w:ascii="宋体" w:hAnsi="宋体" w:eastAsia="宋体"/>
          <w:color w:val="000000" w:themeColor="text1"/>
          <w:sz w:val="21"/>
          <w:szCs w:val="21"/>
          <w:highlight w:val="none"/>
          <w14:textFill>
            <w14:solidFill>
              <w14:schemeClr w14:val="tx1"/>
            </w14:solidFill>
          </w14:textFill>
        </w:rPr>
        <w:t>Ｂ谈判文件说明</w:t>
      </w:r>
      <w:bookmarkEnd w:id="87"/>
      <w:bookmarkEnd w:id="88"/>
    </w:p>
    <w:p>
      <w:pPr>
        <w:pStyle w:val="5"/>
        <w:spacing w:line="360" w:lineRule="auto"/>
        <w:rPr>
          <w:rFonts w:ascii="宋体" w:hAnsi="宋体"/>
          <w:color w:val="000000" w:themeColor="text1"/>
          <w:sz w:val="21"/>
          <w:szCs w:val="21"/>
          <w:highlight w:val="none"/>
          <w14:textFill>
            <w14:solidFill>
              <w14:schemeClr w14:val="tx1"/>
            </w14:solidFill>
          </w14:textFill>
        </w:rPr>
      </w:pPr>
      <w:bookmarkStart w:id="89" w:name="_Toc14339"/>
      <w:bookmarkStart w:id="90" w:name="_Toc367780309"/>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89"/>
      <w:bookmarkEnd w:id="9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谈判文件用以阐明所需货物及服务、谈判程序、合同条款及相关附件。谈判文件由下述部分组成：</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第一部分  竞争性谈判邀请函</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第三部分  报价须知</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第四部分  合同书格式（参考范本）</w:t>
      </w:r>
    </w:p>
    <w:p>
      <w:pPr>
        <w:widowControl/>
        <w:tabs>
          <w:tab w:val="left" w:pos="753"/>
        </w:tabs>
        <w:adjustRightInd w:val="0"/>
        <w:snapToGrid w:val="0"/>
        <w:spacing w:line="360" w:lineRule="auto"/>
        <w:ind w:left="1445" w:leftChars="448" w:hanging="50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第五部分  谈判文件格式</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5.2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谈判文件以中文编印。</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1" w:name="_Toc367780310"/>
      <w:bookmarkStart w:id="92" w:name="_Toc30386"/>
      <w:r>
        <w:rPr>
          <w:rFonts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谈判文件的澄清</w:t>
      </w:r>
      <w:bookmarkEnd w:id="91"/>
      <w:bookmarkEnd w:id="9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6.1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澄清是指代理采购机构对谈判文件中的遗漏、词义表述不清或对比较复杂的事项进行说明，回答供应商提出的各种问题。</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对谈判文件如有疑点，可要求澄清。供应商应在投标截止日三（3）个日历日前按竞争性谈判邀请书中载明的地址以书面形式（包括信函、传真、电子邮件等，下同）通知到代理采购机构。代理采购机构将视情况确定采用适当方式予以澄清，或以书面形式予以答复，并在其认为必要时，将不标明查询来源的书面答复发给已购买谈判文件的每一供应商，供应商在收到通知后应立即以传真或其他书面形式予以确认收到。</w:t>
      </w:r>
    </w:p>
    <w:p>
      <w:pPr>
        <w:widowControl/>
        <w:numPr>
          <w:ilvl w:val="1"/>
          <w:numId w:val="8"/>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代理采购机构对澄清要求的书面答复是谈判文件的组成部分。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3" w:name="_Toc5985"/>
      <w:bookmarkStart w:id="94" w:name="_Toc367780311"/>
      <w:r>
        <w:rPr>
          <w:rFonts w:ascii="宋体" w:hAnsi="宋体"/>
          <w:color w:val="000000" w:themeColor="text1"/>
          <w:sz w:val="21"/>
          <w:szCs w:val="21"/>
          <w:highlight w:val="none"/>
          <w14:textFill>
            <w14:solidFill>
              <w14:schemeClr w14:val="tx1"/>
            </w14:solidFill>
          </w14:textFill>
        </w:rPr>
        <w:t>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谈判文件的修改</w:t>
      </w:r>
      <w:bookmarkEnd w:id="93"/>
      <w:bookmarkEnd w:id="9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在谈判截止日期前，代理采购机构可主动地或依据供应商要求澄清的问题而修改谈判文件，并以书面形式通知已购买谈判文件的每一供应商，供应商在收到该通知后应立即以传真或其他书面形式予以确认。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7.2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为使供应商在准备谈判文件时有合理的时间考虑谈判文件的修改，代理采购机构可酌情推迟谈判时间，并以书面形式通知已购买谈判文件的每一供应商。</w:t>
      </w:r>
    </w:p>
    <w:p>
      <w:pPr>
        <w:widowControl/>
        <w:numPr>
          <w:ilvl w:val="1"/>
          <w:numId w:val="9"/>
        </w:numPr>
        <w:tabs>
          <w:tab w:val="left" w:pos="753"/>
          <w:tab w:val="clear" w:pos="36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谈判文件的修改书将构成谈判文件的一部分，对供应商有约束力。</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95" w:name="_Toc9931"/>
      <w:bookmarkStart w:id="96" w:name="_Toc367780312"/>
      <w:r>
        <w:rPr>
          <w:rFonts w:hint="eastAsia" w:ascii="宋体" w:hAnsi="宋体" w:eastAsia="宋体"/>
          <w:color w:val="000000" w:themeColor="text1"/>
          <w:sz w:val="21"/>
          <w:szCs w:val="21"/>
          <w:highlight w:val="none"/>
          <w14:textFill>
            <w14:solidFill>
              <w14:schemeClr w14:val="tx1"/>
            </w14:solidFill>
          </w14:textFill>
        </w:rPr>
        <w:t>Ｃ谈判文件的编制</w:t>
      </w:r>
      <w:bookmarkEnd w:id="95"/>
      <w:bookmarkEnd w:id="96"/>
    </w:p>
    <w:p>
      <w:pPr>
        <w:pStyle w:val="5"/>
        <w:spacing w:line="360" w:lineRule="auto"/>
        <w:rPr>
          <w:rFonts w:ascii="宋体" w:hAnsi="宋体"/>
          <w:color w:val="000000" w:themeColor="text1"/>
          <w:sz w:val="21"/>
          <w:szCs w:val="21"/>
          <w:highlight w:val="none"/>
          <w14:textFill>
            <w14:solidFill>
              <w14:schemeClr w14:val="tx1"/>
            </w14:solidFill>
          </w14:textFill>
        </w:rPr>
      </w:pPr>
      <w:bookmarkStart w:id="97" w:name="_Toc19741"/>
      <w:bookmarkStart w:id="98" w:name="_Toc367780313"/>
      <w:r>
        <w:rPr>
          <w:rFonts w:hint="eastAsia" w:ascii="宋体" w:hAnsi="宋体"/>
          <w:color w:val="000000" w:themeColor="text1"/>
          <w:sz w:val="21"/>
          <w:szCs w:val="21"/>
          <w:highlight w:val="none"/>
          <w14:textFill>
            <w14:solidFill>
              <w14:schemeClr w14:val="tx1"/>
            </w14:solidFill>
          </w14:textFill>
        </w:rPr>
        <w:t>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要求</w:t>
      </w:r>
      <w:bookmarkEnd w:id="97"/>
      <w:bookmarkEnd w:id="98"/>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8.1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供应商应仔细阅读谈判文件的所有内容，按谈判文件的要求编制谈判文件，并保证所提供的全部资料的真实性，以使其投标对谈判文件提出的要求和条件做出实质性响应，否则，其投标将被拒绝。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99" w:name="_Toc367780314"/>
      <w:bookmarkStart w:id="100" w:name="_Toc8617"/>
      <w:r>
        <w:rPr>
          <w:rFonts w:ascii="宋体" w:hAnsi="宋体"/>
          <w:color w:val="000000" w:themeColor="text1"/>
          <w:sz w:val="21"/>
          <w:szCs w:val="21"/>
          <w:highlight w:val="none"/>
          <w14:textFill>
            <w14:solidFill>
              <w14:schemeClr w14:val="tx1"/>
            </w14:solidFill>
          </w14:textFill>
        </w:rPr>
        <w:t>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投标语言及计量单位</w:t>
      </w:r>
      <w:bookmarkEnd w:id="99"/>
      <w:bookmarkEnd w:id="10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供应商提交的谈判文件（包括资格证明文件）以及供应商与代理采购机构就有关谈判的所有往来函电均应使用中文。供应商可以提交用其它语言打印的资料，但有关段落必须译成中文。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9.2</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除在谈判文件的技术规格中另有规定外，计量单位应使用中华人民共和国法定计量单位（国际单位制和国家选定的其他计量单位）。</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1" w:name="_Toc367780315"/>
      <w:bookmarkStart w:id="102" w:name="_Toc15857"/>
      <w:r>
        <w:rPr>
          <w:rFonts w:ascii="宋体" w:hAnsi="宋体"/>
          <w:color w:val="000000" w:themeColor="text1"/>
          <w:sz w:val="21"/>
          <w:szCs w:val="21"/>
          <w:highlight w:val="none"/>
          <w14:textFill>
            <w14:solidFill>
              <w14:schemeClr w14:val="tx1"/>
            </w14:solidFill>
          </w14:textFill>
        </w:rPr>
        <w:t>10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谈判文件的构成</w:t>
      </w:r>
      <w:bookmarkEnd w:id="101"/>
      <w:bookmarkEnd w:id="10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10.1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谈判文件包括：</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资格审查文件（含附件）</w:t>
      </w:r>
    </w:p>
    <w:p>
      <w:pPr>
        <w:widowControl/>
        <w:numPr>
          <w:ilvl w:val="0"/>
          <w:numId w:val="10"/>
        </w:numPr>
        <w:adjustRightInd w:val="0"/>
        <w:snapToGrid w:val="0"/>
        <w:spacing w:line="360" w:lineRule="auto"/>
        <w:ind w:left="0" w:firstLine="840" w:firstLineChars="4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谈判响应文件商务及技术部分</w:t>
      </w:r>
    </w:p>
    <w:p>
      <w:pPr>
        <w:widowControl/>
        <w:adjustRightInd w:val="0"/>
        <w:snapToGrid w:val="0"/>
        <w:spacing w:line="360" w:lineRule="auto"/>
        <w:ind w:left="565" w:leftChars="269" w:firstLine="315" w:firstLineChars="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上述文件及表格为供应商必须提交的文件，各供应商可以根据实际情况增加内容，但不得擅自减少有关内容。</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3" w:name="_Toc367780316"/>
      <w:bookmarkStart w:id="104" w:name="_Toc2564"/>
      <w:r>
        <w:rPr>
          <w:rFonts w:ascii="宋体" w:hAnsi="宋体"/>
          <w:color w:val="000000" w:themeColor="text1"/>
          <w:sz w:val="21"/>
          <w:szCs w:val="21"/>
          <w:highlight w:val="none"/>
          <w14:textFill>
            <w14:solidFill>
              <w14:schemeClr w14:val="tx1"/>
            </w14:solidFill>
          </w14:textFill>
        </w:rPr>
        <w:t>11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谈判响应文件格式</w:t>
      </w:r>
      <w:bookmarkEnd w:id="103"/>
      <w:bookmarkEnd w:id="104"/>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11.1</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供应商应按照谈判文件中提供的谈判响应文件格式编制谈判响应文件（详见第五部分）。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11.2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供应商应完整地填写谈判文件提供的各种表格，若谈判为工程类或服务类项目的，谈判响应文件中涉及货物的技术参数等可不填写。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5" w:name="_Toc367780317"/>
      <w:bookmarkStart w:id="106" w:name="_Toc14071"/>
      <w:r>
        <w:rPr>
          <w:rFonts w:hint="eastAsia" w:ascii="宋体" w:hAnsi="宋体"/>
          <w:color w:val="000000" w:themeColor="text1"/>
          <w:sz w:val="21"/>
          <w:szCs w:val="21"/>
          <w:highlight w:val="none"/>
          <w14:textFill>
            <w14:solidFill>
              <w14:schemeClr w14:val="tx1"/>
            </w14:solidFill>
          </w14:textFill>
        </w:rPr>
        <w:t>12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资格证明文件</w:t>
      </w:r>
      <w:bookmarkEnd w:id="105"/>
      <w:bookmarkEnd w:id="106"/>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12.1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供应商应当提供的资格证明文件包括:</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1)营业执照副本复印件（加盖公章）；</w:t>
      </w:r>
    </w:p>
    <w:p>
      <w:pPr>
        <w:tabs>
          <w:tab w:val="left" w:pos="753"/>
          <w:tab w:val="left" w:pos="1113"/>
        </w:tabs>
        <w:adjustRightInd w:val="0"/>
        <w:snapToGrid w:val="0"/>
        <w:spacing w:line="360" w:lineRule="auto"/>
        <w:ind w:left="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2)如果项目有特殊要求，供应商还应当提供商务要求中列明的其他资格证明文件。</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12.2   供应商提交的资格证明文件应能够证明其有资格参加谈判，并说明被确定为成交供应商后的合同履行能力：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1)供应商满足谈判文件商务要求中列出的资格要求；</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2)供应商已具备履行合同所需的财务、技术和服务能力；</w:t>
      </w:r>
    </w:p>
    <w:p>
      <w:pPr>
        <w:tabs>
          <w:tab w:val="left" w:pos="1255"/>
          <w:tab w:val="left" w:pos="1638"/>
        </w:tabs>
        <w:adjustRightInd w:val="0"/>
        <w:snapToGrid w:val="0"/>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3)供应商有能力按谈判文件中合同条款和技术要求所规定履行的由卖方应履行的义务。</w:t>
      </w:r>
    </w:p>
    <w:p>
      <w:pPr>
        <w:numPr>
          <w:ilvl w:val="1"/>
          <w:numId w:val="11"/>
        </w:numPr>
        <w:adjustRightInd w:val="0"/>
        <w:snapToGrid w:val="0"/>
        <w:spacing w:line="360" w:lineRule="auto"/>
        <w:ind w:left="709" w:hanging="70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供应商提交的资格证明文件不齐全，由此造成的谈判被拒绝的后果由供应商自负。</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供应商对所提供的资格证明文件的真实性负全部责任。即使供应商提交的资格证明文件通过了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审核，在谈判过程中乃至定标后，如发现供应商所提供的资格证明文件不合法或不真实，代理</w:t>
      </w:r>
    </w:p>
    <w:p>
      <w:p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采购机构仍可追究供应商的法律责任。</w:t>
      </w:r>
    </w:p>
    <w:p>
      <w:pPr>
        <w:numPr>
          <w:ilvl w:val="1"/>
          <w:numId w:val="11"/>
        </w:numPr>
        <w:tabs>
          <w:tab w:val="left" w:pos="753"/>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如果供应商为联合体，则联合体各方应分别提交资格文件，并提供联合体协议书，以一个供应</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商的身份参加谈判。联合体协议须明确各方的权利与义务。由同一专业的单位组成的联合体，</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按照资质等级较低的单位确定资质等级。联合体成交的联合体各方应当共同与采购人签订合同，</w:t>
      </w:r>
    </w:p>
    <w:p>
      <w:pPr>
        <w:tabs>
          <w:tab w:val="left" w:pos="753"/>
        </w:tabs>
        <w:adjustRightInd w:val="0"/>
        <w:snapToGrid w:val="0"/>
        <w:spacing w:line="360" w:lineRule="auto"/>
        <w:ind w:left="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就成交项目向采购人承担共同责任。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7" w:name="_Toc367780318"/>
      <w:bookmarkStart w:id="108" w:name="_Toc24781"/>
      <w:r>
        <w:rPr>
          <w:rFonts w:hint="eastAsia" w:ascii="宋体" w:hAnsi="宋体"/>
          <w:color w:val="000000" w:themeColor="text1"/>
          <w:sz w:val="21"/>
          <w:szCs w:val="21"/>
          <w:highlight w:val="none"/>
          <w14:textFill>
            <w14:solidFill>
              <w14:schemeClr w14:val="tx1"/>
            </w14:solidFill>
          </w14:textFill>
        </w:rPr>
        <w:t>13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货物和服务的证明文件</w:t>
      </w:r>
      <w:bookmarkEnd w:id="107"/>
      <w:bookmarkEnd w:id="108"/>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供应商应提交其拟供的合同项下的货物和服务的合格性符合谈判文件规定的证明文件，并作为其谈判文件的一部分。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货物合格性的证明文件包括但不限于授权代理证书、装运货物时出具的运输单据或发票等文件。</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供应商提交的货物和服务的证明审核通过后，将成为谈判的重要依据。如供应商提交的证明文件不齐全、不真实、不合法，其将承担被拒绝参加谈判的风险。</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09" w:name="_Toc367780319"/>
      <w:bookmarkStart w:id="110" w:name="_Toc25777"/>
      <w:r>
        <w:rPr>
          <w:rFonts w:ascii="宋体" w:hAnsi="宋体"/>
          <w:color w:val="000000" w:themeColor="text1"/>
          <w:sz w:val="21"/>
          <w:szCs w:val="21"/>
          <w:highlight w:val="none"/>
          <w14:textFill>
            <w14:solidFill>
              <w14:schemeClr w14:val="tx1"/>
            </w14:solidFill>
          </w14:textFill>
        </w:rPr>
        <w:t>14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投报价格与报价货币</w:t>
      </w:r>
      <w:bookmarkEnd w:id="109"/>
      <w:bookmarkEnd w:id="110"/>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投报价格应按谈判文件第一次报价一览表和最终报价表（谈判时提供）格式填写报价清单。</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w:t>
      </w:r>
      <w:r>
        <w:rPr>
          <w:rFonts w:hint="eastAsia" w:ascii="宋体" w:hAnsi="宋体"/>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供应商所报总价</w:t>
      </w:r>
      <w:r>
        <w:rPr>
          <w:rFonts w:hint="eastAsia" w:ascii="宋体" w:hAnsi="宋体"/>
          <w:color w:val="000000" w:themeColor="text1"/>
          <w:szCs w:val="21"/>
          <w:highlight w:val="none"/>
          <w14:textFill>
            <w14:solidFill>
              <w14:schemeClr w14:val="tx1"/>
            </w14:solidFill>
          </w14:textFill>
        </w:rPr>
        <w:t>应为包括</w:t>
      </w:r>
      <w:r>
        <w:rPr>
          <w:rFonts w:hint="eastAsia" w:ascii="宋体" w:hAnsi="宋体" w:cs="Tahoma"/>
          <w:bCs/>
          <w:color w:val="000000" w:themeColor="text1"/>
          <w:szCs w:val="21"/>
          <w:highlight w:val="none"/>
          <w14:textFill>
            <w14:solidFill>
              <w14:schemeClr w14:val="tx1"/>
            </w14:solidFill>
          </w14:textFill>
        </w:rPr>
        <w:t>完成该项目发生的全部费用（包含高温补贴、岗位津贴、非正常工作时间工资等费用），合同期间内采购人不再另行支付任何费用。</w:t>
      </w:r>
    </w:p>
    <w:p>
      <w:pPr>
        <w:tabs>
          <w:tab w:val="left" w:pos="753"/>
        </w:tabs>
        <w:adjustRightInd w:val="0"/>
        <w:snapToGrid w:val="0"/>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报价的评审以最终报价为准；若大写和小写表示的金额之间有差异，则以大写金额为准，并对小写金额作相应的修正。</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14.4   </w:t>
      </w:r>
      <w:r>
        <w:rPr>
          <w:rFonts w:hint="eastAsia" w:ascii="宋体" w:hAnsi="宋体"/>
          <w:bCs/>
          <w:color w:val="000000" w:themeColor="text1"/>
          <w:szCs w:val="21"/>
          <w:highlight w:val="none"/>
          <w14:textFill>
            <w14:solidFill>
              <w14:schemeClr w14:val="tx1"/>
            </w14:solidFill>
          </w14:textFill>
        </w:rPr>
        <w:t>投报价格一律用人民币填报。</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14.5   供应商在谈判响应文件中如有任何遗漏，影响到谈判响应文件中规定的范围、质量、性能或限制了采购人的权利和供应商的义务，由此产生的费用由供应商负责。</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1" w:name="_Toc367780320"/>
      <w:bookmarkStart w:id="112" w:name="_Toc23172"/>
      <w:r>
        <w:rPr>
          <w:rFonts w:ascii="宋体" w:hAnsi="宋体"/>
          <w:color w:val="000000" w:themeColor="text1"/>
          <w:sz w:val="21"/>
          <w:szCs w:val="21"/>
          <w:highlight w:val="none"/>
          <w14:textFill>
            <w14:solidFill>
              <w14:schemeClr w14:val="tx1"/>
            </w14:solidFill>
          </w14:textFill>
        </w:rPr>
        <w:t>15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谈判保证金</w:t>
      </w:r>
      <w:bookmarkEnd w:id="111"/>
      <w:bookmarkEnd w:id="112"/>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谈判保证金为谈判响应文件的重要组成部分之一。</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投标供应商在投标时应按照谈判文件商务要求中规定的形式和金额提交投标保证金。</w:t>
      </w:r>
    </w:p>
    <w:p>
      <w:pPr>
        <w:widowControl/>
        <w:numPr>
          <w:ilvl w:val="1"/>
          <w:numId w:val="12"/>
        </w:numPr>
        <w:tabs>
          <w:tab w:val="left" w:pos="753"/>
          <w:tab w:val="clear" w:pos="630"/>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凡未按本须知第15.2条规定提交有效谈判保证金的供应商将被拒绝参加谈判。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未成交的供应商的谈判保证金，采购代理机构</w:t>
      </w:r>
      <w:r>
        <w:rPr>
          <w:rFonts w:hint="eastAsia" w:ascii="宋体" w:hAnsi="宋体"/>
          <w:bCs/>
          <w:color w:val="000000" w:themeColor="text1"/>
          <w:highlight w:val="none"/>
          <w14:textFill>
            <w14:solidFill>
              <w14:schemeClr w14:val="tx1"/>
            </w14:solidFill>
          </w14:textFill>
        </w:rPr>
        <w:t>应当自成交通知书发出之日起5个工作日内无息退还。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5</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成交供应商的谈判保证金</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在签订合同，缴纳采购代理服务费后</w:t>
      </w:r>
      <w:r>
        <w:rPr>
          <w:rFonts w:hint="eastAsia" w:ascii="宋体" w:hAnsi="宋体"/>
          <w:bCs/>
          <w:color w:val="000000" w:themeColor="text1"/>
          <w:highlight w:val="none"/>
          <w14:textFill>
            <w14:solidFill>
              <w14:schemeClr w14:val="tx1"/>
            </w14:solidFill>
          </w14:textFill>
        </w:rPr>
        <w:t>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15.</w:t>
      </w:r>
      <w:r>
        <w:rPr>
          <w:rFonts w:hint="eastAsia" w:ascii="宋体" w:hAnsi="宋体"/>
          <w:bCs/>
          <w:color w:val="000000" w:themeColor="text1"/>
          <w:szCs w:val="21"/>
          <w:highlight w:val="none"/>
          <w14:textFill>
            <w14:solidFill>
              <w14:schemeClr w14:val="tx1"/>
            </w14:solidFill>
          </w14:textFill>
        </w:rPr>
        <w:t>6</w:t>
      </w:r>
      <w:r>
        <w:rPr>
          <w:rFonts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谈判保证金用于保护本次谈判免遭因供应商的行为而蒙受的损失。发生以下情况之一，谈判保证金将被没收：</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供应商在谈判文件中规定的投标有效期内撤回其报价资料的；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成交供应商未能按谈判文件的有关规定交纳采购代理服务费的；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成交供应商未能按谈判文件的规定签订合同的；</w:t>
      </w:r>
    </w:p>
    <w:p>
      <w:pPr>
        <w:widowControl/>
        <w:numPr>
          <w:ilvl w:val="2"/>
          <w:numId w:val="13"/>
        </w:numPr>
        <w:tabs>
          <w:tab w:val="left" w:pos="753"/>
          <w:tab w:val="left" w:pos="1255"/>
          <w:tab w:val="clear" w:pos="2838"/>
        </w:tabs>
        <w:adjustRightInd w:val="0"/>
        <w:snapToGrid w:val="0"/>
        <w:spacing w:line="360" w:lineRule="auto"/>
        <w:ind w:left="2087" w:hanging="208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成交供应商以他人名义参加谈判或者以其他方式弄虚作假，骗取成交的。</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3" w:name="_Toc9085"/>
      <w:bookmarkStart w:id="114" w:name="_Toc367780321"/>
      <w:r>
        <w:rPr>
          <w:rFonts w:ascii="宋体" w:hAnsi="宋体"/>
          <w:color w:val="000000" w:themeColor="text1"/>
          <w:sz w:val="21"/>
          <w:szCs w:val="21"/>
          <w:highlight w:val="none"/>
          <w14:textFill>
            <w14:solidFill>
              <w14:schemeClr w14:val="tx1"/>
            </w14:solidFill>
          </w14:textFill>
        </w:rPr>
        <w:t>16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谈判有效期</w:t>
      </w:r>
      <w:bookmarkEnd w:id="113"/>
      <w:bookmarkEnd w:id="114"/>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谈判有效期应从谈判之日起计算，本项目的投标有效期为90天。</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16.2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特殊情况下，代理采购机构可于原谈判有效期截止之前要求供应商同意延长有效期，要求与答复均应为书面形式。供应商可以拒绝上述要求而其谈判保证金不被没收。有关退还和没收谈判保证金的规定在谈判有效期的延长期内继续有效。</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15" w:name="_Toc31847"/>
      <w:bookmarkStart w:id="116" w:name="_Toc367780322"/>
      <w:r>
        <w:rPr>
          <w:rFonts w:ascii="宋体" w:hAnsi="宋体"/>
          <w:color w:val="000000" w:themeColor="text1"/>
          <w:sz w:val="21"/>
          <w:szCs w:val="21"/>
          <w:highlight w:val="none"/>
          <w14:textFill>
            <w14:solidFill>
              <w14:schemeClr w14:val="tx1"/>
            </w14:solidFill>
          </w14:textFill>
        </w:rPr>
        <w:t>17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谈判响应文件的签署及规定</w:t>
      </w:r>
      <w:bookmarkEnd w:id="115"/>
      <w:bookmarkEnd w:id="116"/>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供应商应准备正本和副本，在每一份谈判响应文件上要明确标明“正本”或“副本”。如正本的内容和副本不符，以正本为准</w:t>
      </w:r>
      <w:r>
        <w:rPr>
          <w:rFonts w:hint="eastAsia" w:ascii="宋体"/>
          <w:bCs/>
          <w:color w:val="000000" w:themeColor="text1"/>
          <w:highlight w:val="none"/>
          <w14:textFill>
            <w14:solidFill>
              <w14:schemeClr w14:val="tx1"/>
            </w14:solidFill>
          </w14:textFill>
        </w:rPr>
        <w:t>（注：谈判文件副本可为正本的复印件）。</w:t>
      </w:r>
      <w:r>
        <w:rPr>
          <w:rFonts w:hint="eastAsia" w:ascii="宋体" w:hAnsi="宋体"/>
          <w:bCs/>
          <w:color w:val="000000" w:themeColor="text1"/>
          <w:highlight w:val="none"/>
          <w14:textFill>
            <w14:solidFill>
              <w14:schemeClr w14:val="tx1"/>
            </w14:solidFill>
          </w14:textFill>
        </w:rPr>
        <w:t>电子文件</w:t>
      </w:r>
      <w:r>
        <w:rPr>
          <w:rFonts w:hint="eastAsia" w:ascii="宋体" w:hAnsi="宋体"/>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14:textFill>
            <w14:solidFill>
              <w14:schemeClr w14:val="tx1"/>
            </w14:solidFill>
          </w14:textFill>
        </w:rPr>
        <w:t>（电子文件须单独密封，在封皮上注明“（公司名称）投标电子版”并加盖公章）。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响应文件正本和副本均须打印或用不褪色书写工具书写，并由供应商的法定代表人（负责人）或经法定代表人（负责人）正式授权并对供应商有约束力的代表签字。供应商须将以书面形式出具的“法定代表人（负责人）授权委托书”附在谈判响应文件中。谈判响应文件的副本亦可采用正本的复印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17.3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除供应商对差错处做必要修改外，谈判响应文件中不许有行间插字、涂改或增删，如有修改错漏处，必须由签署谈判响应文件的人签字或盖章</w:t>
      </w:r>
      <w:r>
        <w:rPr>
          <w:rFonts w:hint="eastAsia" w:ascii="宋体"/>
          <w:bCs/>
          <w:color w:val="000000" w:themeColor="text1"/>
          <w:highlight w:val="none"/>
          <w14:textFill>
            <w14:solidFill>
              <w14:schemeClr w14:val="tx1"/>
            </w14:solidFill>
          </w14:textFill>
        </w:rPr>
        <w:t>并在修改错漏处加盖公章</w:t>
      </w:r>
      <w:r>
        <w:rPr>
          <w:rFonts w:hint="eastAsia" w:ascii="宋体" w:hAnsi="宋体"/>
          <w:bCs/>
          <w:color w:val="000000" w:themeColor="text1"/>
          <w:szCs w:val="21"/>
          <w:highlight w:val="none"/>
          <w14:textFill>
            <w14:solidFill>
              <w14:schemeClr w14:val="tx1"/>
            </w14:solidFill>
          </w14:textFill>
        </w:rPr>
        <w:t>，以示负责。</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17" w:name="_Toc367780323"/>
      <w:bookmarkStart w:id="118" w:name="_Toc31895"/>
      <w:r>
        <w:rPr>
          <w:rFonts w:hint="eastAsia" w:ascii="宋体" w:hAnsi="宋体" w:eastAsia="宋体"/>
          <w:color w:val="000000" w:themeColor="text1"/>
          <w:sz w:val="21"/>
          <w:szCs w:val="21"/>
          <w:highlight w:val="none"/>
          <w14:textFill>
            <w14:solidFill>
              <w14:schemeClr w14:val="tx1"/>
            </w14:solidFill>
          </w14:textFill>
        </w:rPr>
        <w:t>Ｄ谈判响应文件的递交</w:t>
      </w:r>
      <w:bookmarkEnd w:id="117"/>
      <w:bookmarkEnd w:id="118"/>
    </w:p>
    <w:p>
      <w:pPr>
        <w:pStyle w:val="5"/>
        <w:spacing w:line="360" w:lineRule="auto"/>
        <w:rPr>
          <w:rFonts w:ascii="宋体" w:hAnsi="宋体"/>
          <w:color w:val="000000" w:themeColor="text1"/>
          <w:sz w:val="21"/>
          <w:szCs w:val="21"/>
          <w:highlight w:val="none"/>
          <w14:textFill>
            <w14:solidFill>
              <w14:schemeClr w14:val="tx1"/>
            </w14:solidFill>
          </w14:textFill>
        </w:rPr>
      </w:pPr>
      <w:bookmarkStart w:id="119" w:name="_Toc10228"/>
      <w:bookmarkStart w:id="120" w:name="_Toc367780324"/>
      <w:r>
        <w:rPr>
          <w:rFonts w:ascii="宋体" w:hAnsi="宋体"/>
          <w:color w:val="000000" w:themeColor="text1"/>
          <w:sz w:val="21"/>
          <w:szCs w:val="21"/>
          <w:highlight w:val="none"/>
          <w14:textFill>
            <w14:solidFill>
              <w14:schemeClr w14:val="tx1"/>
            </w14:solidFill>
          </w14:textFill>
        </w:rPr>
        <w:t>18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谈判响应文件的密封和标记</w:t>
      </w:r>
      <w:bookmarkEnd w:id="119"/>
      <w:bookmarkEnd w:id="120"/>
    </w:p>
    <w:p>
      <w:pPr>
        <w:widowControl/>
        <w:tabs>
          <w:tab w:val="left" w:pos="251"/>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1" w:name="_Toc31748"/>
      <w:bookmarkStart w:id="122" w:name="_Toc367780325"/>
      <w:r>
        <w:rPr>
          <w:rFonts w:hint="eastAsia" w:ascii="宋体" w:hAnsi="宋体"/>
          <w:color w:val="000000" w:themeColor="text1"/>
          <w:sz w:val="21"/>
          <w:szCs w:val="21"/>
          <w:highlight w:val="none"/>
          <w14:textFill>
            <w14:solidFill>
              <w14:schemeClr w14:val="tx1"/>
            </w14:solidFill>
          </w14:textFill>
        </w:rPr>
        <w:t>19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递交谈判响应文件的时间、地点及截止时间</w:t>
      </w:r>
      <w:bookmarkEnd w:id="121"/>
      <w:bookmarkEnd w:id="122"/>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递交谈判响应文件的地点与谈判地点为同一地点；谈判响应文件接收截止时间与谈判开始时间为同一时间。</w:t>
      </w:r>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19.2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代理采购机构于投标截止时间前30分钟开始接收谈判响应文件，并于谈判文件规定的谈判时间和谈判地点进行谈判。提前、逾期递交或递交不符合规定的谈判响应文件恕不接受。</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3" w:name="_Toc367780326"/>
      <w:bookmarkStart w:id="124" w:name="_Toc12175"/>
      <w:r>
        <w:rPr>
          <w:rFonts w:ascii="宋体" w:hAnsi="宋体"/>
          <w:color w:val="000000" w:themeColor="text1"/>
          <w:sz w:val="21"/>
          <w:szCs w:val="21"/>
          <w:highlight w:val="none"/>
          <w14:textFill>
            <w14:solidFill>
              <w14:schemeClr w14:val="tx1"/>
            </w14:solidFill>
          </w14:textFill>
        </w:rPr>
        <w:t>20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迟交的谈判响应文件</w:t>
      </w:r>
      <w:bookmarkEnd w:id="123"/>
      <w:bookmarkEnd w:id="124"/>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代理采购机构将拒绝在谈判截止时间后送达的谈判响应文件。</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25" w:name="_Toc367780327"/>
      <w:bookmarkStart w:id="126" w:name="_Toc12075"/>
      <w:r>
        <w:rPr>
          <w:rFonts w:ascii="宋体" w:hAnsi="宋体"/>
          <w:color w:val="000000" w:themeColor="text1"/>
          <w:sz w:val="21"/>
          <w:szCs w:val="21"/>
          <w:highlight w:val="none"/>
          <w14:textFill>
            <w14:solidFill>
              <w14:schemeClr w14:val="tx1"/>
            </w14:solidFill>
          </w14:textFill>
        </w:rPr>
        <w:t>21</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谈判响应文件的修改和撤回</w:t>
      </w:r>
      <w:bookmarkEnd w:id="125"/>
      <w:bookmarkEnd w:id="126"/>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在提交谈判响应文件后，可以修改或撤回其谈判响应文件。但代理采购机构必须在规定的递交谈判响应文件截止时间之前收到供应商发出的书面通知，该通知须有供应商法定代表人（负责人）或其授权代表签字。</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供应商对谈判响应文件修改的书面材料或撤销的通知应注明“修改谈判响应文件”或“撤销谈判”字样。</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21.3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从谈判截止时间至谈判有效期期满之前，供应商不得撤回其报价资料，否则代理采购机构将按规定没收其谈判保证金。</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27" w:name="_Toc9552"/>
      <w:bookmarkStart w:id="128" w:name="_Toc367780328"/>
      <w:r>
        <w:rPr>
          <w:rFonts w:hint="eastAsia" w:ascii="宋体" w:hAnsi="宋体" w:eastAsia="宋体"/>
          <w:color w:val="000000" w:themeColor="text1"/>
          <w:sz w:val="21"/>
          <w:szCs w:val="21"/>
          <w:highlight w:val="none"/>
          <w14:textFill>
            <w14:solidFill>
              <w14:schemeClr w14:val="tx1"/>
            </w14:solidFill>
          </w14:textFill>
        </w:rPr>
        <w:t>Ｅ竞争性谈判采购程序</w:t>
      </w:r>
      <w:bookmarkEnd w:id="127"/>
      <w:bookmarkEnd w:id="128"/>
    </w:p>
    <w:p>
      <w:pPr>
        <w:pStyle w:val="5"/>
        <w:spacing w:line="360" w:lineRule="auto"/>
        <w:rPr>
          <w:rFonts w:ascii="宋体" w:hAnsi="宋体"/>
          <w:color w:val="000000" w:themeColor="text1"/>
          <w:sz w:val="21"/>
          <w:szCs w:val="21"/>
          <w:highlight w:val="none"/>
          <w14:textFill>
            <w14:solidFill>
              <w14:schemeClr w14:val="tx1"/>
            </w14:solidFill>
          </w14:textFill>
        </w:rPr>
      </w:pPr>
      <w:bookmarkStart w:id="129" w:name="_Toc367780329"/>
      <w:bookmarkStart w:id="130" w:name="_Toc22757"/>
      <w:r>
        <w:rPr>
          <w:rFonts w:ascii="宋体" w:hAnsi="宋体"/>
          <w:color w:val="000000" w:themeColor="text1"/>
          <w:sz w:val="21"/>
          <w:szCs w:val="21"/>
          <w:highlight w:val="none"/>
          <w14:textFill>
            <w14:solidFill>
              <w14:schemeClr w14:val="tx1"/>
            </w14:solidFill>
          </w14:textFill>
        </w:rPr>
        <w:t>22</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接收谈判响应文件</w:t>
      </w:r>
      <w:bookmarkEnd w:id="129"/>
      <w:bookmarkEnd w:id="130"/>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22.1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代理采购机构在谈判文件中规定的时间和地点公开接收谈判响应文件。</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22.2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竞争性谈判的第一次投报价格不作公开唱标。</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1" w:name="_Toc23875"/>
      <w:bookmarkStart w:id="132" w:name="_Toc367780330"/>
      <w:r>
        <w:rPr>
          <w:rFonts w:ascii="宋体" w:hAnsi="宋体"/>
          <w:color w:val="000000" w:themeColor="text1"/>
          <w:sz w:val="21"/>
          <w:szCs w:val="21"/>
          <w:highlight w:val="none"/>
          <w14:textFill>
            <w14:solidFill>
              <w14:schemeClr w14:val="tx1"/>
            </w14:solidFill>
          </w14:textFill>
        </w:rPr>
        <w:t>23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谈判小组</w:t>
      </w:r>
      <w:bookmarkEnd w:id="131"/>
      <w:bookmarkEnd w:id="13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23.1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谈判由代理采购机构依法组建的谈判小组:</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谈判小组专家由政府采购管理部门在专家库中，按照采购活动的特点和需要随机抽取产生。</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谈判小组专家与供应商有利害关系的不能进入谈判小组，已经进入的将予以更换。谈判小组专家名单在确定成交供应商之前严格保密。</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23.4</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将客观公正地履行职责，遵守职业道德，对所提出的评审意见承担个人责任。谈判小组专家不得私下接触供应商，不得收受供应商的财物或者其他好处。谈判小组和参与评审的有关工作人员不得透露对谈判响应文件的评价和比较、确定供应商情况以及与评审有关的其他情况。</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3" w:name="_Toc367780331"/>
      <w:bookmarkStart w:id="134" w:name="_Toc3910"/>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对谈判响应文件的初审</w:t>
      </w:r>
      <w:bookmarkEnd w:id="133"/>
      <w:bookmarkEnd w:id="13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代理采购机构将组织谈判小组审查谈判响应文件是否完整，有无明显的计算错误，文件签署是否合格，证明文件是否齐全，谈判响应文件的编排是否有序，要求的保证金是否已递交。</w:t>
      </w:r>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24.2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在对谈判响应文件进行详细评审之前，谈判小组将依据谈判文件中规定的合格供应商应提交的“资格审查文件”文件是否通过符合性审查。如果确定供应商无资格履行合同，将拒绝其参加谈判。</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5" w:name="_Toc367780332"/>
      <w:bookmarkStart w:id="136" w:name="_Toc9884"/>
      <w:r>
        <w:rPr>
          <w:rFonts w:hint="eastAsia" w:ascii="宋体" w:hAnsi="宋体"/>
          <w:color w:val="000000" w:themeColor="text1"/>
          <w:sz w:val="21"/>
          <w:szCs w:val="21"/>
          <w:highlight w:val="none"/>
          <w14:textFill>
            <w14:solidFill>
              <w14:schemeClr w14:val="tx1"/>
            </w14:solidFill>
          </w14:textFill>
        </w:rPr>
        <w:t>25</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谈判报价的审核</w:t>
      </w:r>
      <w:bookmarkEnd w:id="135"/>
      <w:bookmarkEnd w:id="136"/>
    </w:p>
    <w:p>
      <w:pPr>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25.1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供应商的谈判报价应是真实、合理和全面的报价。供应商应该公平竞争，合理报价。谈判小组有权对供应商的任何报价进行单项分析与澄清。任何虚假不实的报价，一经确认，将会导致没收供应商的谈判保证金或导致谈判被拒绝。</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7" w:name="_Toc367780333"/>
      <w:bookmarkStart w:id="138" w:name="_Toc22635"/>
      <w:r>
        <w:rPr>
          <w:rFonts w:ascii="宋体" w:hAnsi="宋体"/>
          <w:color w:val="000000" w:themeColor="text1"/>
          <w:sz w:val="21"/>
          <w:szCs w:val="21"/>
          <w:highlight w:val="none"/>
          <w14:textFill>
            <w14:solidFill>
              <w14:schemeClr w14:val="tx1"/>
            </w14:solidFill>
          </w14:textFill>
        </w:rPr>
        <w:t>2</w:t>
      </w:r>
      <w:r>
        <w:rPr>
          <w:rFonts w:hint="eastAsia" w:ascii="宋体" w:hAnsi="宋体"/>
          <w:color w:val="000000" w:themeColor="text1"/>
          <w:sz w:val="21"/>
          <w:szCs w:val="21"/>
          <w:highlight w:val="none"/>
          <w14:textFill>
            <w14:solidFill>
              <w14:schemeClr w14:val="tx1"/>
            </w14:solidFill>
          </w14:textFill>
        </w:rPr>
        <w:t>6</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谈判</w:t>
      </w:r>
      <w:bookmarkEnd w:id="137"/>
      <w:bookmarkEnd w:id="138"/>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谈判小组所有成员集中按照递交谈判响应文件从前到后的顺序与单一供应商分别进行谈判。在谈判中，谈判的任何一方不得透露与谈判有关的其他供应商的技术资料、价格和其他信息。谈判文件有实质性变动的，谈判小组应当以书面形式通知所有参加谈判的供应商。</w:t>
      </w:r>
    </w:p>
    <w:p>
      <w:pPr>
        <w:widowControl/>
        <w:tabs>
          <w:tab w:val="left" w:pos="753"/>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26.2 </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谈判中的双方都应对谈判中的重要事项做详细记录。</w:t>
      </w:r>
    </w:p>
    <w:p>
      <w:pPr>
        <w:widowControl/>
        <w:tabs>
          <w:tab w:val="left" w:pos="753"/>
        </w:tabs>
        <w:adjustRightInd w:val="0"/>
        <w:snapToGrid w:val="0"/>
        <w:spacing w:line="360" w:lineRule="auto"/>
        <w:ind w:left="751" w:leftChars="1" w:hanging="749" w:hangingChars="357"/>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谈判过程中，谈判小组向参加谈判的供应商提出疑问或要求，供应商必须在规定的时间内做出澄清并提交书面的承诺</w:t>
      </w:r>
      <w:r>
        <w:rPr>
          <w:rFonts w:hint="eastAsia" w:ascii="宋体" w:hAnsi="宋体"/>
          <w:bCs/>
          <w:color w:val="000000" w:themeColor="text1"/>
          <w:szCs w:val="21"/>
          <w:highlight w:val="none"/>
          <w14:textFill>
            <w14:solidFill>
              <w14:schemeClr w14:val="tx1"/>
            </w14:solidFill>
          </w14:textFill>
        </w:rPr>
        <w:t>。</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26.4</w:t>
      </w:r>
      <w:r>
        <w:rPr>
          <w:rFonts w:hint="eastAsia" w:hAnsi="宋体"/>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代理采购机构将在谈判时对供应商所作的解释和澄清作书面记录，并归档备查。</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39" w:name="_Toc367780334"/>
      <w:bookmarkStart w:id="140" w:name="_Toc7095"/>
      <w:r>
        <w:rPr>
          <w:rFonts w:ascii="宋体" w:hAnsi="宋体"/>
          <w:color w:val="000000" w:themeColor="text1"/>
          <w:sz w:val="21"/>
          <w:szCs w:val="21"/>
          <w:highlight w:val="none"/>
          <w14:textFill>
            <w14:solidFill>
              <w14:schemeClr w14:val="tx1"/>
            </w14:solidFill>
          </w14:textFill>
        </w:rPr>
        <w:t>27</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评审原则</w:t>
      </w:r>
      <w:bookmarkEnd w:id="139"/>
      <w:bookmarkEnd w:id="140"/>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27.1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依据有关法律法规，维护采购当事人的合法权益。</w:t>
      </w:r>
    </w:p>
    <w:p>
      <w:pPr>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27.2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实行科学评估、集体决策。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1" w:name="_Toc367780335"/>
      <w:bookmarkStart w:id="142" w:name="_Toc18201"/>
      <w:r>
        <w:rPr>
          <w:rFonts w:ascii="宋体" w:hAnsi="宋体"/>
          <w:color w:val="000000" w:themeColor="text1"/>
          <w:sz w:val="21"/>
          <w:szCs w:val="21"/>
          <w:highlight w:val="none"/>
          <w14:textFill>
            <w14:solidFill>
              <w14:schemeClr w14:val="tx1"/>
            </w14:solidFill>
          </w14:textFill>
        </w:rPr>
        <w:t>28</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评审办法</w:t>
      </w:r>
      <w:bookmarkEnd w:id="141"/>
      <w:bookmarkEnd w:id="142"/>
    </w:p>
    <w:p>
      <w:pPr>
        <w:pStyle w:val="22"/>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28.1</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谈判结束后，谈判小组应当要求所有符合采购需求的供应商在规定时间内进行最后报价，根据符合采购需求、质量和服务相等且最终报价最低的原则确定成交供应商，并将结果通知所有参加谈判的未成交的供应商。</w:t>
      </w:r>
    </w:p>
    <w:p>
      <w:pPr>
        <w:pStyle w:val="22"/>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28.2</w:t>
      </w:r>
      <w:r>
        <w:rPr>
          <w:rFonts w:hint="eastAsia" w:hAns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如果出现两家以上（含两家）供应商的最终报价最低并且金额相同的情况时，报价最低的供应商将进行重新报价，直至只有一家供应商的报价最低。报价最低的供应商为预成交供应商。超出项目预算的报价将不予接受。</w:t>
      </w:r>
    </w:p>
    <w:p>
      <w:pPr>
        <w:pStyle w:val="22"/>
        <w:widowControl/>
        <w:tabs>
          <w:tab w:val="left" w:pos="753"/>
        </w:tabs>
        <w:adjustRightInd w:val="0"/>
        <w:snapToGrid w:val="0"/>
        <w:spacing w:line="360" w:lineRule="auto"/>
        <w:ind w:left="751" w:leftChars="1" w:hanging="749" w:hangingChars="357"/>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28.3   </w:t>
      </w:r>
      <w:r>
        <w:rPr>
          <w:rFonts w:hint="eastAsia" w:hAnsi="宋体"/>
          <w:color w:val="000000" w:themeColor="text1"/>
          <w:highlight w:val="none"/>
          <w14:textFill>
            <w14:solidFill>
              <w14:schemeClr w14:val="tx1"/>
            </w14:solidFill>
          </w14:textFill>
        </w:rPr>
        <w:t>如果谈判时出现没有供应商参加或者没有符合采购需求供应商的，或符合采购需求的供应商少于三家的情况，依照《中华人民共和国政府采购法》的有关规定，本项目将重新组织谈判或根据政府采购管理部门重新确定的采购方式进行采购。</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3" w:name="_Toc9939"/>
      <w:bookmarkStart w:id="144" w:name="_Toc367780336"/>
      <w:r>
        <w:rPr>
          <w:rFonts w:hint="eastAsia" w:ascii="宋体" w:hAnsi="宋体"/>
          <w:color w:val="000000" w:themeColor="text1"/>
          <w:sz w:val="21"/>
          <w:szCs w:val="21"/>
          <w:highlight w:val="none"/>
          <w14:textFill>
            <w14:solidFill>
              <w14:schemeClr w14:val="tx1"/>
            </w14:solidFill>
          </w14:textFill>
        </w:rPr>
        <w:t>29</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评审注意事项</w:t>
      </w:r>
      <w:bookmarkEnd w:id="143"/>
      <w:bookmarkEnd w:id="144"/>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评审是竞争性谈判采购工作的重要环节，评审工作在谈判小组内独立进行。谈判小组将遵照评审原则，公正、平等地对待所有供应商。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29.2</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在谈判期间，供应商不得向谈判小组成员询问评审情况，不得进行旨在影响评审结果的活动。</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29.3</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为保证确定成交供应商的公正性，在评审过程中，谈判小组成员不得与供应商私下交换意见。在谈判工作结束后，凡与谈判情况有接触的任何人，不得也不应将评审情况扩散出谈判小组人员之外。</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5" w:name="_Toc23792"/>
      <w:bookmarkStart w:id="146" w:name="_Toc367780337"/>
      <w:r>
        <w:rPr>
          <w:rFonts w:hint="eastAsia" w:ascii="宋体" w:hAnsi="宋体"/>
          <w:color w:val="000000" w:themeColor="text1"/>
          <w:sz w:val="21"/>
          <w:szCs w:val="21"/>
          <w:highlight w:val="none"/>
          <w14:textFill>
            <w14:solidFill>
              <w14:schemeClr w14:val="tx1"/>
            </w14:solidFill>
          </w14:textFill>
        </w:rPr>
        <w:t>30</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发布成交结果公告和发放成交通知书</w:t>
      </w:r>
      <w:bookmarkEnd w:id="145"/>
      <w:bookmarkEnd w:id="146"/>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30.1   采购人或其授权的谈判小组应按照评标报告中推荐的成交候选供应商排名顺序确定成交供应商。</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成交人确认后，成交结果将在指定媒体上公告：</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hAnsi="宋体"/>
          <w:color w:val="000000" w:themeColor="text1"/>
          <w:szCs w:val="21"/>
          <w:highlight w:val="none"/>
          <w14:textFill>
            <w14:solidFill>
              <w14:schemeClr w14:val="tx1"/>
            </w14:solidFill>
          </w14:textFill>
        </w:rPr>
        <w:t>。发布成交结果公告的同时，代理采购机构向成交人发出成交通知书。</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未成交供应商，</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不再以其它方式另行通知。</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成交通知书发出后，采购人改变成交结果，或者成交供应商放弃成交，应当承担相应的法律责任。</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47" w:name="_Toc2540"/>
      <w:bookmarkStart w:id="148" w:name="_Toc367780338"/>
      <w:r>
        <w:rPr>
          <w:rFonts w:hint="eastAsia" w:ascii="宋体" w:hAnsi="宋体"/>
          <w:color w:val="000000" w:themeColor="text1"/>
          <w:sz w:val="21"/>
          <w:szCs w:val="21"/>
          <w:highlight w:val="none"/>
          <w14:textFill>
            <w14:solidFill>
              <w14:schemeClr w14:val="tx1"/>
            </w14:solidFill>
          </w14:textFill>
        </w:rPr>
        <w:t>31     投标供应商对成交结果的质疑、投诉</w:t>
      </w:r>
      <w:bookmarkEnd w:id="147"/>
      <w:bookmarkEnd w:id="148"/>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投标供应商对成交公告有异议的，应当在成交结果公告发布之日起七个工作日内，以书面形式向采购人或代理采购机构提出质疑。</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采购人或代理采购机构应当在收到投标供应商书面质疑后七个工作日内，对质疑内容作出答复。</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投标供应商对采购人或代理采购机构的答复不满意或者采购人、代理采购机构未在规定时间内答复的，可以在答复期满后十五个工作日内按有关规定，向同级人民政府财政部门投诉。</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投标供应商须对质疑或投诉内容的真实性承担责任。</w:t>
      </w:r>
    </w:p>
    <w:p>
      <w:pPr>
        <w:spacing w:line="360" w:lineRule="auto"/>
        <w:ind w:left="752" w:hanging="751" w:hangingChars="358"/>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质疑函应当署名。质疑供应商为自然人的，应当由本人签字；质疑供应商为法人或其他组织的，应由法定代表人或者主要负责人签字并盖公章。</w:t>
      </w:r>
    </w:p>
    <w:p>
      <w:pPr>
        <w:pStyle w:val="4"/>
        <w:numPr>
          <w:ilvl w:val="1"/>
          <w:numId w:val="0"/>
        </w:numPr>
        <w:spacing w:before="240" w:after="240" w:line="360" w:lineRule="auto"/>
        <w:rPr>
          <w:rFonts w:ascii="宋体" w:hAnsi="宋体" w:eastAsia="宋体"/>
          <w:color w:val="000000" w:themeColor="text1"/>
          <w:sz w:val="21"/>
          <w:szCs w:val="21"/>
          <w:highlight w:val="none"/>
          <w14:textFill>
            <w14:solidFill>
              <w14:schemeClr w14:val="tx1"/>
            </w14:solidFill>
          </w14:textFill>
        </w:rPr>
      </w:pPr>
      <w:bookmarkStart w:id="149" w:name="_Toc367780339"/>
      <w:bookmarkStart w:id="150" w:name="_Toc26482"/>
      <w:r>
        <w:rPr>
          <w:rFonts w:hint="eastAsia" w:ascii="宋体" w:hAnsi="宋体" w:eastAsia="宋体"/>
          <w:color w:val="000000" w:themeColor="text1"/>
          <w:sz w:val="21"/>
          <w:szCs w:val="21"/>
          <w:highlight w:val="none"/>
          <w14:textFill>
            <w14:solidFill>
              <w14:schemeClr w14:val="tx1"/>
            </w14:solidFill>
          </w14:textFill>
        </w:rPr>
        <w:t>Ｆ  授予合同</w:t>
      </w:r>
      <w:bookmarkEnd w:id="149"/>
      <w:bookmarkEnd w:id="150"/>
    </w:p>
    <w:p>
      <w:pPr>
        <w:pStyle w:val="5"/>
        <w:spacing w:line="360" w:lineRule="auto"/>
        <w:rPr>
          <w:rFonts w:ascii="宋体" w:hAnsi="宋体"/>
          <w:color w:val="000000" w:themeColor="text1"/>
          <w:sz w:val="21"/>
          <w:szCs w:val="21"/>
          <w:highlight w:val="none"/>
          <w14:textFill>
            <w14:solidFill>
              <w14:schemeClr w14:val="tx1"/>
            </w14:solidFill>
          </w14:textFill>
        </w:rPr>
      </w:pPr>
      <w:bookmarkStart w:id="151" w:name="_Toc367780340"/>
      <w:bookmarkStart w:id="152" w:name="_Toc27169"/>
      <w:r>
        <w:rPr>
          <w:rFonts w:hint="eastAsia" w:ascii="宋体" w:hAnsi="宋体"/>
          <w:color w:val="000000" w:themeColor="text1"/>
          <w:sz w:val="21"/>
          <w:szCs w:val="21"/>
          <w:highlight w:val="none"/>
          <w14:textFill>
            <w14:solidFill>
              <w14:schemeClr w14:val="tx1"/>
            </w14:solidFill>
          </w14:textFill>
        </w:rPr>
        <w:t>32     接受和拒绝投标的权利</w:t>
      </w:r>
      <w:bookmarkEnd w:id="151"/>
      <w:bookmarkEnd w:id="152"/>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32</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谈判小组经评审认为所有供应商提供的货物或服务都不符合谈判文件要求的，或所有供应商的报价均超过了采购人的预算，且采购人不能支付的，有权否决所有报价资料。</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3" w:name="_Toc367780341"/>
      <w:bookmarkStart w:id="154" w:name="_Toc30274"/>
      <w:r>
        <w:rPr>
          <w:rFonts w:hint="eastAsia" w:ascii="宋体" w:hAnsi="宋体"/>
          <w:color w:val="000000" w:themeColor="text1"/>
          <w:sz w:val="21"/>
          <w:szCs w:val="21"/>
          <w:highlight w:val="none"/>
          <w14:textFill>
            <w14:solidFill>
              <w14:schemeClr w14:val="tx1"/>
            </w14:solidFill>
          </w14:textFill>
        </w:rPr>
        <w:t>33</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合同授予标准</w:t>
      </w:r>
      <w:bookmarkEnd w:id="153"/>
      <w:bookmarkEnd w:id="154"/>
    </w:p>
    <w:p>
      <w:pPr>
        <w:widowControl/>
        <w:tabs>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3</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第32条规定之外，采购人将把合同授予此次谈判的成交供应商。</w:t>
      </w:r>
    </w:p>
    <w:p>
      <w:pPr>
        <w:pStyle w:val="5"/>
        <w:spacing w:line="360" w:lineRule="auto"/>
        <w:rPr>
          <w:rFonts w:ascii="宋体" w:hAnsi="宋体"/>
          <w:color w:val="000000" w:themeColor="text1"/>
          <w:sz w:val="21"/>
          <w:szCs w:val="21"/>
          <w:highlight w:val="none"/>
          <w14:textFill>
            <w14:solidFill>
              <w14:schemeClr w14:val="tx1"/>
            </w14:solidFill>
          </w14:textFill>
        </w:rPr>
      </w:pPr>
      <w:bookmarkStart w:id="155" w:name="_Toc367780342"/>
      <w:bookmarkStart w:id="156" w:name="_Toc9092"/>
      <w:r>
        <w:rPr>
          <w:rFonts w:hint="eastAsia" w:ascii="宋体" w:hAnsi="宋体"/>
          <w:color w:val="000000" w:themeColor="text1"/>
          <w:sz w:val="21"/>
          <w:szCs w:val="21"/>
          <w:highlight w:val="none"/>
          <w14:textFill>
            <w14:solidFill>
              <w14:schemeClr w14:val="tx1"/>
            </w14:solidFill>
          </w14:textFill>
        </w:rPr>
        <w:t>34</w:t>
      </w:r>
      <w:r>
        <w:rPr>
          <w:rFonts w:hint="eastAsia" w:ascii="宋体" w:hAnsi="宋体"/>
          <w:color w:val="000000" w:themeColor="text1"/>
          <w:sz w:val="21"/>
          <w:szCs w:val="21"/>
          <w:highlight w:val="none"/>
          <w14:textFill>
            <w14:solidFill>
              <w14:schemeClr w14:val="tx1"/>
            </w14:solidFill>
          </w14:textFill>
        </w:rPr>
        <w:tab/>
      </w:r>
      <w:r>
        <w:rPr>
          <w:rFonts w:hint="eastAsia" w:ascii="宋体" w:hAnsi="宋体"/>
          <w:color w:val="000000" w:themeColor="text1"/>
          <w:sz w:val="21"/>
          <w:szCs w:val="21"/>
          <w:highlight w:val="none"/>
          <w14:textFill>
            <w14:solidFill>
              <w14:schemeClr w14:val="tx1"/>
            </w14:solidFill>
          </w14:textFill>
        </w:rPr>
        <w:t xml:space="preserve">   签订合同</w:t>
      </w:r>
      <w:bookmarkEnd w:id="155"/>
      <w:bookmarkEnd w:id="156"/>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按照谈判文件和成交供应商谈判响应文件的约定，与成交供应商签订书面合同。所签订的合同不得对谈判文件和成交供应商谈判响应文件作实质性修改。采购人不得向成交供应商提出任何不合理的要求，作为签订合同的条件，不得与成交供应商私下订立背离合同实质性内容的协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谈判文件、成交供应商的谈判文件及其澄清文件等，均为签订合同的依据。</w:t>
      </w: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4</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采购人应当自采购合同签订之日起七个工作日内，按照有关规定将采购合同副本报同级人民政府财政部门和</w:t>
      </w:r>
      <w:r>
        <w:rPr>
          <w:rFonts w:hint="eastAsia" w:ascii="宋体" w:hAnsi="宋体"/>
          <w:bCs/>
          <w:color w:val="000000" w:themeColor="text1"/>
          <w:szCs w:val="21"/>
          <w:highlight w:val="none"/>
          <w:lang w:eastAsia="zh-CN"/>
          <w14:textFill>
            <w14:solidFill>
              <w14:schemeClr w14:val="tx1"/>
            </w14:solidFill>
          </w14:textFill>
        </w:rPr>
        <w:t>广东业信招标有限公司</w:t>
      </w:r>
      <w:r>
        <w:rPr>
          <w:rFonts w:hint="eastAsia" w:ascii="宋体" w:hAnsi="宋体"/>
          <w:bCs/>
          <w:color w:val="000000" w:themeColor="text1"/>
          <w:szCs w:val="21"/>
          <w:highlight w:val="none"/>
          <w14:textFill>
            <w14:solidFill>
              <w14:schemeClr w14:val="tx1"/>
            </w14:solidFill>
          </w14:textFill>
        </w:rPr>
        <w:t>备案。</w:t>
      </w:r>
      <w:bookmarkStart w:id="157" w:name="_Toc200414511"/>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4"/>
        <w:numPr>
          <w:ilvl w:val="0"/>
          <w:numId w:val="0"/>
        </w:numPr>
        <w:jc w:val="center"/>
        <w:rPr>
          <w:color w:val="000000" w:themeColor="text1"/>
          <w:sz w:val="24"/>
          <w:highlight w:val="none"/>
          <w14:textFill>
            <w14:solidFill>
              <w14:schemeClr w14:val="tx1"/>
            </w14:solidFill>
          </w14:textFill>
        </w:rPr>
      </w:pPr>
      <w:bookmarkStart w:id="158" w:name="_Toc432682726"/>
      <w:bookmarkStart w:id="159" w:name="_Toc430771059"/>
      <w:bookmarkStart w:id="160" w:name="_Toc15419"/>
      <w:bookmarkStart w:id="161" w:name="_Toc499041071"/>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8"/>
      <w:bookmarkEnd w:id="159"/>
      <w:bookmarkEnd w:id="160"/>
      <w:bookmarkEnd w:id="16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2" w:name="_Toc430185803"/>
      <w:bookmarkStart w:id="163" w:name="_Toc430771060"/>
      <w:r>
        <w:rPr>
          <w:rFonts w:hint="eastAsia" w:ascii="宋体" w:hAnsi="宋体" w:eastAsia="宋体" w:cs="宋体"/>
          <w:color w:val="000000" w:themeColor="text1"/>
          <w:highlight w:val="none"/>
          <w14:textFill>
            <w14:solidFill>
              <w14:schemeClr w14:val="tx1"/>
            </w14:solidFill>
          </w14:textFill>
        </w:rPr>
        <w:t xml:space="preserve">35     </w:t>
      </w:r>
      <w:bookmarkStart w:id="164"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62"/>
      <w:bookmarkEnd w:id="163"/>
      <w:bookmarkEnd w:id="164"/>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5" w:name="_Toc430185804"/>
      <w:bookmarkStart w:id="166" w:name="_Toc430771061"/>
      <w:r>
        <w:rPr>
          <w:rFonts w:hint="eastAsia" w:ascii="宋体" w:hAnsi="宋体" w:eastAsia="宋体" w:cs="宋体"/>
          <w:color w:val="000000" w:themeColor="text1"/>
          <w:highlight w:val="none"/>
          <w14:textFill>
            <w14:solidFill>
              <w14:schemeClr w14:val="tx1"/>
            </w14:solidFill>
          </w14:textFill>
        </w:rPr>
        <w:t>36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65"/>
      <w:bookmarkEnd w:id="16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7" w:name="_Toc430185805"/>
      <w:bookmarkStart w:id="168" w:name="_Toc430771062"/>
      <w:r>
        <w:rPr>
          <w:rFonts w:hint="eastAsia" w:ascii="宋体" w:hAnsi="宋体" w:eastAsia="宋体" w:cs="宋体"/>
          <w:color w:val="000000" w:themeColor="text1"/>
          <w:highlight w:val="none"/>
          <w14:textFill>
            <w14:solidFill>
              <w14:schemeClr w14:val="tx1"/>
            </w14:solidFill>
          </w14:textFill>
        </w:rPr>
        <w:t>37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67"/>
      <w:bookmarkEnd w:id="1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69" w:name="_Toc430185806"/>
      <w:bookmarkStart w:id="170" w:name="_Toc430771063"/>
      <w:r>
        <w:rPr>
          <w:rFonts w:hint="eastAsia" w:ascii="宋体" w:hAnsi="宋体" w:eastAsia="宋体" w:cs="宋体"/>
          <w:color w:val="000000" w:themeColor="text1"/>
          <w:highlight w:val="none"/>
          <w14:textFill>
            <w14:solidFill>
              <w14:schemeClr w14:val="tx1"/>
            </w14:solidFill>
          </w14:textFill>
        </w:rPr>
        <w:t>38     根据《关于印发《政府采购促进中小企业发展管理方法》的通知》（财库[2020]46号）的规定，投标人投标时需注意：</w:t>
      </w:r>
      <w:bookmarkEnd w:id="169"/>
      <w:bookmarkEnd w:id="170"/>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38.3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38.4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38.</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2"/>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1" w:name="_Toc4177"/>
      <w:r>
        <w:rPr>
          <w:rFonts w:hint="eastAsia" w:ascii="宋体" w:hAnsi="宋体"/>
          <w:color w:val="000000" w:themeColor="text1"/>
          <w:sz w:val="21"/>
          <w:szCs w:val="21"/>
          <w:highlight w:val="none"/>
          <w14:textFill>
            <w14:solidFill>
              <w14:schemeClr w14:val="tx1"/>
            </w14:solidFill>
          </w14:textFill>
        </w:rPr>
        <w:t>第四部分  合同书格式（参考范本）</w:t>
      </w:r>
      <w:bookmarkEnd w:id="157"/>
      <w:bookmarkEnd w:id="171"/>
    </w:p>
    <w:p>
      <w:pPr>
        <w:spacing w:line="360" w:lineRule="auto"/>
        <w:rPr>
          <w:rFonts w:ascii="宋体" w:hAnsi="宋体"/>
          <w:bCs/>
          <w:color w:val="000000" w:themeColor="text1"/>
          <w:szCs w:val="21"/>
          <w:highlight w:val="none"/>
          <w14:textFill>
            <w14:solidFill>
              <w14:schemeClr w14:val="tx1"/>
            </w14:solidFill>
          </w14:textFill>
        </w:rPr>
      </w:pP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甲方（采购人）：</w:t>
      </w:r>
    </w:p>
    <w:p>
      <w:pPr>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乙方（成交供应商）：</w:t>
      </w:r>
    </w:p>
    <w:p>
      <w:pPr>
        <w:spacing w:line="480" w:lineRule="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p>
    <w:p>
      <w:pPr>
        <w:spacing w:line="48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）招标结果和有关招、报价文件的要求，经双方协商一致，订立以下合同：</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项目的名称、单价、总价，项目所包含服务的范围</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项目名称：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服务范围：</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80" w:lineRule="auto"/>
        <w:ind w:right="31" w:rightChars="15" w:firstLine="2261" w:firstLineChars="1077"/>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80" w:lineRule="auto"/>
        <w:ind w:right="31" w:rightChars="15"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服务的质量要求、售后服务、培训费用及损害赔偿。</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服务和验收</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1.服务期：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2.服务地点：</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left="1361" w:leftChars="428" w:right="31" w:rightChars="15"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3.验收时间：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80" w:lineRule="auto"/>
        <w:ind w:right="31" w:rightChars="15"/>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4.服务验收方式：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spacing w:line="480" w:lineRule="auto"/>
        <w:ind w:right="31" w:rightChars="15" w:firstLine="1050" w:firstLineChars="5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5.验收标准：</w:t>
      </w:r>
    </w:p>
    <w:p>
      <w:pPr>
        <w:numPr>
          <w:ilvl w:val="6"/>
          <w:numId w:val="14"/>
        </w:numPr>
        <w:tabs>
          <w:tab w:val="left" w:pos="1680"/>
        </w:tabs>
        <w:spacing w:line="480" w:lineRule="auto"/>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质量符合报价文件和报价文件的要求；</w:t>
      </w:r>
    </w:p>
    <w:p>
      <w:pPr>
        <w:numPr>
          <w:ilvl w:val="6"/>
          <w:numId w:val="14"/>
        </w:numPr>
        <w:tabs>
          <w:tab w:val="left" w:pos="1680"/>
          <w:tab w:val="clear" w:pos="4830"/>
        </w:tabs>
        <w:spacing w:line="480" w:lineRule="auto"/>
        <w:ind w:left="1680" w:right="31" w:rightChars="15"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80" w:lineRule="auto"/>
        <w:ind w:right="31" w:rightChars="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numPr>
          <w:ilvl w:val="0"/>
          <w:numId w:val="15"/>
        </w:numPr>
        <w:tabs>
          <w:tab w:val="left" w:pos="1155"/>
          <w:tab w:val="clear" w:pos="1203"/>
        </w:tabs>
        <w:adjustRightInd w:val="0"/>
        <w:snapToGrid w:val="0"/>
        <w:spacing w:line="480" w:lineRule="auto"/>
        <w:ind w:right="31" w:rightChars="15"/>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w:t>
      </w:r>
    </w:p>
    <w:p>
      <w:pPr>
        <w:tabs>
          <w:tab w:val="left" w:pos="945"/>
        </w:tabs>
        <w:adjustRightInd w:val="0"/>
        <w:snapToGrid w:val="0"/>
        <w:spacing w:line="480" w:lineRule="auto"/>
        <w:ind w:left="945" w:right="31" w:rightChars="1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甲方在验收中，如果发现乙方所提供的服务质量或相关服务不合规定的，在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日内向乙方提出书面异议；甲方怠于通知乙方的，视为乙方所提供的服务合乎规定。</w:t>
      </w:r>
    </w:p>
    <w:p>
      <w:pPr>
        <w:tabs>
          <w:tab w:val="left" w:pos="1255"/>
        </w:tabs>
        <w:spacing w:line="480" w:lineRule="auto"/>
        <w:ind w:left="1258" w:leftChars="429" w:right="31" w:rightChars="15"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日历日内负责处理，否则，即视为默认甲方提出的异议和处理意见。</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1. 乙方所提供的服务质量、拟投入人员不符合合同规定的，由乙方负责按照原报价文件、更正公告内容和质疑答疑文件（若有）、报价文件、中标（成交）通知书等实质性内容重新免费提供该项目服务内容。</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2. 每推迟一天按总价的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罚款。</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甲方逾期付款的，每日应向乙方偿付合同总额的</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作为违约金。</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1.不可抗力事故系指买卖双方在缔结合同时所不能预见的，并且它的发生及其后果是无法避免和无法克服的事故。受阻一方应在不可抗力事故发生后尽快用电报、传真或电话通知对方，并于事故发生后</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个工作日内将有关当局出具的证明文件用专人递交、特快专递或挂号信寄给对方审阅确认。</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2.签约双方任一方由于不可抗力事故的影响而不能执行合同时，经确认后，允许延期履行、部分履行或不履行合同，根据情况可部分或全部免予承担违约责任。</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因服务期间质量问题发生争议，由法律及有关规章规定的技术单位进行质量鉴定，双方无条件服从该鉴定的结论。</w:t>
      </w:r>
    </w:p>
    <w:p>
      <w:pPr>
        <w:tabs>
          <w:tab w:val="left" w:pos="1255"/>
        </w:tabs>
        <w:spacing w:line="48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2. </w:t>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    甲乙双方如因违反国家法律、法规和有关政府采购规定，导致合同无效，责任由过错方承担。</w:t>
      </w:r>
    </w:p>
    <w:p>
      <w:pPr>
        <w:tabs>
          <w:tab w:val="left" w:pos="1004"/>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第十二条  附则   </w:t>
      </w:r>
    </w:p>
    <w:p>
      <w:pPr>
        <w:tabs>
          <w:tab w:val="left" w:pos="1004"/>
        </w:tabs>
        <w:spacing w:line="480" w:lineRule="auto"/>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spacing w:line="480" w:lineRule="auto"/>
        <w:ind w:left="752" w:leftChars="358" w:firstLine="420"/>
        <w:rPr>
          <w:rFonts w:ascii="宋体" w:hAnsi="宋体"/>
          <w:bCs/>
          <w:color w:val="000000" w:themeColor="text1"/>
          <w:szCs w:val="21"/>
          <w:highlight w:val="none"/>
          <w14:textFill>
            <w14:solidFill>
              <w14:schemeClr w14:val="tx1"/>
            </w14:solidFill>
          </w14:textFill>
        </w:rPr>
      </w:pPr>
    </w:p>
    <w:p>
      <w:pPr>
        <w:tabs>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帐号：</w:t>
      </w:r>
    </w:p>
    <w:p>
      <w:pPr>
        <w:tabs>
          <w:tab w:val="left" w:pos="4267"/>
          <w:tab w:val="left" w:pos="4360"/>
        </w:tabs>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80" w:lineRule="auto"/>
        <w:ind w:firstLine="630" w:firstLineChars="3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本合同样本仅供参考，具体条款内容由采购人和成交单位协商确定，但不得改变谈判文件、谈判响应文件、成交通知书等实质性内容</w:t>
      </w:r>
      <w:r>
        <w:rPr>
          <w:rFonts w:hint="eastAsia" w:ascii="宋体" w:hAnsi="宋体"/>
          <w:bCs/>
          <w:color w:val="000000" w:themeColor="text1"/>
          <w:szCs w:val="21"/>
          <w:highlight w:val="none"/>
          <w14:textFill>
            <w14:solidFill>
              <w14:schemeClr w14:val="tx1"/>
            </w14:solidFill>
          </w14:textFill>
        </w:rPr>
        <w:t>。</w:t>
      </w: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spacing w:line="360" w:lineRule="auto"/>
        <w:rPr>
          <w:rFonts w:ascii="宋体" w:hAnsi="宋体"/>
          <w:bCs/>
          <w:color w:val="000000" w:themeColor="text1"/>
          <w:szCs w:val="21"/>
          <w:highlight w:val="none"/>
          <w14:textFill>
            <w14:solidFill>
              <w14:schemeClr w14:val="tx1"/>
            </w14:solidFill>
          </w14:textFill>
        </w:rPr>
      </w:pPr>
    </w:p>
    <w:p>
      <w:pPr>
        <w:pStyle w:val="3"/>
        <w:numPr>
          <w:ilvl w:val="0"/>
          <w:numId w:val="0"/>
        </w:numPr>
        <w:spacing w:after="120" w:line="360" w:lineRule="auto"/>
        <w:jc w:val="center"/>
        <w:rPr>
          <w:rFonts w:ascii="宋体" w:hAnsi="宋体"/>
          <w:color w:val="000000" w:themeColor="text1"/>
          <w:sz w:val="21"/>
          <w:szCs w:val="21"/>
          <w:highlight w:val="none"/>
          <w14:textFill>
            <w14:solidFill>
              <w14:schemeClr w14:val="tx1"/>
            </w14:solidFill>
          </w14:textFill>
        </w:rPr>
      </w:pPr>
      <w:bookmarkStart w:id="172" w:name="_Toc31308"/>
      <w:bookmarkStart w:id="173" w:name="_Toc200414512"/>
      <w:r>
        <w:rPr>
          <w:rFonts w:hint="eastAsia" w:ascii="宋体" w:hAnsi="宋体"/>
          <w:color w:val="000000" w:themeColor="text1"/>
          <w:sz w:val="21"/>
          <w:szCs w:val="21"/>
          <w:highlight w:val="none"/>
          <w14:textFill>
            <w14:solidFill>
              <w14:schemeClr w14:val="tx1"/>
            </w14:solidFill>
          </w14:textFill>
        </w:rPr>
        <w:t>第五部分  谈判文件格式</w:t>
      </w:r>
      <w:bookmarkEnd w:id="172"/>
      <w:bookmarkEnd w:id="173"/>
    </w:p>
    <w:p>
      <w:pPr>
        <w:pStyle w:val="4"/>
        <w:numPr>
          <w:ilvl w:val="1"/>
          <w:numId w:val="0"/>
        </w:numPr>
        <w:spacing w:line="360" w:lineRule="auto"/>
        <w:jc w:val="center"/>
        <w:rPr>
          <w:rFonts w:ascii="宋体" w:hAnsi="宋体" w:eastAsia="宋体"/>
          <w:color w:val="000000" w:themeColor="text1"/>
          <w:highlight w:val="none"/>
          <w14:textFill>
            <w14:solidFill>
              <w14:schemeClr w14:val="tx1"/>
            </w14:solidFill>
          </w14:textFill>
        </w:rPr>
      </w:pPr>
      <w:bookmarkStart w:id="174" w:name="_Toc1749"/>
      <w:bookmarkStart w:id="175" w:name="_Toc200414513"/>
      <w:r>
        <w:rPr>
          <w:rFonts w:hint="eastAsia" w:ascii="宋体" w:hAnsi="宋体" w:eastAsia="宋体"/>
          <w:color w:val="000000" w:themeColor="text1"/>
          <w:highlight w:val="none"/>
          <w14:textFill>
            <w14:solidFill>
              <w14:schemeClr w14:val="tx1"/>
            </w14:solidFill>
          </w14:textFill>
        </w:rPr>
        <w:t>封面格式</w:t>
      </w:r>
      <w:bookmarkEnd w:id="174"/>
      <w:bookmarkEnd w:id="175"/>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文件内容应当编有目录、页码，按页码排序并装订成册；一切未装订成册的文件在开标、评标过程中若出现缺页、漏页等现象可能影响投标人评审结果的，后果将由投标人本人负责。</w:t>
      </w:r>
    </w:p>
    <w:p>
      <w:pPr>
        <w:pStyle w:val="2"/>
        <w:spacing w:line="360" w:lineRule="auto"/>
        <w:ind w:left="315" w:leftChars="150"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谈判响应文件的封面格式由供应商自拟，并应注明“谈判响应文件、项目编号、项目名称、供应商</w:t>
      </w:r>
    </w:p>
    <w:p>
      <w:pPr>
        <w:pStyle w:val="2"/>
        <w:spacing w:line="360" w:lineRule="auto"/>
        <w:ind w:firstLine="0"/>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名称及地址、法定代表人（负责人）或授权代理人、联系电话、传真、邮编，并加盖供应商公章。如：</w:t>
      </w: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
          <w:bCs/>
          <w:color w:val="000000" w:themeColor="text1"/>
          <w:sz w:val="44"/>
          <w:szCs w:val="44"/>
          <w:highlight w:val="none"/>
          <w14:textFill>
            <w14:solidFill>
              <w14:schemeClr w14:val="tx1"/>
            </w14:solidFill>
          </w14:textFill>
        </w:rPr>
      </w:pPr>
      <w:r>
        <w:rPr>
          <w:rFonts w:hint="eastAsia" w:ascii="宋体" w:hAnsi="宋体"/>
          <w:b/>
          <w:bCs/>
          <w:color w:val="000000" w:themeColor="text1"/>
          <w:sz w:val="44"/>
          <w:szCs w:val="44"/>
          <w:highlight w:val="none"/>
          <w14:textFill>
            <w14:solidFill>
              <w14:schemeClr w14:val="tx1"/>
            </w14:solidFill>
          </w14:textFill>
        </w:rPr>
        <w:t>谈判响应文件</w:t>
      </w:r>
    </w:p>
    <w:p>
      <w:pPr>
        <w:pStyle w:val="2"/>
        <w:spacing w:line="360" w:lineRule="auto"/>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（□正本、□副本）</w:t>
      </w: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jc w:val="center"/>
        <w:rPr>
          <w:rFonts w:ascii="宋体" w:hAnsi="宋体"/>
          <w:bCs/>
          <w:color w:val="000000" w:themeColor="text1"/>
          <w:szCs w:val="24"/>
          <w:highlight w:val="none"/>
          <w14:textFill>
            <w14:solidFill>
              <w14:schemeClr w14:val="tx1"/>
            </w14:solidFill>
          </w14:textFill>
        </w:rPr>
      </w:pPr>
    </w:p>
    <w:p>
      <w:pPr>
        <w:pStyle w:val="2"/>
        <w:spacing w:line="360" w:lineRule="auto"/>
        <w:rPr>
          <w:rFonts w:hint="eastAsia" w:ascii="宋体" w:hAnsi="宋体" w:eastAsia="宋体"/>
          <w:bCs/>
          <w:color w:val="000000" w:themeColor="text1"/>
          <w:szCs w:val="24"/>
          <w:highlight w:val="none"/>
          <w:lang w:eastAsia="zh-CN"/>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项目编号：</w:t>
      </w:r>
      <w:r>
        <w:rPr>
          <w:rFonts w:hint="eastAsia" w:ascii="宋体" w:hAnsi="宋体"/>
          <w:b/>
          <w:bCs/>
          <w:color w:val="000000" w:themeColor="text1"/>
          <w:szCs w:val="24"/>
          <w:highlight w:val="none"/>
          <w:u w:val="single"/>
          <w:lang w:eastAsia="zh-CN"/>
          <w14:textFill>
            <w14:solidFill>
              <w14:schemeClr w14:val="tx1"/>
            </w14:solidFill>
          </w14:textFill>
        </w:rPr>
        <w:t>YXZB-20220311</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供应商名称（加盖公章）：</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供应商地址：</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法定代表人（负责人）或授权代理人（签字）</w:t>
      </w:r>
      <w:r>
        <w:rPr>
          <w:rFonts w:ascii="宋体" w:hAnsi="宋体"/>
          <w:bCs/>
          <w:color w:val="000000" w:themeColor="text1"/>
          <w:szCs w:val="24"/>
          <w:highlight w:val="none"/>
          <w14:textFill>
            <w14:solidFill>
              <w14:schemeClr w14:val="tx1"/>
            </w14:solidFill>
          </w14:textFill>
        </w:rPr>
        <w:t>：</w:t>
      </w:r>
    </w:p>
    <w:p>
      <w:pPr>
        <w:pStyle w:val="2"/>
        <w:spacing w:line="360" w:lineRule="auto"/>
        <w:rPr>
          <w:rFonts w:ascii="宋体" w:hAnsi="宋体"/>
          <w:bCs/>
          <w:color w:val="000000" w:themeColor="text1"/>
          <w:szCs w:val="24"/>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联系</w:t>
      </w:r>
      <w:r>
        <w:rPr>
          <w:rFonts w:ascii="宋体" w:hAnsi="宋体"/>
          <w:bCs/>
          <w:color w:val="000000" w:themeColor="text1"/>
          <w:szCs w:val="24"/>
          <w:highlight w:val="none"/>
          <w14:textFill>
            <w14:solidFill>
              <w14:schemeClr w14:val="tx1"/>
            </w14:solidFill>
          </w14:textFill>
        </w:rPr>
        <w:t>电话：</w:t>
      </w:r>
    </w:p>
    <w:p>
      <w:pPr>
        <w:pStyle w:val="2"/>
        <w:spacing w:line="360" w:lineRule="auto"/>
        <w:ind w:firstLineChars="200"/>
        <w:rPr>
          <w:rFonts w:ascii="宋体" w:hAnsi="宋体"/>
          <w:bCs/>
          <w:color w:val="000000" w:themeColor="text1"/>
          <w:szCs w:val="24"/>
          <w:highlight w:val="none"/>
          <w:u w:val="singl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传真：</w:t>
      </w:r>
    </w:p>
    <w:p>
      <w:pPr>
        <w:pStyle w:val="2"/>
        <w:spacing w:line="360" w:lineRule="auto"/>
        <w:rPr>
          <w:rFonts w:ascii="宋体" w:hAnsi="宋体"/>
          <w:bCs/>
          <w:color w:val="000000" w:themeColor="text1"/>
          <w:szCs w:val="24"/>
          <w:highlight w:val="none"/>
          <w:u w:val="single"/>
          <w14:textFill>
            <w14:solidFill>
              <w14:schemeClr w14:val="tx1"/>
            </w14:solidFill>
          </w14:textFill>
        </w:rPr>
      </w:pPr>
      <w:r>
        <w:rPr>
          <w:rFonts w:ascii="宋体" w:hAnsi="宋体"/>
          <w:bCs/>
          <w:color w:val="000000" w:themeColor="text1"/>
          <w:szCs w:val="24"/>
          <w:highlight w:val="none"/>
          <w14:textFill>
            <w14:solidFill>
              <w14:schemeClr w14:val="tx1"/>
            </w14:solidFill>
          </w14:textFill>
        </w:rPr>
        <w:t>邮编：</w:t>
      </w:r>
    </w:p>
    <w:p>
      <w:pPr>
        <w:pStyle w:val="2"/>
        <w:spacing w:line="360" w:lineRule="auto"/>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4"/>
          <w:highlight w:val="none"/>
          <w14:textFill>
            <w14:solidFill>
              <w14:schemeClr w14:val="tx1"/>
            </w14:solidFill>
          </w14:textFill>
        </w:rPr>
        <w:t>编制日期：年月日</w:t>
      </w: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highlight w:val="none"/>
          <w14:textFill>
            <w14:solidFill>
              <w14:schemeClr w14:val="tx1"/>
            </w14:solidFill>
          </w14:textFill>
        </w:rPr>
      </w:pPr>
    </w:p>
    <w:p>
      <w:pPr>
        <w:tabs>
          <w:tab w:val="left" w:pos="1004"/>
          <w:tab w:val="left" w:pos="4267"/>
        </w:tabs>
        <w:spacing w:line="360" w:lineRule="auto"/>
        <w:ind w:firstLine="420" w:firstLineChars="200"/>
        <w:rPr>
          <w:rFonts w:ascii="宋体" w:hAnsi="宋体"/>
          <w:bCs/>
          <w:color w:val="000000" w:themeColor="text1"/>
          <w:highlight w:val="none"/>
          <w14:textFill>
            <w14:solidFill>
              <w14:schemeClr w14:val="tx1"/>
            </w14:solidFill>
          </w14:textFill>
        </w:rPr>
        <w:sectPr>
          <w:pgSz w:w="11906" w:h="16838"/>
          <w:pgMar w:top="1247" w:right="1247" w:bottom="1247" w:left="1247"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1"/>
          <w:szCs w:val="21"/>
          <w:highlight w:val="none"/>
          <w14:textFill>
            <w14:solidFill>
              <w14:schemeClr w14:val="tx1"/>
            </w14:solidFill>
          </w14:textFill>
        </w:rPr>
      </w:pPr>
      <w:bookmarkStart w:id="176" w:name="_Toc200414514"/>
      <w:bookmarkStart w:id="177" w:name="_Toc19011"/>
      <w:r>
        <w:rPr>
          <w:rFonts w:hint="eastAsia" w:ascii="宋体" w:hAnsi="宋体" w:eastAsia="宋体"/>
          <w:color w:val="000000" w:themeColor="text1"/>
          <w:sz w:val="21"/>
          <w:szCs w:val="21"/>
          <w:highlight w:val="none"/>
          <w14:textFill>
            <w14:solidFill>
              <w14:schemeClr w14:val="tx1"/>
            </w14:solidFill>
          </w14:textFill>
        </w:rPr>
        <w:t>第一章  资格性/符合性自查表</w:t>
      </w:r>
      <w:bookmarkEnd w:id="176"/>
      <w:bookmarkEnd w:id="177"/>
    </w:p>
    <w:tbl>
      <w:tblPr>
        <w:tblStyle w:val="42"/>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2126"/>
        <w:gridCol w:w="241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2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1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谈判文件要求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5" w:hRule="atLeast"/>
        </w:trPr>
        <w:tc>
          <w:tcPr>
            <w:tcW w:w="1096" w:type="dxa"/>
            <w:vMerge w:val="restart"/>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资格性检查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见谈判响应文件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不接受联合体投标</w:t>
            </w:r>
          </w:p>
        </w:tc>
        <w:tc>
          <w:tcPr>
            <w:tcW w:w="241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w:t>
            </w:r>
            <w:r>
              <w:rPr>
                <w:rFonts w:hint="eastAsia" w:ascii="宋体" w:hAnsi="宋体"/>
                <w:bCs/>
                <w:color w:val="000000" w:themeColor="text1"/>
                <w:szCs w:val="21"/>
                <w:highlight w:val="none"/>
                <w14:textFill>
                  <w14:solidFill>
                    <w14:schemeClr w14:val="tx1"/>
                  </w14:solidFill>
                </w14:textFill>
              </w:rPr>
              <w:t>谈判</w:t>
            </w:r>
            <w:r>
              <w:rPr>
                <w:rFonts w:hint="eastAsia" w:ascii="宋体" w:hAnsi="宋体"/>
                <w:color w:val="000000" w:themeColor="text1"/>
                <w:szCs w:val="21"/>
                <w:highlight w:val="none"/>
                <w14:textFill>
                  <w14:solidFill>
                    <w14:schemeClr w14:val="tx1"/>
                  </w14:solidFill>
                </w14:textFill>
              </w:rPr>
              <w:t>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096"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126" w:type="dxa"/>
            <w:vAlign w:val="center"/>
          </w:tcPr>
          <w:p>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241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见谈判响应文件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必须严格按照其内容及序列要求在谈判响应文件中对应如实提供，对缺漏和不符合项或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文件为法定代表人（负责人）签署并由法定代表人（负责人）亲自递交</w:t>
      </w:r>
      <w:r>
        <w:rPr>
          <w:rFonts w:hint="eastAsia" w:ascii="宋体" w:hAnsi="宋体"/>
          <w:color w:val="000000" w:themeColor="text1"/>
          <w:szCs w:val="21"/>
          <w:highlight w:val="none"/>
          <w14:textFill>
            <w14:solidFill>
              <w14:schemeClr w14:val="tx1"/>
            </w14:solidFill>
          </w14:textFill>
        </w:rPr>
        <w:t>谈判响应</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谈判</w:t>
      </w:r>
      <w:r>
        <w:rPr>
          <w:rFonts w:hint="eastAsia" w:ascii="宋体" w:hAnsi="宋体"/>
          <w:bCs/>
          <w:color w:val="000000" w:themeColor="text1"/>
          <w:szCs w:val="21"/>
          <w:highlight w:val="none"/>
          <w14:textFill>
            <w14:solidFill>
              <w14:schemeClr w14:val="tx1"/>
            </w14:solidFill>
          </w14:textFill>
        </w:rPr>
        <w:t>的，可不提供“法定代表人（负责人）授权书”及“代理人身份证”。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spacing w:line="360" w:lineRule="auto"/>
        <w:rPr>
          <w:rFonts w:ascii="宋体" w:hAnsi="宋体"/>
          <w:color w:val="000000" w:themeColor="text1"/>
          <w:sz w:val="18"/>
          <w:szCs w:val="18"/>
          <w:highlight w:val="none"/>
          <w14:textFill>
            <w14:solidFill>
              <w14:schemeClr w14:val="tx1"/>
            </w14:solidFill>
          </w14:textFill>
        </w:rPr>
        <w:sectPr>
          <w:headerReference r:id="rId7" w:type="default"/>
          <w:pgSz w:w="11906" w:h="16838"/>
          <w:pgMar w:top="1134" w:right="1418" w:bottom="1134" w:left="1134" w:header="851" w:footer="992" w:gutter="0"/>
          <w:cols w:space="720" w:num="1"/>
          <w:docGrid w:linePitch="31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78" w:name="_Toc11145"/>
      <w:bookmarkStart w:id="179" w:name="_Toc200414515"/>
      <w:r>
        <w:rPr>
          <w:rFonts w:hint="eastAsia" w:ascii="宋体" w:hAnsi="宋体" w:eastAsia="宋体"/>
          <w:color w:val="000000" w:themeColor="text1"/>
          <w:sz w:val="28"/>
          <w:szCs w:val="28"/>
          <w:highlight w:val="none"/>
          <w14:textFill>
            <w14:solidFill>
              <w14:schemeClr w14:val="tx1"/>
            </w14:solidFill>
          </w14:textFill>
        </w:rPr>
        <w:t>（一）无重大违法记录声明函</w:t>
      </w:r>
      <w:bookmarkEnd w:id="178"/>
      <w:bookmarkEnd w:id="179"/>
    </w:p>
    <w:p>
      <w:pPr>
        <w:pStyle w:val="2"/>
        <w:spacing w:line="360" w:lineRule="auto"/>
        <w:ind w:left="420" w:firstLine="0"/>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）（项目编号：</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，我方郑重承诺：</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特此声明。</w:t>
      </w: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ind w:firstLine="660"/>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供应商法定代表人（负责人）或授权代理人（签字）：</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供应商名称（加盖公章）：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2"/>
        <w:spacing w:line="360" w:lineRule="auto"/>
        <w:ind w:left="420"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kern w:val="0"/>
          <w:sz w:val="28"/>
          <w:szCs w:val="28"/>
          <w:highlight w:val="none"/>
          <w14:textFill>
            <w14:solidFill>
              <w14:schemeClr w14:val="tx1"/>
            </w14:solidFill>
          </w14:textFill>
        </w:rPr>
      </w:pPr>
      <w:bookmarkStart w:id="180" w:name="_Toc200414516"/>
      <w:bookmarkStart w:id="181" w:name="_Toc4338"/>
      <w:r>
        <w:rPr>
          <w:rFonts w:hint="eastAsia" w:ascii="宋体" w:hAnsi="宋体" w:eastAsia="宋体"/>
          <w:color w:val="000000" w:themeColor="text1"/>
          <w:kern w:val="0"/>
          <w:sz w:val="28"/>
          <w:szCs w:val="28"/>
          <w:highlight w:val="none"/>
          <w14:textFill>
            <w14:solidFill>
              <w14:schemeClr w14:val="tx1"/>
            </w14:solidFill>
          </w14:textFill>
        </w:rPr>
        <w:t>（二）法定代表人（负责人）证明书</w:t>
      </w:r>
      <w:bookmarkEnd w:id="180"/>
      <w:bookmarkEnd w:id="181"/>
    </w:p>
    <w:p>
      <w:pPr>
        <w:pStyle w:val="2"/>
        <w:spacing w:line="360" w:lineRule="auto"/>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 xml:space="preserve">的   </w:t>
      </w:r>
      <w:r>
        <w:rPr>
          <w:rFonts w:hint="eastAsia" w:ascii="宋体" w:hAnsi="宋体"/>
          <w:color w:val="000000" w:themeColor="text1"/>
          <w:highlight w:val="none"/>
          <w:u w:val="single"/>
          <w14:textFill>
            <w14:solidFill>
              <w14:schemeClr w14:val="tx1"/>
            </w14:solidFill>
          </w14:textFill>
        </w:rPr>
        <w:t xml:space="preserve">职务    </w:t>
      </w:r>
      <w:r>
        <w:rPr>
          <w:rFonts w:hint="eastAsia" w:ascii="宋体" w:hAnsi="宋体"/>
          <w:color w:val="000000" w:themeColor="text1"/>
          <w:highlight w:val="none"/>
          <w14:textFill>
            <w14:solidFill>
              <w14:schemeClr w14:val="tx1"/>
            </w14:solidFill>
          </w14:textFill>
        </w:rPr>
        <w:t>，为法定代表人（负责人），特此证明。</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pict>
          <v:shape id="自选图形 193" o:spid="_x0000_s1026" o:spt="176" type="#_x0000_t176" style="position:absolute;left:0pt;margin-left:62.75pt;margin-top:6.95pt;height:140.3pt;width:275.8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ind w:firstLine="0"/>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2" w:name="_Toc200414517"/>
      <w:bookmarkStart w:id="183" w:name="_Toc24892"/>
      <w:r>
        <w:rPr>
          <w:rFonts w:hint="eastAsia" w:ascii="宋体" w:hAnsi="宋体" w:eastAsia="宋体"/>
          <w:color w:val="000000" w:themeColor="text1"/>
          <w:sz w:val="28"/>
          <w:szCs w:val="28"/>
          <w:highlight w:val="none"/>
          <w14:textFill>
            <w14:solidFill>
              <w14:schemeClr w14:val="tx1"/>
            </w14:solidFill>
          </w14:textFill>
        </w:rPr>
        <w:t>（三）法定代表人（负责人）授权书</w:t>
      </w:r>
      <w:bookmarkEnd w:id="182"/>
      <w:bookmarkEnd w:id="183"/>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本授权委托书声明：我</w:t>
      </w:r>
      <w:r>
        <w:rPr>
          <w:rFonts w:hint="eastAsia" w:ascii="宋体" w:hAnsi="宋体"/>
          <w:bCs/>
          <w:color w:val="000000" w:themeColor="text1"/>
          <w:kern w:val="0"/>
          <w:szCs w:val="21"/>
          <w:highlight w:val="none"/>
          <w:u w:val="single"/>
          <w14:textFill>
            <w14:solidFill>
              <w14:schemeClr w14:val="tx1"/>
            </w14:solidFill>
          </w14:textFill>
        </w:rPr>
        <w:t xml:space="preserve">        （单位</w:t>
      </w:r>
      <w:r>
        <w:rPr>
          <w:rFonts w:hint="eastAsia" w:ascii="宋体" w:hAnsi="宋体" w:cs="宋体"/>
          <w:bCs/>
          <w:color w:val="000000" w:themeColor="text1"/>
          <w:kern w:val="0"/>
          <w:szCs w:val="21"/>
          <w:highlight w:val="none"/>
          <w:u w:val="singl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姓名）</w:t>
      </w:r>
      <w:r>
        <w:rPr>
          <w:rFonts w:hint="eastAsia" w:ascii="宋体" w:hAnsi="宋体"/>
          <w:bCs/>
          <w:color w:val="000000" w:themeColor="text1"/>
          <w:kern w:val="0"/>
          <w:szCs w:val="21"/>
          <w:highlight w:val="none"/>
          <w14:textFill>
            <w14:solidFill>
              <w14:schemeClr w14:val="tx1"/>
            </w14:solidFill>
          </w14:textFill>
        </w:rPr>
        <w:t xml:space="preserve"> 系</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的法定代表人（负责人），现授权委托</w:t>
      </w:r>
      <w:r>
        <w:rPr>
          <w:rFonts w:hint="eastAsia" w:ascii="宋体" w:hAnsi="宋体"/>
          <w:bCs/>
          <w:color w:val="000000" w:themeColor="text1"/>
          <w:kern w:val="0"/>
          <w:szCs w:val="21"/>
          <w:highlight w:val="none"/>
          <w:u w:val="single"/>
          <w14:textFill>
            <w14:solidFill>
              <w14:schemeClr w14:val="tx1"/>
            </w14:solidFill>
          </w14:textFill>
        </w:rPr>
        <w:t xml:space="preserve">                        （供应商名称）</w:t>
      </w:r>
      <w:r>
        <w:rPr>
          <w:rFonts w:hint="eastAsia" w:ascii="宋体" w:hAnsi="宋体"/>
          <w:bCs/>
          <w:color w:val="000000" w:themeColor="text1"/>
          <w:kern w:val="0"/>
          <w:szCs w:val="21"/>
          <w:highlight w:val="none"/>
          <w14:textFill>
            <w14:solidFill>
              <w14:schemeClr w14:val="tx1"/>
            </w14:solidFill>
          </w14:textFill>
        </w:rPr>
        <w:t>的</w:t>
      </w:r>
      <w:r>
        <w:rPr>
          <w:rFonts w:hint="eastAsia" w:ascii="宋体" w:hAnsi="宋体"/>
          <w:bCs/>
          <w:color w:val="000000" w:themeColor="text1"/>
          <w:kern w:val="0"/>
          <w:szCs w:val="21"/>
          <w:highlight w:val="none"/>
          <w:u w:val="single"/>
          <w14:textFill>
            <w14:solidFill>
              <w14:schemeClr w14:val="tx1"/>
            </w14:solidFill>
          </w14:textFill>
        </w:rPr>
        <w:t xml:space="preserve">            （代理人姓名）</w:t>
      </w:r>
      <w:r>
        <w:rPr>
          <w:rFonts w:hint="eastAsia" w:ascii="宋体" w:hAnsi="宋体"/>
          <w:bCs/>
          <w:color w:val="000000" w:themeColor="text1"/>
          <w:kern w:val="0"/>
          <w:szCs w:val="21"/>
          <w:highlight w:val="none"/>
          <w14:textFill>
            <w14:solidFill>
              <w14:schemeClr w14:val="tx1"/>
            </w14:solidFill>
          </w14:textFill>
        </w:rPr>
        <w:t>为我公司代理人，以本公司的名义参加</w:t>
      </w:r>
      <w:r>
        <w:rPr>
          <w:rFonts w:hint="eastAsia" w:ascii="宋体" w:hAnsi="宋体"/>
          <w:bCs/>
          <w:color w:val="000000" w:themeColor="text1"/>
          <w:kern w:val="0"/>
          <w:szCs w:val="21"/>
          <w:highlight w:val="none"/>
          <w:lang w:eastAsia="zh-CN"/>
          <w14:textFill>
            <w14:solidFill>
              <w14:schemeClr w14:val="tx1"/>
            </w14:solidFill>
          </w14:textFill>
        </w:rPr>
        <w:t>广东业信招标有限公司</w:t>
      </w:r>
      <w:r>
        <w:rPr>
          <w:rFonts w:hint="eastAsia" w:ascii="宋体" w:hAnsi="宋体"/>
          <w:bCs/>
          <w:color w:val="000000" w:themeColor="text1"/>
          <w:kern w:val="0"/>
          <w:szCs w:val="21"/>
          <w:highlight w:val="none"/>
          <w14:textFill>
            <w14:solidFill>
              <w14:schemeClr w14:val="tx1"/>
            </w14:solidFill>
          </w14:textFill>
        </w:rPr>
        <w:t>组织的</w:t>
      </w:r>
      <w:r>
        <w:rPr>
          <w:rFonts w:hint="eastAsia" w:ascii="宋体" w:hAnsi="宋体" w:cs="宋体"/>
          <w:b/>
          <w:color w:val="000000" w:themeColor="text1"/>
          <w:szCs w:val="21"/>
          <w:highlight w:val="none"/>
          <w:u w:val="single"/>
          <w14:textFill>
            <w14:solidFill>
              <w14:schemeClr w14:val="tx1"/>
            </w14:solidFill>
          </w14:textFill>
        </w:rPr>
        <w:t>项目名称，由供应商填写</w:t>
      </w:r>
      <w:r>
        <w:rPr>
          <w:rFonts w:hint="eastAsia" w:ascii="宋体" w:hAnsi="宋体"/>
          <w:bCs/>
          <w:color w:val="000000" w:themeColor="text1"/>
          <w:szCs w:val="21"/>
          <w:highlight w:val="none"/>
          <w14:textFill>
            <w14:solidFill>
              <w14:schemeClr w14:val="tx1"/>
            </w14:solidFill>
          </w14:textFill>
        </w:rPr>
        <w:t>谈判项目（项目编号:）</w:t>
      </w:r>
      <w:r>
        <w:rPr>
          <w:rFonts w:hint="eastAsia" w:ascii="宋体" w:hAnsi="宋体"/>
          <w:bCs/>
          <w:color w:val="000000" w:themeColor="text1"/>
          <w:kern w:val="0"/>
          <w:szCs w:val="21"/>
          <w:highlight w:val="none"/>
          <w14:textFill>
            <w14:solidFill>
              <w14:schemeClr w14:val="tx1"/>
            </w14:solidFill>
          </w14:textFill>
        </w:rPr>
        <w:t>的活动。代理人在开标、评标、合同谈判过程中所签署的一切文件和处理与之有关的一切事务，我均予以承认。本授权委托书自签署之日起生效，特此声明。</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代理人无转移委托权。</w:t>
      </w:r>
    </w:p>
    <w:p>
      <w:pPr>
        <w:spacing w:line="360" w:lineRule="auto"/>
        <w:ind w:firstLine="420" w:firstLineChars="200"/>
        <w:rPr>
          <w:rFonts w:ascii="宋体" w:hAnsi="宋体"/>
          <w:bCs/>
          <w:color w:val="000000" w:themeColor="text1"/>
          <w:kern w:val="0"/>
          <w:szCs w:val="21"/>
          <w:highlight w:val="non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特此委托。</w:t>
      </w:r>
    </w:p>
    <w:p>
      <w:pPr>
        <w:autoSpaceDE w:val="0"/>
        <w:autoSpaceDN w:val="0"/>
        <w:adjustRightInd w:val="0"/>
        <w:snapToGrid w:val="0"/>
        <w:spacing w:line="360" w:lineRule="auto"/>
        <w:ind w:firstLine="600"/>
        <w:jc w:val="left"/>
        <w:rPr>
          <w:rFonts w:ascii="宋体" w:hAnsi="宋体"/>
          <w:bCs/>
          <w:color w:val="000000" w:themeColor="text1"/>
          <w:kern w:val="0"/>
          <w:szCs w:val="21"/>
          <w:highlight w:val="none"/>
          <w14:textFill>
            <w14:solidFill>
              <w14:schemeClr w14:val="tx1"/>
            </w14:solidFill>
          </w14:textFill>
        </w:rPr>
      </w:pP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代理人：    性别：   年龄：   职务：</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供应商：</w:t>
      </w:r>
      <w:r>
        <w:rPr>
          <w:rFonts w:hint="eastAsia" w:ascii="宋体" w:hAnsi="宋体"/>
          <w:bCs/>
          <w:color w:val="000000" w:themeColor="text1"/>
          <w:kern w:val="0"/>
          <w:szCs w:val="21"/>
          <w:highlight w:val="none"/>
          <w:u w:val="single"/>
          <w14:textFill>
            <w14:solidFill>
              <w14:schemeClr w14:val="tx1"/>
            </w14:solidFill>
          </w14:textFill>
        </w:rPr>
        <w:t xml:space="preserve">          （名称并加盖公章）                                         </w:t>
      </w:r>
    </w:p>
    <w:p>
      <w:pPr>
        <w:spacing w:line="360" w:lineRule="auto"/>
        <w:ind w:firstLine="420" w:firstLineChars="200"/>
        <w:rPr>
          <w:rFonts w:ascii="宋体" w:hAnsi="宋体"/>
          <w:bCs/>
          <w:color w:val="000000" w:themeColor="text1"/>
          <w:kern w:val="0"/>
          <w:szCs w:val="21"/>
          <w:highlight w:val="none"/>
          <w:u w:val="single"/>
          <w14:textFill>
            <w14:solidFill>
              <w14:schemeClr w14:val="tx1"/>
            </w14:solidFill>
          </w14:textFill>
        </w:rPr>
      </w:pPr>
      <w:r>
        <w:rPr>
          <w:rFonts w:hint="eastAsia" w:ascii="宋体" w:hAnsi="宋体"/>
          <w:bCs/>
          <w:color w:val="000000" w:themeColor="text1"/>
          <w:kern w:val="0"/>
          <w:szCs w:val="21"/>
          <w:highlight w:val="none"/>
          <w14:textFill>
            <w14:solidFill>
              <w14:schemeClr w14:val="tx1"/>
            </w14:solidFill>
          </w14:textFill>
        </w:rPr>
        <w:t>法定代表人（负责人）：</w:t>
      </w:r>
      <w:r>
        <w:rPr>
          <w:rFonts w:hint="eastAsia" w:ascii="宋体" w:hAnsi="宋体"/>
          <w:bCs/>
          <w:color w:val="000000" w:themeColor="text1"/>
          <w:kern w:val="0"/>
          <w:szCs w:val="21"/>
          <w:highlight w:val="none"/>
          <w:u w:val="single"/>
          <w14:textFill>
            <w14:solidFill>
              <w14:schemeClr w14:val="tx1"/>
            </w14:solidFill>
          </w14:textFill>
        </w:rPr>
        <w:t xml:space="preserve">    （签字或盖章）         </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（注：供应商的谈判响应文件为</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签署并且由</w:t>
      </w:r>
      <w:r>
        <w:rPr>
          <w:rFonts w:hint="eastAsia" w:ascii="宋体" w:hAnsi="宋体" w:cs="宋体"/>
          <w:b/>
          <w:color w:val="000000" w:themeColor="text1"/>
          <w:szCs w:val="21"/>
          <w:highlight w:val="none"/>
          <w14:textFill>
            <w14:solidFill>
              <w14:schemeClr w14:val="tx1"/>
            </w14:solidFill>
          </w14:textFill>
        </w:rPr>
        <w:t>法定代表人（负责人）</w:t>
      </w:r>
      <w:r>
        <w:rPr>
          <w:rFonts w:hint="eastAsia" w:ascii="宋体" w:hAnsi="宋体"/>
          <w:b/>
          <w:color w:val="000000" w:themeColor="text1"/>
          <w:szCs w:val="21"/>
          <w:highlight w:val="none"/>
          <w14:textFill>
            <w14:solidFill>
              <w14:schemeClr w14:val="tx1"/>
            </w14:solidFill>
          </w14:textFill>
        </w:rPr>
        <w:t>亲自递交谈判响应文件和参加谈判的，不须提供该委托书，但需提供法定代表人（负责人）证明书及法定代表人（负责人）的身份证复印件。）</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pict>
          <v:shape id="自选图形 192" o:spid="_x0000_s1027" o:spt="176" type="#_x0000_t176" style="position:absolute;left:0pt;margin-left:99.75pt;margin-top:10.95pt;height:140.3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">
            <v:path/>
            <v:fill focussize="0,0"/>
            <v:stroke joinstyle="miter"/>
            <v:imagedata o:title=""/>
            <o:lock v:ext="edit"/>
            <v:textbox>
              <w:txbxContent>
                <w:p>
                  <w:pPr>
                    <w:rPr>
                      <w:rFonts w:ascii="宋体" w:hAnsi="宋体"/>
                      <w:szCs w:val="21"/>
                    </w:rPr>
                  </w:pPr>
                </w:p>
                <w:p>
                  <w:pPr>
                    <w:rPr>
                      <w:rFonts w:ascii="宋体" w:hAnsi="宋体"/>
                      <w:szCs w:val="21"/>
                    </w:rPr>
                  </w:pPr>
                </w:p>
                <w:p>
                  <w:pPr>
                    <w:rPr>
                      <w:rFonts w:ascii="宋体" w:hAnsi="宋体"/>
                      <w:szCs w:val="21"/>
                    </w:rPr>
                  </w:pPr>
                </w:p>
                <w:p>
                  <w:pPr>
                    <w:jc w:val="center"/>
                    <w:rPr>
                      <w:rFonts w:ascii="宋体" w:hAnsi="宋体"/>
                      <w:szCs w:val="21"/>
                    </w:rPr>
                  </w:pPr>
                  <w:r>
                    <w:rPr>
                      <w:rFonts w:hint="eastAsia" w:ascii="宋体" w:hAnsi="宋体"/>
                      <w:szCs w:val="21"/>
                    </w:rPr>
                    <w:t>身份证正反面复印件</w:t>
                  </w:r>
                </w:p>
              </w:txbxContent>
            </v:textbox>
          </v:shape>
        </w:pic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84" w:name="_Toc200414522"/>
      <w:bookmarkStart w:id="185" w:name="_Toc23106"/>
      <w:r>
        <w:rPr>
          <w:rFonts w:hint="eastAsia" w:ascii="宋体" w:hAnsi="宋体" w:eastAsia="宋体"/>
          <w:color w:val="000000" w:themeColor="text1"/>
          <w:sz w:val="28"/>
          <w:szCs w:val="28"/>
          <w:highlight w:val="none"/>
          <w14:textFill>
            <w14:solidFill>
              <w14:schemeClr w14:val="tx1"/>
            </w14:solidFill>
          </w14:textFill>
        </w:rPr>
        <w:t>（四）</w:t>
      </w:r>
      <w:bookmarkEnd w:id="184"/>
      <w:r>
        <w:rPr>
          <w:rFonts w:hint="eastAsia" w:ascii="宋体" w:hAnsi="宋体" w:eastAsia="宋体"/>
          <w:color w:val="000000" w:themeColor="text1"/>
          <w:sz w:val="28"/>
          <w:szCs w:val="28"/>
          <w:highlight w:val="none"/>
          <w14:textFill>
            <w14:solidFill>
              <w14:schemeClr w14:val="tx1"/>
            </w14:solidFill>
          </w14:textFill>
        </w:rPr>
        <w:t>资格审查文件要求提交的其它有效证明文件</w:t>
      </w:r>
      <w:bookmarkEnd w:id="185"/>
    </w:p>
    <w:p>
      <w:pPr>
        <w:tabs>
          <w:tab w:val="center" w:pos="4483"/>
        </w:tabs>
        <w:spacing w:line="360" w:lineRule="auto"/>
        <w:rPr>
          <w:rFonts w:ascii="宋体" w:hAnsi="宋体"/>
          <w:color w:val="000000" w:themeColor="text1"/>
          <w:kern w:val="0"/>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ind w:firstLine="1260" w:firstLineChars="600"/>
        <w:rPr>
          <w:rFonts w:ascii="宋体" w:hAnsi="宋体"/>
          <w:bCs/>
          <w:color w:val="000000" w:themeColor="text1"/>
          <w:kern w:val="0"/>
          <w:szCs w:val="21"/>
          <w:highlight w:val="none"/>
          <w14:textFill>
            <w14:solidFill>
              <w14:schemeClr w14:val="tx1"/>
            </w14:solidFill>
          </w14:textFill>
        </w:rPr>
        <w:sectPr>
          <w:headerReference r:id="rId8" w:type="default"/>
          <w:pgSz w:w="11906" w:h="16838"/>
          <w:pgMar w:top="1418" w:right="1474" w:bottom="1418" w:left="1474" w:header="851" w:footer="851" w:gutter="0"/>
          <w:cols w:space="720" w:num="1"/>
          <w:titlePg/>
          <w:docGrid w:linePitch="312" w:charSpace="0"/>
        </w:sectPr>
      </w:pPr>
    </w:p>
    <w:p>
      <w:pPr>
        <w:pStyle w:val="4"/>
        <w:numPr>
          <w:ilvl w:val="1"/>
          <w:numId w:val="0"/>
        </w:numPr>
        <w:spacing w:line="360" w:lineRule="auto"/>
        <w:ind w:firstLine="2249" w:firstLineChars="800"/>
        <w:rPr>
          <w:rFonts w:ascii="宋体" w:hAnsi="宋体" w:eastAsia="宋体"/>
          <w:color w:val="000000" w:themeColor="text1"/>
          <w:sz w:val="28"/>
          <w:szCs w:val="28"/>
          <w:highlight w:val="none"/>
          <w14:textFill>
            <w14:solidFill>
              <w14:schemeClr w14:val="tx1"/>
            </w14:solidFill>
          </w14:textFill>
        </w:rPr>
      </w:pPr>
      <w:bookmarkStart w:id="186" w:name="_Toc200414524"/>
      <w:bookmarkStart w:id="187" w:name="_Toc12085"/>
      <w:r>
        <w:rPr>
          <w:rFonts w:hint="eastAsia" w:ascii="宋体" w:hAnsi="宋体" w:eastAsia="宋体"/>
          <w:color w:val="000000" w:themeColor="text1"/>
          <w:sz w:val="28"/>
          <w:szCs w:val="28"/>
          <w:highlight w:val="none"/>
          <w14:textFill>
            <w14:solidFill>
              <w14:schemeClr w14:val="tx1"/>
            </w14:solidFill>
          </w14:textFill>
        </w:rPr>
        <w:t>第二章  谈判响应文件商务及技术部分</w:t>
      </w:r>
      <w:bookmarkEnd w:id="186"/>
      <w:bookmarkEnd w:id="187"/>
    </w:p>
    <w:p>
      <w:pPr>
        <w:pStyle w:val="4"/>
        <w:numPr>
          <w:ilvl w:val="1"/>
          <w:numId w:val="0"/>
        </w:numPr>
        <w:spacing w:line="360" w:lineRule="auto"/>
        <w:ind w:firstLine="3373" w:firstLineChars="1200"/>
        <w:rPr>
          <w:rFonts w:ascii="宋体" w:hAnsi="宋体" w:eastAsia="宋体"/>
          <w:color w:val="000000" w:themeColor="text1"/>
          <w:sz w:val="28"/>
          <w:szCs w:val="28"/>
          <w:highlight w:val="none"/>
          <w14:textFill>
            <w14:solidFill>
              <w14:schemeClr w14:val="tx1"/>
            </w14:solidFill>
          </w14:textFill>
        </w:rPr>
      </w:pPr>
      <w:bookmarkStart w:id="188" w:name="_Toc14140"/>
      <w:bookmarkStart w:id="189" w:name="_Toc200414525"/>
      <w:r>
        <w:rPr>
          <w:rFonts w:hint="eastAsia" w:ascii="宋体" w:hAnsi="宋体" w:eastAsia="宋体"/>
          <w:color w:val="000000" w:themeColor="text1"/>
          <w:sz w:val="28"/>
          <w:szCs w:val="28"/>
          <w:highlight w:val="none"/>
          <w14:textFill>
            <w14:solidFill>
              <w14:schemeClr w14:val="tx1"/>
            </w14:solidFill>
          </w14:textFill>
        </w:rPr>
        <w:t>附件一：谈判响应函</w:t>
      </w:r>
      <w:bookmarkEnd w:id="188"/>
      <w:bookmarkEnd w:id="189"/>
    </w:p>
    <w:p>
      <w:pPr>
        <w:widowControl/>
        <w:spacing w:line="360" w:lineRule="auto"/>
        <w:jc w:val="left"/>
        <w:rPr>
          <w:rFonts w:ascii="宋体" w:hAnsi="宋体" w:cs="宋体"/>
          <w:color w:val="000000" w:themeColor="text1"/>
          <w:kern w:val="0"/>
          <w:sz w:val="24"/>
          <w:highlight w:val="none"/>
          <w:u w:val="single"/>
          <w14:textFill>
            <w14:solidFill>
              <w14:schemeClr w14:val="tx1"/>
            </w14:solidFill>
          </w14:textFill>
        </w:rPr>
      </w:pPr>
      <w:r>
        <w:rPr>
          <w:rFonts w:ascii="宋体" w:hAnsi="宋体" w:cs="宋体"/>
          <w:color w:val="000000" w:themeColor="text1"/>
          <w:kern w:val="0"/>
          <w:sz w:val="24"/>
          <w:highlight w:val="none"/>
          <w:u w:val="single"/>
          <w14:textFill>
            <w14:solidFill>
              <w14:schemeClr w14:val="tx1"/>
            </w14:solidFill>
          </w14:textFill>
        </w:rPr>
        <w:t>致（采购人</w:t>
      </w:r>
      <w:r>
        <w:rPr>
          <w:rFonts w:hint="eastAsia" w:ascii="宋体" w:hAnsi="宋体" w:cs="宋体"/>
          <w:color w:val="000000" w:themeColor="text1"/>
          <w:kern w:val="0"/>
          <w:sz w:val="24"/>
          <w:highlight w:val="none"/>
          <w:u w:val="single"/>
          <w14:textFill>
            <w14:solidFill>
              <w14:schemeClr w14:val="tx1"/>
            </w14:solidFill>
          </w14:textFill>
        </w:rPr>
        <w:t>名称</w:t>
      </w:r>
      <w:r>
        <w:rPr>
          <w:rFonts w:ascii="宋体" w:hAnsi="宋体" w:cs="宋体"/>
          <w:color w:val="000000" w:themeColor="text1"/>
          <w:kern w:val="0"/>
          <w:sz w:val="24"/>
          <w:highlight w:val="none"/>
          <w:u w:val="single"/>
          <w14:textFill>
            <w14:solidFill>
              <w14:schemeClr w14:val="tx1"/>
            </w14:solidFill>
          </w14:textFill>
        </w:rPr>
        <w:t>）         </w:t>
      </w:r>
      <w:r>
        <w:rPr>
          <w:rFonts w:ascii="宋体" w:hAnsi="宋体" w:cs="宋体"/>
          <w:color w:val="000000" w:themeColor="text1"/>
          <w:kern w:val="0"/>
          <w:sz w:val="24"/>
          <w:highlight w:val="none"/>
          <w14:textFill>
            <w14:solidFill>
              <w14:schemeClr w14:val="tx1"/>
            </w14:solidFill>
          </w14:textFill>
        </w:rPr>
        <w:t xml:space="preserve">： </w:t>
      </w:r>
    </w:p>
    <w:p>
      <w:pPr>
        <w:adjustRightInd w:val="0"/>
        <w:snapToGrid w:val="0"/>
        <w:spacing w:beforeLines="50" w:line="480" w:lineRule="auto"/>
        <w:ind w:firstLine="420"/>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根据贵方就</w:t>
      </w:r>
      <w:r>
        <w:rPr>
          <w:rFonts w:hint="eastAsia" w:ascii="宋体" w:hAnsi="宋体" w:cs="宋体"/>
          <w:b/>
          <w:color w:val="000000" w:themeColor="text1"/>
          <w:szCs w:val="21"/>
          <w:highlight w:val="none"/>
          <w:u w:val="single"/>
          <w14:textFill>
            <w14:solidFill>
              <w14:schemeClr w14:val="tx1"/>
            </w14:solidFill>
          </w14:textFill>
        </w:rPr>
        <w:t xml:space="preserve">项目名称，由供应商填写      </w:t>
      </w:r>
      <w:r>
        <w:rPr>
          <w:rFonts w:hint="eastAsia" w:ascii="宋体" w:hAnsi="宋体"/>
          <w:b/>
          <w:bCs/>
          <w:color w:val="000000" w:themeColor="text1"/>
          <w:szCs w:val="21"/>
          <w:highlight w:val="none"/>
          <w14:textFill>
            <w14:solidFill>
              <w14:schemeClr w14:val="tx1"/>
            </w14:solidFill>
          </w14:textFill>
        </w:rPr>
        <w:t>的投标邀请（项目编号:</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，我方正式响应谈判文件内容并提交谈判文件</w:t>
      </w:r>
      <w:r>
        <w:rPr>
          <w:rFonts w:hint="eastAsia" w:ascii="宋体" w:hAnsi="宋体"/>
          <w:b/>
          <w:bCs/>
          <w:color w:val="000000" w:themeColor="text1"/>
          <w:szCs w:val="21"/>
          <w:highlight w:val="none"/>
          <w:u w:val="single"/>
          <w14:textFill>
            <w14:solidFill>
              <w14:schemeClr w14:val="tx1"/>
            </w14:solidFill>
          </w14:textFill>
        </w:rPr>
        <w:t>1份正本</w:t>
      </w:r>
      <w:r>
        <w:rPr>
          <w:rFonts w:hint="eastAsia" w:ascii="宋体" w:hAnsi="宋体"/>
          <w:b/>
          <w:bCs/>
          <w:color w:val="000000" w:themeColor="text1"/>
          <w:szCs w:val="21"/>
          <w:highlight w:val="none"/>
          <w14:textFill>
            <w14:solidFill>
              <w14:schemeClr w14:val="tx1"/>
            </w14:solidFill>
          </w14:textFill>
        </w:rPr>
        <w:t>和</w:t>
      </w:r>
      <w:r>
        <w:rPr>
          <w:rFonts w:hint="eastAsia" w:ascii="宋体" w:hAnsi="宋体"/>
          <w:b/>
          <w:bCs/>
          <w:color w:val="000000" w:themeColor="text1"/>
          <w:szCs w:val="21"/>
          <w:highlight w:val="none"/>
          <w:u w:val="single"/>
          <w14:textFill>
            <w14:solidFill>
              <w14:schemeClr w14:val="tx1"/>
            </w14:solidFill>
          </w14:textFill>
        </w:rPr>
        <w:t>2份副本</w:t>
      </w:r>
      <w:r>
        <w:rPr>
          <w:rFonts w:hint="eastAsia" w:ascii="宋体" w:hAnsi="宋体"/>
          <w:b/>
          <w:bCs/>
          <w:color w:val="000000" w:themeColor="text1"/>
          <w:szCs w:val="21"/>
          <w:highlight w:val="none"/>
          <w14:textFill>
            <w14:solidFill>
              <w14:schemeClr w14:val="tx1"/>
            </w14:solidFill>
          </w14:textFill>
        </w:rPr>
        <w:t>及</w:t>
      </w:r>
      <w:r>
        <w:rPr>
          <w:rFonts w:hint="eastAsia" w:ascii="宋体" w:hAnsi="宋体"/>
          <w:b/>
          <w:bCs/>
          <w:color w:val="000000" w:themeColor="text1"/>
          <w:szCs w:val="21"/>
          <w:highlight w:val="none"/>
          <w:u w:val="single"/>
          <w14:textFill>
            <w14:solidFill>
              <w14:schemeClr w14:val="tx1"/>
            </w14:solidFill>
          </w14:textFill>
        </w:rPr>
        <w:t>电子文件1份</w:t>
      </w:r>
      <w:r>
        <w:rPr>
          <w:rFonts w:hint="eastAsia" w:ascii="宋体" w:hAnsi="宋体"/>
          <w:b/>
          <w:bCs/>
          <w:color w:val="000000" w:themeColor="text1"/>
          <w:szCs w:val="21"/>
          <w:highlight w:val="none"/>
          <w14:textFill>
            <w14:solidFill>
              <w14:schemeClr w14:val="tx1"/>
            </w14:solidFill>
          </w14:textFill>
        </w:rPr>
        <w:t>：</w:t>
      </w:r>
    </w:p>
    <w:p>
      <w:pPr>
        <w:widowControl/>
        <w:tabs>
          <w:tab w:val="left" w:pos="502"/>
        </w:tabs>
        <w:adjustRightInd w:val="0"/>
        <w:snapToGrid w:val="0"/>
        <w:spacing w:line="480" w:lineRule="auto"/>
        <w:ind w:left="374" w:leftChars="178" w:firstLine="316" w:firstLineChars="150"/>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以</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形式提交的谈判保证金，金额为大写</w:t>
      </w:r>
      <w:r>
        <w:rPr>
          <w:rFonts w:hint="eastAsia" w:ascii="宋体" w:hAnsi="宋体"/>
          <w:b/>
          <w:color w:val="000000" w:themeColor="text1"/>
          <w:szCs w:val="21"/>
          <w:highlight w:val="none"/>
          <w14:textFill>
            <w14:solidFill>
              <w14:schemeClr w14:val="tx1"/>
            </w14:solidFill>
          </w14:textFill>
        </w:rPr>
        <w:t>人民币</w:t>
      </w:r>
      <w:r>
        <w:rPr>
          <w:rFonts w:hint="eastAsia" w:ascii="宋体" w:hAnsi="宋体"/>
          <w:b/>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 xml:space="preserve">¥ </w:t>
      </w:r>
      <w:r>
        <w:rPr>
          <w:rFonts w:hint="eastAsia" w:ascii="宋体" w:hAnsi="宋体"/>
          <w:b/>
          <w:bCs/>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szCs w:val="21"/>
          <w:highlight w:val="none"/>
          <w14:textFill>
            <w14:solidFill>
              <w14:schemeClr w14:val="tx1"/>
            </w14:solidFill>
          </w14:textFill>
        </w:rPr>
        <w:t xml:space="preserve"> ）。</w:t>
      </w:r>
    </w:p>
    <w:p>
      <w:pPr>
        <w:widowControl/>
        <w:tabs>
          <w:tab w:val="left" w:pos="502"/>
        </w:tabs>
        <w:adjustRightInd w:val="0"/>
        <w:snapToGrid w:val="0"/>
        <w:spacing w:line="480" w:lineRule="auto"/>
        <w:ind w:left="374" w:leftChars="177" w:hanging="2" w:hangingChars="1"/>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 xml:space="preserve">据此函，签字代表宣布同意如下：   </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szCs w:val="21"/>
          <w:highlight w:val="none"/>
          <w:u w:val="single"/>
          <w14:textFill>
            <w14:solidFill>
              <w14:schemeClr w14:val="tx1"/>
            </w14:solidFill>
          </w14:textFill>
        </w:rPr>
        <w:t xml:space="preserve"> （用文字和数字表示的谈判总价）  </w:t>
      </w:r>
      <w:r>
        <w:rPr>
          <w:rFonts w:hint="eastAsia" w:ascii="宋体" w:hAnsi="宋体"/>
          <w:color w:val="000000" w:themeColor="text1"/>
          <w:szCs w:val="21"/>
          <w:highlight w:val="none"/>
          <w14:textFill>
            <w14:solidFill>
              <w14:schemeClr w14:val="tx1"/>
            </w14:solidFill>
          </w14:textFill>
        </w:rPr>
        <w:t>。</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本次投标所报内容完全按照谈判文件要求填报，所有内容都是真实、准确的。</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供应商将按谈判文件的规定履行全部合同责任和义务。</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供应商已详细审查全部谈判文件，包括修改文件（如有的话）以及全部参考资料和有关附件。我们完全理解并同意放弃对这方面有不明及误解的权利。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本次投标自递交谈判响应文件截止之日起有效期为90天。</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如果在规定的递交谈判响应文件截止之日后，供应商在投标有效期内撤回投标，投标保证金将被贵方没收。</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供应商同意提供按照贵方可能要求与其投标有关的一切数据或资料，完全理解贵方不一定接受最低价的投标或收到的任何投标。</w:t>
      </w:r>
    </w:p>
    <w:p>
      <w:pPr>
        <w:widowControl/>
        <w:numPr>
          <w:ilvl w:val="0"/>
          <w:numId w:val="16"/>
        </w:numPr>
        <w:tabs>
          <w:tab w:val="left" w:pos="840"/>
        </w:tabs>
        <w:adjustRightInd w:val="0"/>
        <w:snapToGrid w:val="0"/>
        <w:spacing w:line="480" w:lineRule="auto"/>
        <w:ind w:left="840" w:hanging="4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与本投标有关的一切正式往来通讯请寄至谈判响应文件封面指定地址、联系方式。</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8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48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480" w:lineRule="auto"/>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注：本投标函为供应商响应本次谈判项目的郑重承诺，供应商不得改动且必须满足。</w:t>
      </w:r>
    </w:p>
    <w:p>
      <w:pPr>
        <w:pStyle w:val="22"/>
        <w:spacing w:line="360" w:lineRule="auto"/>
        <w:rPr>
          <w:rFonts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0" w:name="_Toc30131"/>
      <w:bookmarkStart w:id="191" w:name="_Toc200414526"/>
      <w:r>
        <w:rPr>
          <w:rFonts w:hint="eastAsia" w:ascii="宋体" w:hAnsi="宋体" w:eastAsia="宋体"/>
          <w:color w:val="000000" w:themeColor="text1"/>
          <w:sz w:val="28"/>
          <w:szCs w:val="28"/>
          <w:highlight w:val="none"/>
          <w14:textFill>
            <w14:solidFill>
              <w14:schemeClr w14:val="tx1"/>
            </w14:solidFill>
          </w14:textFill>
        </w:rPr>
        <w:t>附件二：第一次报价一览表</w:t>
      </w:r>
      <w:bookmarkEnd w:id="190"/>
      <w:bookmarkEnd w:id="191"/>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tabs>
          <w:tab w:val="center" w:pos="4483"/>
        </w:tabs>
        <w:spacing w:line="360" w:lineRule="auto"/>
        <w:rPr>
          <w:rFonts w:ascii="宋体" w:hAnsi="宋体"/>
          <w:bCs/>
          <w:color w:val="000000" w:themeColor="text1"/>
          <w:szCs w:val="21"/>
          <w:highlight w:val="none"/>
          <w:u w:val="single"/>
          <w14:textFill>
            <w14:solidFill>
              <w14:schemeClr w14:val="tx1"/>
            </w14:solidFill>
          </w14:textFill>
        </w:rPr>
      </w:pPr>
    </w:p>
    <w:tbl>
      <w:tblPr>
        <w:tblStyle w:val="42"/>
        <w:tblW w:w="8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3713"/>
        <w:gridCol w:w="1501"/>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1942"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c>
        <w:tc>
          <w:tcPr>
            <w:tcW w:w="3713"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报价（元）</w:t>
            </w:r>
          </w:p>
        </w:tc>
        <w:tc>
          <w:tcPr>
            <w:tcW w:w="1501" w:type="dxa"/>
            <w:vAlign w:val="center"/>
          </w:tcPr>
          <w:p>
            <w:pPr>
              <w:spacing w:line="360" w:lineRule="auto"/>
              <w:jc w:val="center"/>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完工期</w:t>
            </w:r>
          </w:p>
        </w:tc>
        <w:tc>
          <w:tcPr>
            <w:tcW w:w="1476" w:type="dxa"/>
            <w:vAlign w:val="center"/>
          </w:tcPr>
          <w:p>
            <w:pPr>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7" w:hRule="atLeast"/>
          <w:jc w:val="center"/>
        </w:trPr>
        <w:tc>
          <w:tcPr>
            <w:tcW w:w="1942" w:type="dxa"/>
            <w:vAlign w:val="center"/>
          </w:tcPr>
          <w:p>
            <w:pPr>
              <w:spacing w:line="360" w:lineRule="auto"/>
              <w:jc w:val="center"/>
              <w:rPr>
                <w:rFonts w:ascii="宋体" w:hAnsi="宋体"/>
                <w:bCs/>
                <w:color w:val="000000" w:themeColor="text1"/>
                <w:highlight w:val="none"/>
                <w14:textFill>
                  <w14:solidFill>
                    <w14:schemeClr w14:val="tx1"/>
                  </w14:solidFill>
                </w14:textFill>
              </w:rPr>
            </w:pPr>
          </w:p>
        </w:tc>
        <w:tc>
          <w:tcPr>
            <w:tcW w:w="3713" w:type="dxa"/>
            <w:vAlign w:val="center"/>
          </w:tcPr>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大写：人民币</w:t>
            </w:r>
          </w:p>
          <w:p>
            <w:pPr>
              <w:spacing w:line="360" w:lineRule="auto"/>
              <w:rPr>
                <w:rFonts w:ascii="宋体" w:hAnsi="宋体"/>
                <w:bCs/>
                <w:color w:val="000000" w:themeColor="text1"/>
                <w:highlight w:val="non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小写：¥ </w:t>
            </w:r>
          </w:p>
          <w:p>
            <w:pPr>
              <w:spacing w:line="360" w:lineRule="auto"/>
              <w:rPr>
                <w:rFonts w:ascii="宋体" w:hAnsi="宋体"/>
                <w:bCs/>
                <w:color w:val="000000" w:themeColor="text1"/>
                <w:highlight w:val="none"/>
                <w14:textFill>
                  <w14:solidFill>
                    <w14:schemeClr w14:val="tx1"/>
                  </w14:solidFill>
                </w14:textFill>
              </w:rPr>
            </w:pPr>
          </w:p>
        </w:tc>
        <w:tc>
          <w:tcPr>
            <w:tcW w:w="1501" w:type="dxa"/>
            <w:vAlign w:val="center"/>
          </w:tcPr>
          <w:p>
            <w:pPr>
              <w:spacing w:line="360" w:lineRule="auto"/>
              <w:jc w:val="center"/>
              <w:rPr>
                <w:rFonts w:ascii="宋体" w:hAnsi="宋体"/>
                <w:bCs/>
                <w:color w:val="000000" w:themeColor="text1"/>
                <w:highlight w:val="none"/>
                <w:u w:val="single"/>
                <w14:textFill>
                  <w14:solidFill>
                    <w14:schemeClr w14:val="tx1"/>
                  </w14:solidFill>
                </w14:textFill>
              </w:rPr>
            </w:pPr>
          </w:p>
        </w:tc>
        <w:tc>
          <w:tcPr>
            <w:tcW w:w="1476" w:type="dxa"/>
            <w:vAlign w:val="center"/>
          </w:tcPr>
          <w:p>
            <w:pPr>
              <w:spacing w:line="360" w:lineRule="auto"/>
              <w:rPr>
                <w:rFonts w:ascii="宋体" w:hAnsi="宋体"/>
                <w:bCs/>
                <w:color w:val="000000" w:themeColor="text1"/>
                <w:szCs w:val="21"/>
                <w:highlight w:val="none"/>
                <w14:textFill>
                  <w14:solidFill>
                    <w14:schemeClr w14:val="tx1"/>
                  </w14:solidFill>
                </w14:textFill>
              </w:rPr>
            </w:pPr>
          </w:p>
        </w:tc>
      </w:tr>
    </w:tbl>
    <w:p>
      <w:pPr>
        <w:spacing w:line="360" w:lineRule="auto"/>
        <w:rPr>
          <w:rFonts w:ascii="宋体" w:hAnsi="宋体"/>
          <w:bCs/>
          <w:color w:val="000000" w:themeColor="text1"/>
          <w:highlight w:val="none"/>
          <w:u w:val="single"/>
          <w14:textFill>
            <w14:solidFill>
              <w14:schemeClr w14:val="tx1"/>
            </w14:solidFill>
          </w14:textFill>
        </w:rPr>
      </w:pP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填写此表时不得改变表格的形式。</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本报价表为供应商的第一次报价，谈判后，代理采购机构将向合格的供应商发最终报价表。</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所投项目的内容必须填写完整。</w:t>
      </w:r>
    </w:p>
    <w:p>
      <w:pPr>
        <w:numPr>
          <w:ilvl w:val="0"/>
          <w:numId w:val="17"/>
        </w:numPr>
        <w:tabs>
          <w:tab w:val="left" w:pos="84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如果供应商认为有应当说明而本表中无相应栏目的内容，请在“备注”栏中说明添加说明。</w:t>
      </w: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tabs>
          <w:tab w:val="left" w:pos="845"/>
        </w:tabs>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pStyle w:val="22"/>
        <w:spacing w:line="360" w:lineRule="auto"/>
        <w:rPr>
          <w:rFonts w:hAnsi="宋体"/>
          <w:color w:val="000000" w:themeColor="text1"/>
          <w:highlight w:val="none"/>
          <w14:textFill>
            <w14:solidFill>
              <w14:schemeClr w14:val="tx1"/>
            </w14:solidFill>
          </w14:textFill>
        </w:rPr>
      </w:pPr>
    </w:p>
    <w:p>
      <w:pPr>
        <w:pStyle w:val="22"/>
        <w:spacing w:line="360" w:lineRule="auto"/>
        <w:rPr>
          <w:rFonts w:hAnsi="宋体"/>
          <w:color w:val="000000" w:themeColor="text1"/>
          <w:highlight w:val="non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2" w:name="_Toc200414527"/>
      <w:bookmarkStart w:id="193" w:name="_Toc13591"/>
      <w:r>
        <w:rPr>
          <w:rFonts w:hint="eastAsia" w:ascii="宋体" w:hAnsi="宋体" w:eastAsia="宋体"/>
          <w:color w:val="000000" w:themeColor="text1"/>
          <w:highlight w:val="none"/>
          <w14:textFill>
            <w14:solidFill>
              <w14:schemeClr w14:val="tx1"/>
            </w14:solidFill>
          </w14:textFill>
        </w:rPr>
        <w:t>附件三：谈判分项报价</w:t>
      </w:r>
      <w:r>
        <w:rPr>
          <w:rFonts w:ascii="宋体" w:hAnsi="宋体" w:eastAsia="宋体"/>
          <w:color w:val="000000" w:themeColor="text1"/>
          <w:highlight w:val="none"/>
          <w14:textFill>
            <w14:solidFill>
              <w14:schemeClr w14:val="tx1"/>
            </w14:solidFill>
          </w14:textFill>
        </w:rPr>
        <w:t>表</w:t>
      </w:r>
      <w:bookmarkEnd w:id="192"/>
      <w:bookmarkEnd w:id="193"/>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（单位：元）</w:t>
      </w:r>
    </w:p>
    <w:tbl>
      <w:tblPr>
        <w:tblStyle w:val="42"/>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服务内容</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服务时间</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单价</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总价</w:t>
            </w: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2"/>
              <w:snapToGrid w:val="0"/>
              <w:ind w:firstLine="0"/>
              <w:jc w:val="center"/>
              <w:rPr>
                <w:color w:val="000000" w:themeColor="text1"/>
                <w:highlight w:val="none"/>
                <w14:textFill>
                  <w14:solidFill>
                    <w14:schemeClr w14:val="tx1"/>
                  </w14:solidFill>
                </w14:textFill>
              </w:rPr>
            </w:pPr>
          </w:p>
        </w:tc>
        <w:tc>
          <w:tcPr>
            <w:tcW w:w="1281" w:type="dxa"/>
            <w:vAlign w:val="center"/>
          </w:tcPr>
          <w:p>
            <w:pPr>
              <w:pStyle w:val="2"/>
              <w:snapToGrid w:val="0"/>
              <w:ind w:firstLine="0"/>
              <w:jc w:val="center"/>
              <w:rPr>
                <w:color w:val="000000" w:themeColor="text1"/>
                <w:highlight w:val="none"/>
                <w14:textFill>
                  <w14:solidFill>
                    <w14:schemeClr w14:val="tx1"/>
                  </w14:solidFill>
                </w14:textFill>
              </w:rPr>
            </w:pPr>
          </w:p>
        </w:tc>
        <w:tc>
          <w:tcPr>
            <w:tcW w:w="1287" w:type="dxa"/>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2"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（该表中无体现的费用但本项目有产生的其他费用）</w:t>
            </w:r>
          </w:p>
        </w:tc>
        <w:tc>
          <w:tcPr>
            <w:tcW w:w="6412" w:type="dxa"/>
            <w:gridSpan w:val="6"/>
            <w:vAlign w:val="center"/>
          </w:tcPr>
          <w:p>
            <w:pPr>
              <w:pStyle w:val="2"/>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2"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报价总价</w:t>
            </w:r>
          </w:p>
        </w:tc>
        <w:tc>
          <w:tcPr>
            <w:tcW w:w="3208" w:type="dxa"/>
            <w:gridSpan w:val="3"/>
            <w:vAlign w:val="center"/>
          </w:tcPr>
          <w:p>
            <w:pPr>
              <w:pStyle w:val="2"/>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4" w:type="dxa"/>
            <w:gridSpan w:val="3"/>
            <w:vAlign w:val="center"/>
          </w:tcPr>
          <w:p>
            <w:pPr>
              <w:pStyle w:val="2"/>
              <w:snapToGrid w:val="0"/>
              <w:ind w:firstLine="0"/>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vAlign w:val="center"/>
          </w:tcPr>
          <w:p>
            <w:pPr>
              <w:pStyle w:val="2"/>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2" w:type="dxa"/>
            <w:vAlign w:val="center"/>
          </w:tcPr>
          <w:p>
            <w:pPr>
              <w:pStyle w:val="2"/>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2" w:type="dxa"/>
            <w:gridSpan w:val="6"/>
            <w:vAlign w:val="center"/>
          </w:tcPr>
          <w:p>
            <w:pPr>
              <w:pStyle w:val="2"/>
              <w:snapToGrid w:val="0"/>
              <w:ind w:firstLine="0"/>
              <w:jc w:val="center"/>
              <w:rPr>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firstLine="6615" w:firstLineChars="3150"/>
        <w:jc w:val="left"/>
        <w:rPr>
          <w:rFonts w:ascii="宋体" w:hAnsi="宋体"/>
          <w:bCs/>
          <w:color w:val="000000" w:themeColor="text1"/>
          <w:szCs w:val="21"/>
          <w:highlight w:val="none"/>
          <w14:textFill>
            <w14:solidFill>
              <w14:schemeClr w14:val="tx1"/>
            </w14:solidFill>
          </w14:textFill>
        </w:rPr>
      </w:pPr>
    </w:p>
    <w:p>
      <w:pPr>
        <w:spacing w:line="46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注：1、若最终报价在第一次报价的基础上有浮动，则最终报价中的各分项报价须按比例统一浮动。</w:t>
      </w:r>
    </w:p>
    <w:p>
      <w:pPr>
        <w:spacing w:line="4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2、如本表格式内容不能满足需要，供应商可自行划表填写。</w:t>
      </w:r>
    </w:p>
    <w:p>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供应商法定代表人（负责人）或授权代理人（签字）： </w:t>
      </w:r>
    </w:p>
    <w:p>
      <w:pPr>
        <w:adjustRightInd w:val="0"/>
        <w:snapToGrid w:val="0"/>
        <w:spacing w:line="40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rPr>
          <w:rFonts w:ascii="宋体" w:hAns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bookmarkStart w:id="194" w:name="_Toc200414528"/>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5" w:name="_Toc19265"/>
      <w:r>
        <w:rPr>
          <w:rFonts w:hint="eastAsia" w:ascii="宋体" w:hAnsi="宋体" w:eastAsia="宋体"/>
          <w:color w:val="000000" w:themeColor="text1"/>
          <w:sz w:val="28"/>
          <w:szCs w:val="28"/>
          <w:highlight w:val="none"/>
          <w14:textFill>
            <w14:solidFill>
              <w14:schemeClr w14:val="tx1"/>
            </w14:solidFill>
          </w14:textFill>
        </w:rPr>
        <w:t>附件四：商务条款偏离一览表</w:t>
      </w:r>
      <w:bookmarkEnd w:id="194"/>
      <w:bookmarkEnd w:id="195"/>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color w:val="000000" w:themeColor="text1"/>
          <w:spacing w:val="1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583"/>
        <w:gridCol w:w="850"/>
        <w:gridCol w:w="3189"/>
        <w:gridCol w:w="2906"/>
        <w:gridCol w:w="993"/>
        <w:gridCol w:w="750"/>
      </w:tblGrid>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谈判响应文件规格</w:t>
            </w: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583"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2906"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993"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750"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2）对谈判文件中商务条款按上列格式逐条说明。</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供应商声明：表中未列全的商务条款，我方均表示完全响应谈判文件商务条款的所有要求。</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sectPr>
          <w:pgSz w:w="11906" w:h="16838"/>
          <w:pgMar w:top="1418" w:right="1474" w:bottom="1418" w:left="1474" w:header="851" w:footer="851" w:gutter="0"/>
          <w:cols w:space="720" w:num="1"/>
          <w:titlePg/>
          <w:docGrid w:linePitch="462" w:charSpace="0"/>
        </w:sect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6" w:name="_Toc200414529"/>
      <w:bookmarkStart w:id="197" w:name="_Toc32183"/>
      <w:r>
        <w:rPr>
          <w:rFonts w:hint="eastAsia" w:ascii="宋体" w:hAnsi="宋体" w:eastAsia="宋体"/>
          <w:color w:val="000000" w:themeColor="text1"/>
          <w:sz w:val="28"/>
          <w:szCs w:val="28"/>
          <w:highlight w:val="none"/>
          <w14:textFill>
            <w14:solidFill>
              <w14:schemeClr w14:val="tx1"/>
            </w14:solidFill>
          </w14:textFill>
        </w:rPr>
        <w:t>附件五：技术条款偏离一览表</w:t>
      </w:r>
      <w:bookmarkEnd w:id="196"/>
      <w:bookmarkEnd w:id="197"/>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tbl>
      <w:tblPr>
        <w:tblStyle w:val="42"/>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谈判文件条目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谈判文件规格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偏离</w:t>
            </w:r>
          </w:p>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spacing w:line="360" w:lineRule="auto"/>
              <w:jc w:val="center"/>
              <w:rPr>
                <w:rFonts w:ascii="宋体" w:hAnsi="宋体"/>
                <w:bCs/>
                <w:color w:val="000000" w:themeColor="text1"/>
                <w:szCs w:val="21"/>
                <w:highlight w:val="none"/>
                <w14:textFill>
                  <w14:solidFill>
                    <w14:schemeClr w14:val="tx1"/>
                  </w14:solidFill>
                </w14:textFill>
              </w:rPr>
            </w:pPr>
          </w:p>
        </w:tc>
      </w:tr>
    </w:tbl>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说明：</w:t>
      </w:r>
      <w:r>
        <w:rPr>
          <w:rFonts w:hint="eastAsia" w:ascii="宋体" w:hAnsi="宋体"/>
          <w:bCs/>
          <w:color w:val="000000" w:themeColor="text1"/>
          <w:highlight w:val="none"/>
          <w14:textFill>
            <w14:solidFill>
              <w14:schemeClr w14:val="tx1"/>
            </w14:solidFill>
          </w14:textFill>
        </w:rPr>
        <w:t>1）对“偏离”一栏，填写“无偏离、正偏离、负偏离”；</w:t>
      </w:r>
    </w:p>
    <w:p>
      <w:pPr>
        <w:adjustRightInd w:val="0"/>
        <w:snapToGrid w:val="0"/>
        <w:spacing w:line="360" w:lineRule="auto"/>
        <w:ind w:left="-271" w:leftChars="-129" w:right="-384" w:rightChars="-183" w:firstLine="630" w:firstLineChars="300"/>
        <w:rPr>
          <w:rFonts w:ascii="宋体" w:hAnsi="宋体"/>
          <w:b/>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2）对谈判文件中技术条款按上列格式逐条说明</w:t>
      </w:r>
      <w:r>
        <w:rPr>
          <w:rFonts w:hint="eastAsia" w:ascii="宋体" w:hAnsi="宋体"/>
          <w:b/>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供应商声明：表中未列全的技术条款，我方均表示完全响应谈判文件技术条款的所有要求。</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ind w:left="-271" w:leftChars="-129" w:right="-384" w:rightChars="-183"/>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ind w:left="-271" w:leftChars="-129" w:right="-384" w:rightChars="-183"/>
        <w:rPr>
          <w:rFonts w:ascii="宋体" w:hAnsi="宋体"/>
          <w:bCs/>
          <w:color w:val="000000" w:themeColor="text1"/>
          <w:szCs w:val="2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198" w:name="_Toc29094"/>
      <w:r>
        <w:rPr>
          <w:rFonts w:hint="eastAsia" w:ascii="宋体" w:hAnsi="宋体" w:eastAsia="宋体"/>
          <w:color w:val="000000" w:themeColor="text1"/>
          <w:sz w:val="28"/>
          <w:szCs w:val="28"/>
          <w:highlight w:val="none"/>
          <w14:textFill>
            <w14:solidFill>
              <w14:schemeClr w14:val="tx1"/>
            </w14:solidFill>
          </w14:textFill>
        </w:rPr>
        <w:t>附件六：同类业绩一览表</w:t>
      </w:r>
      <w:bookmarkEnd w:id="198"/>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tbl>
      <w:tblPr>
        <w:tblStyle w:val="42"/>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1234"/>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4"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w:t>
      </w:r>
      <w:r>
        <w:rPr>
          <w:rFonts w:hint="eastAsia" w:ascii="宋体" w:hAnsi="宋体"/>
          <w:bCs/>
          <w:color w:val="000000" w:themeColor="text1"/>
          <w:highlight w:val="none"/>
          <w14:textFill>
            <w14:solidFill>
              <w14:schemeClr w14:val="tx1"/>
            </w14:solidFill>
          </w14:textFill>
        </w:rPr>
        <w:t>供应商</w:t>
      </w:r>
      <w:r>
        <w:rPr>
          <w:rFonts w:hint="eastAsia" w:hAnsi="宋体"/>
          <w:bCs/>
          <w:color w:val="000000" w:themeColor="text1"/>
          <w:highlight w:val="none"/>
          <w14:textFill>
            <w14:solidFill>
              <w14:schemeClr w14:val="tx1"/>
            </w14:solidFill>
          </w14:textFill>
        </w:rPr>
        <w:t>可自行划表填写，但必须体现以上内容。</w:t>
      </w:r>
    </w:p>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p>
    <w:p>
      <w:pPr>
        <w:pStyle w:val="2"/>
        <w:snapToGrid w:val="0"/>
        <w:spacing w:line="360" w:lineRule="auto"/>
        <w:ind w:firstLine="0"/>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pStyle w:val="2"/>
        <w:snapToGrid w:val="0"/>
        <w:spacing w:line="360" w:lineRule="auto"/>
        <w:ind w:firstLine="0"/>
        <w:rPr>
          <w:rFonts w:ascii="宋体" w:hAnsi="宋体"/>
          <w:color w:val="000000" w:themeColor="text1"/>
          <w:highlight w:val="none"/>
          <w14:textFill>
            <w14:solidFill>
              <w14:schemeClr w14:val="tx1"/>
            </w14:solidFill>
          </w14:textFill>
        </w:rPr>
        <w:sectPr>
          <w:pgSz w:w="11906" w:h="16838"/>
          <w:pgMar w:top="1418" w:right="1474" w:bottom="1418" w:left="1474" w:header="851" w:footer="992"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4"/>
        <w:numPr>
          <w:ilvl w:val="0"/>
          <w:numId w:val="0"/>
        </w:numPr>
        <w:spacing w:line="400" w:lineRule="exact"/>
        <w:jc w:val="center"/>
        <w:rPr>
          <w:rFonts w:ascii="宋体" w:hAnsi="宋体" w:eastAsia="宋体" w:cs="宋体"/>
          <w:color w:val="000000" w:themeColor="text1"/>
          <w:sz w:val="28"/>
          <w:szCs w:val="28"/>
          <w:highlight w:val="none"/>
          <w14:textFill>
            <w14:solidFill>
              <w14:schemeClr w14:val="tx1"/>
            </w14:solidFill>
          </w14:textFill>
        </w:rPr>
      </w:pPr>
      <w:bookmarkStart w:id="199" w:name="_Toc432682754"/>
      <w:bookmarkStart w:id="200" w:name="_Toc7149"/>
      <w:bookmarkStart w:id="201" w:name="_Toc432695229"/>
      <w:bookmarkStart w:id="202" w:name="_Toc30035"/>
      <w:bookmarkStart w:id="203" w:name="_Toc430771089"/>
      <w:bookmarkStart w:id="204" w:name="_Toc339362330"/>
      <w:bookmarkStart w:id="205" w:name="_Toc333238664"/>
      <w:bookmarkStart w:id="206" w:name="_Toc366072562"/>
      <w:bookmarkStart w:id="207" w:name="_Toc339020045"/>
      <w:bookmarkStart w:id="208" w:name="_Toc330460016"/>
      <w:bookmarkStart w:id="209" w:name="_Toc332206739"/>
      <w:bookmarkStart w:id="210" w:name="_Toc102451601"/>
      <w:bookmarkStart w:id="211" w:name="_Toc342296791"/>
      <w:bookmarkStart w:id="212" w:name="_Toc365985211"/>
      <w:bookmarkStart w:id="213" w:name="_Toc345312627"/>
      <w:bookmarkStart w:id="214" w:name="_Toc340672899"/>
      <w:bookmarkStart w:id="215" w:name="_Toc339441117"/>
      <w:bookmarkStart w:id="216" w:name="_Toc343248448"/>
      <w:bookmarkStart w:id="217" w:name="_Toc336681965"/>
      <w:bookmarkStart w:id="218" w:name="_Toc365967105"/>
      <w:bookmarkStart w:id="219" w:name="_Toc336681610"/>
      <w:bookmarkStart w:id="220" w:name="_Toc333935717"/>
      <w:bookmarkStart w:id="221" w:name="_Toc342312473"/>
      <w:bookmarkStart w:id="222" w:name="_Toc342398160"/>
      <w:bookmarkStart w:id="223" w:name="_Toc331512931"/>
      <w:bookmarkStart w:id="224" w:name="_Toc333237819"/>
      <w:bookmarkStart w:id="225" w:name="_Toc333237708"/>
      <w:bookmarkStart w:id="226" w:name="_Toc341348370"/>
      <w:bookmarkStart w:id="227" w:name="_Toc332270377"/>
      <w:bookmarkStart w:id="228" w:name="_Toc331684072"/>
      <w:bookmarkStart w:id="229" w:name="_Toc339019919"/>
      <w:bookmarkStart w:id="230" w:name="_Toc339020125"/>
      <w:bookmarkStart w:id="231" w:name="_Toc350756480"/>
      <w:bookmarkStart w:id="232" w:name="_Toc340677100"/>
      <w:bookmarkStart w:id="233" w:name="_Toc343612950"/>
      <w:bookmarkStart w:id="234" w:name="_Toc342060405"/>
      <w:bookmarkStart w:id="235" w:name="_Toc333935376"/>
      <w:bookmarkStart w:id="236" w:name="_Toc350438779"/>
      <w:bookmarkStart w:id="237" w:name="_Toc337632388"/>
      <w:bookmarkStart w:id="238" w:name="_Toc339020263"/>
      <w:bookmarkStart w:id="239" w:name="_Toc343247130"/>
      <w:bookmarkStart w:id="240" w:name="_Toc340507472"/>
      <w:bookmarkStart w:id="241" w:name="_Toc200414534"/>
      <w:r>
        <w:rPr>
          <w:rFonts w:hint="eastAsia" w:ascii="宋体" w:hAnsi="宋体" w:eastAsia="宋体" w:cs="宋体"/>
          <w:color w:val="000000" w:themeColor="text1"/>
          <w:sz w:val="28"/>
          <w:szCs w:val="28"/>
          <w:highlight w:val="none"/>
          <w14:textFill>
            <w14:solidFill>
              <w14:schemeClr w14:val="tx1"/>
            </w14:solidFill>
          </w14:textFill>
        </w:rPr>
        <w:t>附件七：中小微企业声明函</w:t>
      </w:r>
      <w:bookmarkEnd w:id="199"/>
      <w:bookmarkEnd w:id="200"/>
      <w:bookmarkEnd w:id="201"/>
      <w:bookmarkEnd w:id="202"/>
      <w:bookmarkEnd w:id="203"/>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供应商名称（加盖公章）：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Pr>
        <w:pStyle w:val="4"/>
        <w:keepLines w:val="0"/>
        <w:numPr>
          <w:ilvl w:val="0"/>
          <w:numId w:val="0"/>
        </w:numPr>
        <w:tabs>
          <w:tab w:val="left" w:pos="851"/>
        </w:tabs>
        <w:spacing w:before="0" w:after="0" w:line="360" w:lineRule="auto"/>
        <w:jc w:val="center"/>
        <w:rPr>
          <w:rFonts w:ascii="宋体" w:hAnsi="宋体" w:eastAsia="宋体" w:cs="宋体"/>
          <w:color w:val="000000" w:themeColor="text1"/>
          <w:sz w:val="28"/>
          <w:szCs w:val="28"/>
          <w:highlight w:val="none"/>
          <w14:textFill>
            <w14:solidFill>
              <w14:schemeClr w14:val="tx1"/>
            </w14:solidFill>
          </w14:textFill>
        </w:rPr>
      </w:pPr>
      <w:bookmarkStart w:id="242" w:name="_Toc32373"/>
      <w:bookmarkStart w:id="243" w:name="_Toc1931"/>
      <w:bookmarkStart w:id="244" w:name="_Toc20242"/>
      <w:r>
        <w:rPr>
          <w:rFonts w:hint="eastAsia" w:ascii="宋体" w:hAnsi="宋体" w:eastAsia="宋体" w:cs="宋体"/>
          <w:color w:val="000000" w:themeColor="text1"/>
          <w:sz w:val="28"/>
          <w:szCs w:val="28"/>
          <w:highlight w:val="none"/>
          <w14:textFill>
            <w14:solidFill>
              <w14:schemeClr w14:val="tx1"/>
            </w14:solidFill>
          </w14:textFill>
        </w:rPr>
        <w:t>附件八：残疾人福利性单位声明函</w:t>
      </w:r>
      <w:bookmarkEnd w:id="242"/>
      <w:bookmarkEnd w:id="243"/>
      <w:bookmarkEnd w:id="24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 xml:space="preserve">供应商法定代表人（负责人）或授权代理人（签字）： </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供应商名称（加盖公章）：</w:t>
      </w:r>
    </w:p>
    <w:p>
      <w:pPr>
        <w:pStyle w:val="2"/>
        <w:spacing w:line="360" w:lineRule="auto"/>
        <w:ind w:firstLine="0"/>
        <w:rPr>
          <w:rFonts w:hAnsi="宋体" w:cs="宋体"/>
          <w:color w:val="000000" w:themeColor="text1"/>
          <w:szCs w:val="24"/>
          <w:highlight w:val="none"/>
          <w14:textFill>
            <w14:solidFill>
              <w14:schemeClr w14:val="tx1"/>
            </w14:solidFill>
          </w14:textFill>
        </w:rPr>
      </w:pPr>
      <w:r>
        <w:rPr>
          <w:rFonts w:hint="eastAsia" w:hAnsi="宋体" w:cs="宋体"/>
          <w:color w:val="000000" w:themeColor="text1"/>
          <w:szCs w:val="24"/>
          <w:highlight w:val="none"/>
          <w14:textFill>
            <w14:solidFill>
              <w14:schemeClr w14:val="tx1"/>
            </w14:solidFill>
          </w14:textFill>
        </w:rPr>
        <w:t>日期： 年月 日</w:t>
      </w: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5" w:name="_Toc1560"/>
      <w:r>
        <w:rPr>
          <w:rFonts w:hint="eastAsia" w:ascii="宋体" w:hAnsi="宋体" w:eastAsia="宋体"/>
          <w:color w:val="000000" w:themeColor="text1"/>
          <w:sz w:val="28"/>
          <w:szCs w:val="28"/>
          <w:highlight w:val="none"/>
          <w14:textFill>
            <w14:solidFill>
              <w14:schemeClr w14:val="tx1"/>
            </w14:solidFill>
          </w14:textFill>
        </w:rPr>
        <w:t>附件九：成交服务费承诺</w:t>
      </w:r>
      <w:bookmarkEnd w:id="241"/>
      <w:bookmarkEnd w:id="245"/>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致（代理机构）：</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针对贵方组织的（项目名称：</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）谈判项目（</w:t>
      </w:r>
      <w:r>
        <w:rPr>
          <w:rFonts w:hint="eastAsia" w:ascii="宋体" w:hAnsi="宋体"/>
          <w:bCs/>
          <w:color w:val="000000" w:themeColor="text1"/>
          <w:szCs w:val="21"/>
          <w:highlight w:val="none"/>
          <w14:textFill>
            <w14:solidFill>
              <w14:schemeClr w14:val="tx1"/>
            </w14:solidFill>
          </w14:textFill>
        </w:rPr>
        <w:t xml:space="preserve">项目编号: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），我方承诺：</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1.若我方成交，将严格遵照本项目谈判文件的规定向代理采购机构缴纳成交服务费。</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2.若我方成交后拒绝如数缴纳或未按本项目谈判文件规定的期限缴纳成交服务费，则视为我方自动放弃该成交结果，贵方有权没收我方的保证金并重新确定成交结果，我方对此无任何异议。</w:t>
      </w: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spacing w:line="360" w:lineRule="auto"/>
        <w:ind w:right="-384" w:rightChars="-183"/>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日期：年月日</w:t>
      </w: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spacing w:line="360" w:lineRule="auto"/>
        <w:ind w:right="-384" w:rightChars="-183"/>
        <w:rPr>
          <w:rFonts w:ascii="宋体" w:hAnsi="宋体"/>
          <w:bCs/>
          <w:color w:val="000000" w:themeColor="text1"/>
          <w:highlight w:val="none"/>
          <w:u w:val="singl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28"/>
          <w:szCs w:val="28"/>
          <w:highlight w:val="none"/>
          <w14:textFill>
            <w14:solidFill>
              <w14:schemeClr w14:val="tx1"/>
            </w14:solidFill>
          </w14:textFill>
        </w:rPr>
      </w:pPr>
      <w:bookmarkStart w:id="246" w:name="_Toc1027"/>
      <w:bookmarkStart w:id="247" w:name="_Toc200414535"/>
      <w:r>
        <w:rPr>
          <w:rFonts w:hint="eastAsia" w:ascii="宋体" w:hAnsi="宋体" w:eastAsia="宋体"/>
          <w:color w:val="000000" w:themeColor="text1"/>
          <w:sz w:val="28"/>
          <w:szCs w:val="28"/>
          <w:highlight w:val="none"/>
          <w14:textFill>
            <w14:solidFill>
              <w14:schemeClr w14:val="tx1"/>
            </w14:solidFill>
          </w14:textFill>
        </w:rPr>
        <w:t>附件十：谈判供应商提交的其他资料</w:t>
      </w:r>
      <w:bookmarkEnd w:id="246"/>
      <w:bookmarkEnd w:id="247"/>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jc w:val="left"/>
        <w:rPr>
          <w:rFonts w:ascii="宋体" w:hAnsi="宋体"/>
          <w:b/>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项目名称：</w:t>
      </w:r>
    </w:p>
    <w:p>
      <w:pPr>
        <w:adjustRightInd w:val="0"/>
        <w:snapToGrid w:val="0"/>
        <w:spacing w:line="360" w:lineRule="auto"/>
        <w:jc w:val="left"/>
        <w:rPr>
          <w:rFonts w:ascii="宋体" w:hAnsi="宋体"/>
          <w:bCs/>
          <w:color w:val="000000" w:themeColor="text1"/>
          <w:szCs w:val="21"/>
          <w:highlight w:val="none"/>
          <w:u w:val="single"/>
          <w14:textFill>
            <w14:solidFill>
              <w14:schemeClr w14:val="tx1"/>
            </w14:solidFill>
          </w14:textFill>
        </w:rPr>
      </w:pPr>
    </w:p>
    <w:p>
      <w:pPr>
        <w:pStyle w:val="2"/>
        <w:spacing w:line="360" w:lineRule="auto"/>
        <w:rPr>
          <w:rFonts w:ascii="宋体" w:hAnsi="宋体"/>
          <w:color w:val="000000" w:themeColor="text1"/>
          <w:szCs w:val="21"/>
          <w:highlight w:val="none"/>
          <w14:textFill>
            <w14:solidFill>
              <w14:schemeClr w14:val="tx1"/>
            </w14:solidFill>
          </w14:textFill>
        </w:rPr>
      </w:pP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本节无格式要求，供应商可根据自身实际情况以及谈判文件规定的“谈判采购项目要求”等进行编制。</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一、</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二、</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ascii="宋体" w:hAnsi="宋体"/>
          <w:bCs/>
          <w:color w:val="000000" w:themeColor="text1"/>
          <w:szCs w:val="21"/>
          <w:highlight w:val="none"/>
          <w14:textFill>
            <w14:solidFill>
              <w14:schemeClr w14:val="tx1"/>
            </w14:solidFill>
          </w14:textFill>
        </w:rPr>
        <w:t>...</w:t>
      </w:r>
    </w:p>
    <w:p>
      <w:pPr>
        <w:pStyle w:val="2"/>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ascii="宋体" w:hAnsi="宋体"/>
          <w:bCs/>
          <w:color w:val="000000" w:themeColor="text1"/>
          <w:szCs w:val="21"/>
          <w:highlight w:val="none"/>
          <w14:textFill>
            <w14:solidFill>
              <w14:schemeClr w14:val="tx1"/>
            </w14:solidFill>
          </w14:textFill>
        </w:rPr>
        <w:t>...</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2"/>
        <w:spacing w:line="360" w:lineRule="auto"/>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（供应商认为本节无须提交的，应当注明“本节空白”字样）。</w:t>
      </w: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2"/>
        <w:spacing w:line="360" w:lineRule="auto"/>
        <w:rPr>
          <w:rFonts w:ascii="宋体" w:hAnsi="宋体"/>
          <w:color w:val="000000" w:themeColor="text1"/>
          <w:highlight w:val="none"/>
          <w14:textFill>
            <w14:solidFill>
              <w14:schemeClr w14:val="tx1"/>
            </w14:solidFill>
          </w14:textFill>
        </w:rPr>
      </w:pPr>
    </w:p>
    <w:p>
      <w:pPr>
        <w:pStyle w:val="4"/>
        <w:numPr>
          <w:ilvl w:val="1"/>
          <w:numId w:val="0"/>
        </w:numPr>
        <w:spacing w:line="360" w:lineRule="auto"/>
        <w:jc w:val="center"/>
        <w:rPr>
          <w:rFonts w:ascii="宋体" w:hAnsi="宋体" w:eastAsia="宋体"/>
          <w:color w:val="000000" w:themeColor="text1"/>
          <w:sz w:val="52"/>
          <w:highlight w:val="none"/>
          <w14:textFill>
            <w14:solidFill>
              <w14:schemeClr w14:val="tx1"/>
            </w14:solidFill>
          </w14:textFill>
        </w:rPr>
      </w:pPr>
      <w:bookmarkStart w:id="248" w:name="_Toc434832511"/>
      <w:bookmarkStart w:id="249" w:name="_Toc4603"/>
      <w:r>
        <w:rPr>
          <w:rFonts w:hint="eastAsia" w:ascii="宋体" w:hAnsi="宋体" w:eastAsia="宋体"/>
          <w:color w:val="000000" w:themeColor="text1"/>
          <w:sz w:val="52"/>
          <w:highlight w:val="none"/>
          <w14:textFill>
            <w14:solidFill>
              <w14:schemeClr w14:val="tx1"/>
            </w14:solidFill>
          </w14:textFill>
        </w:rPr>
        <w:t>其 他 格 式</w:t>
      </w:r>
      <w:bookmarkEnd w:id="248"/>
      <w:bookmarkEnd w:id="249"/>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（以下文件勿装订在谈判文件内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rFonts w:ascii="宋体" w:hAnsi="宋体"/>
          <w:color w:val="000000" w:themeColor="text1"/>
          <w:sz w:val="28"/>
          <w:highlight w:val="none"/>
          <w14:textFill>
            <w14:solidFill>
              <w14:schemeClr w14:val="tx1"/>
            </w14:solidFill>
          </w14:textFill>
        </w:rPr>
      </w:pPr>
      <w:bookmarkStart w:id="250" w:name="_Toc13208"/>
      <w:r>
        <w:rPr>
          <w:rFonts w:hint="eastAsia" w:ascii="宋体" w:hAnsi="宋体"/>
          <w:color w:val="000000" w:themeColor="text1"/>
          <w:sz w:val="28"/>
          <w:highlight w:val="none"/>
          <w14:textFill>
            <w14:solidFill>
              <w14:schemeClr w14:val="tx1"/>
            </w14:solidFill>
          </w14:textFill>
        </w:rPr>
        <w:t>投标保证金退付书</w:t>
      </w:r>
      <w:bookmarkEnd w:id="250"/>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在符合退还条件时请代划入下列账户：</w:t>
      </w:r>
    </w:p>
    <w:tbl>
      <w:tblPr>
        <w:tblStyle w:val="42"/>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287" w:type="dxa"/>
            <w:gridSpan w:val="2"/>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w:t>
            </w: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开户银行</w:t>
            </w:r>
            <w:r>
              <w:rPr>
                <w:rStyle w:val="79"/>
                <w:rFonts w:ascii="宋体" w:hAnsi="宋体" w:eastAsia="宋体"/>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spacing w:line="360" w:lineRule="auto"/>
              <w:ind w:right="206" w:rightChars="98" w:firstLine="460" w:firstLineChars="200"/>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spacing w:line="360" w:lineRule="auto"/>
              <w:ind w:right="206" w:rightChars="98"/>
              <w:jc w:val="center"/>
              <w:rPr>
                <w:rStyle w:val="79"/>
                <w:rFonts w:ascii="宋体" w:hAnsi="宋体" w:eastAsia="宋体"/>
                <w:color w:val="000000" w:themeColor="text1"/>
                <w:spacing w:val="10"/>
                <w:sz w:val="21"/>
                <w:szCs w:val="21"/>
                <w:highlight w:val="none"/>
                <w:u w:val="single"/>
                <w:lang w:val="zh-CN"/>
                <w14:textFill>
                  <w14:solidFill>
                    <w14:schemeClr w14:val="tx1"/>
                  </w14:solidFill>
                </w14:textFill>
              </w:rPr>
            </w:pPr>
            <w:r>
              <w:rPr>
                <w:rStyle w:val="79"/>
                <w:rFonts w:ascii="宋体" w:hAnsi="宋体" w:eastAsia="宋体"/>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Fonts w:ascii="宋体" w:hAnsi="宋体"/>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r>
              <w:rPr>
                <w:rStyle w:val="79"/>
                <w:rFonts w:ascii="宋体" w:hAnsi="宋体" w:eastAsia="宋体"/>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2836" w:type="dxa"/>
            <w:vMerge w:val="continue"/>
          </w:tcPr>
          <w:p>
            <w:pPr>
              <w:spacing w:line="360" w:lineRule="auto"/>
              <w:ind w:right="206" w:rightChars="98"/>
              <w:jc w:val="center"/>
              <w:rPr>
                <w:rStyle w:val="79"/>
                <w:rFonts w:ascii="宋体" w:hAnsi="宋体" w:eastAsia="宋体"/>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c>
          <w:tcPr>
            <w:tcW w:w="1481" w:type="dxa"/>
            <w:vAlign w:val="center"/>
          </w:tcPr>
          <w:p>
            <w:pPr>
              <w:spacing w:line="360" w:lineRule="auto"/>
              <w:ind w:right="206" w:rightChars="98"/>
              <w:jc w:val="center"/>
              <w:rPr>
                <w:rStyle w:val="79"/>
                <w:rFonts w:ascii="宋体" w:hAnsi="宋体" w:eastAsia="宋体"/>
                <w:color w:val="000000" w:themeColor="text1"/>
                <w:spacing w:val="10"/>
                <w:sz w:val="21"/>
                <w:szCs w:val="21"/>
                <w:highlight w:val="none"/>
                <w:lang w:val="zh-CN"/>
                <w14:textFill>
                  <w14:solidFill>
                    <w14:schemeClr w14:val="tx1"/>
                  </w14:solidFill>
                </w14:textFill>
              </w:rPr>
            </w:pPr>
            <w:r>
              <w:rPr>
                <w:rStyle w:val="79"/>
                <w:rFonts w:ascii="宋体" w:hAnsi="宋体" w:eastAsia="宋体"/>
                <w:color w:val="000000" w:themeColor="text1"/>
                <w:spacing w:val="10"/>
                <w:sz w:val="21"/>
                <w:szCs w:val="21"/>
                <w:highlight w:val="none"/>
                <w:lang w:val="zh-CN"/>
                <w14:textFill>
                  <w14:solidFill>
                    <w14:schemeClr w14:val="tx1"/>
                  </w14:solidFill>
                </w14:textFill>
              </w:rPr>
              <w:t>传真</w:t>
            </w:r>
          </w:p>
        </w:tc>
        <w:tc>
          <w:tcPr>
            <w:tcW w:w="3116" w:type="dxa"/>
            <w:vAlign w:val="center"/>
          </w:tcPr>
          <w:p>
            <w:pPr>
              <w:spacing w:line="360" w:lineRule="auto"/>
              <w:ind w:right="206" w:rightChars="98"/>
              <w:rPr>
                <w:rStyle w:val="79"/>
                <w:rFonts w:ascii="宋体" w:hAnsi="宋体" w:eastAsia="宋体"/>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2"/>
        <w:tblW w:w="8429"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429"/>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8429"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ascii="宋体" w:hAnsi="宋体"/>
          <w:color w:val="000000" w:themeColor="text1"/>
          <w:szCs w:val="21"/>
          <w:highlight w:val="none"/>
          <w:u w:val="single"/>
          <w14:textFill>
            <w14:solidFill>
              <w14:schemeClr w14:val="tx1"/>
            </w14:solidFill>
          </w14:textFill>
        </w:rPr>
        <w:t xml:space="preserve">         （公司名称）          </w:t>
      </w:r>
      <w:r>
        <w:rPr>
          <w:rFonts w:hint="eastAsia" w:ascii="宋体" w:hAnsi="宋体"/>
          <w:color w:val="000000" w:themeColor="text1"/>
          <w:szCs w:val="21"/>
          <w:highlight w:val="none"/>
          <w14:textFill>
            <w14:solidFill>
              <w14:schemeClr w14:val="tx1"/>
            </w14:solidFill>
          </w14:textFill>
        </w:rPr>
        <w:t>（盖公章）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2"/>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rPr>
          <w:rFonts w:hint="eastAsia" w:ascii="宋体" w:hAnsi="宋体"/>
          <w:b/>
          <w:color w:val="000000" w:themeColor="text1"/>
          <w:sz w:val="24"/>
          <w:highlight w:val="none"/>
          <w14:textFill>
            <w14:solidFill>
              <w14:schemeClr w14:val="tx1"/>
            </w14:solidFill>
          </w14:textFill>
        </w:rPr>
      </w:pPr>
    </w:p>
    <w:p>
      <w:pPr>
        <w:pStyle w:val="2"/>
        <w:ind w:left="0" w:leftChars="0" w:firstLine="0" w:firstLineChars="0"/>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8"/>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8"/>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8"/>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8"/>
        <w:spacing w:before="0" w:beforeAutospacing="0" w:after="0" w:afterAutospacing="0" w:line="360" w:lineRule="auto"/>
        <w:jc w:val="center"/>
        <w:rPr>
          <w:rStyle w:val="45"/>
          <w:color w:val="000000" w:themeColor="text1"/>
          <w:highlight w:val="none"/>
          <w14:textFill>
            <w14:solidFill>
              <w14:schemeClr w14:val="tx1"/>
            </w14:solidFill>
          </w14:textFill>
        </w:rPr>
      </w:pPr>
      <w:r>
        <w:rPr>
          <w:rStyle w:val="45"/>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sectPr>
      <w:headerReference r:id="rId9"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iti SC Light">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6"/>
      </w:rPr>
    </w:pPr>
    <w:r>
      <w:fldChar w:fldCharType="begin"/>
    </w:r>
    <w:r>
      <w:rPr>
        <w:rStyle w:val="46"/>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150"/>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1">
    <w:nsid w:val="04E751C0"/>
    <w:multiLevelType w:val="multilevel"/>
    <w:tmpl w:val="04E751C0"/>
    <w:lvl w:ilvl="0" w:tentative="0">
      <w:start w:val="2"/>
      <w:numFmt w:val="decimal"/>
      <w:pStyle w:val="14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105A0FD2"/>
    <w:multiLevelType w:val="multilevel"/>
    <w:tmpl w:val="105A0FD2"/>
    <w:lvl w:ilvl="0" w:tentative="0">
      <w:start w:val="1"/>
      <w:numFmt w:val="chineseCountingThousand"/>
      <w:pStyle w:val="142"/>
      <w:lvlText w:val="%1、"/>
      <w:lvlJc w:val="left"/>
      <w:pPr>
        <w:tabs>
          <w:tab w:val="left" w:pos="420"/>
        </w:tabs>
        <w:ind w:left="420" w:hanging="420"/>
      </w:pPr>
      <w:rPr>
        <w:lang w:val="en-US"/>
      </w:rPr>
    </w:lvl>
    <w:lvl w:ilvl="1" w:tentative="0">
      <w:start w:val="1"/>
      <w:numFmt w:val="lowerLetter"/>
      <w:lvlText w:val="%2)"/>
      <w:lvlJc w:val="left"/>
      <w:pPr>
        <w:tabs>
          <w:tab w:val="left" w:pos="840"/>
        </w:tabs>
        <w:ind w:left="840" w:hanging="420"/>
      </w:pPr>
    </w:lvl>
    <w:lvl w:ilvl="2" w:tentative="0">
      <w:start w:val="4"/>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4">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3007FA"/>
    <w:multiLevelType w:val="multilevel"/>
    <w:tmpl w:val="2F3007F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1"/>
      <w:numFmt w:val="decimal"/>
      <w:lvlText w:val="（%3）"/>
      <w:lvlJc w:val="left"/>
      <w:pPr>
        <w:tabs>
          <w:tab w:val="left" w:pos="2838"/>
        </w:tabs>
        <w:ind w:left="2838" w:hanging="720"/>
      </w:pPr>
      <w:rPr>
        <w:rFonts w:hint="eastAsia"/>
      </w:rPr>
    </w:lvl>
    <w:lvl w:ilvl="3" w:tentative="0">
      <w:start w:val="1"/>
      <w:numFmt w:val="decimal"/>
      <w:lvlText w:val="%4."/>
      <w:lvlJc w:val="left"/>
      <w:pPr>
        <w:tabs>
          <w:tab w:val="left" w:pos="2958"/>
        </w:tabs>
        <w:ind w:left="2958" w:hanging="420"/>
      </w:p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37E05C58"/>
    <w:multiLevelType w:val="multilevel"/>
    <w:tmpl w:val="37E05C58"/>
    <w:lvl w:ilvl="0" w:tentative="0">
      <w:start w:val="2"/>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8">
    <w:nsid w:val="442616A1"/>
    <w:multiLevelType w:val="multilevel"/>
    <w:tmpl w:val="442616A1"/>
    <w:lvl w:ilvl="0" w:tentative="0">
      <w:start w:val="6"/>
      <w:numFmt w:val="decimal"/>
      <w:lvlText w:val="%1"/>
      <w:lvlJc w:val="left"/>
      <w:pPr>
        <w:tabs>
          <w:tab w:val="left" w:pos="360"/>
        </w:tabs>
        <w:ind w:left="360" w:hanging="360"/>
      </w:pPr>
      <w:rPr>
        <w:rFonts w:hint="eastAsia" w:hAnsi="Times New Roman"/>
        <w:color w:val="000000"/>
      </w:rPr>
    </w:lvl>
    <w:lvl w:ilvl="1" w:tentative="0">
      <w:start w:val="2"/>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9">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29C5F43"/>
    <w:multiLevelType w:val="multilevel"/>
    <w:tmpl w:val="529C5F43"/>
    <w:lvl w:ilvl="0" w:tentative="0">
      <w:start w:val="15"/>
      <w:numFmt w:val="decimal"/>
      <w:lvlText w:val="%1"/>
      <w:lvlJc w:val="left"/>
      <w:pPr>
        <w:tabs>
          <w:tab w:val="left" w:pos="630"/>
        </w:tabs>
        <w:ind w:left="630" w:hanging="630"/>
      </w:pPr>
      <w:rPr>
        <w:rFonts w:hint="eastAsia"/>
      </w:rPr>
    </w:lvl>
    <w:lvl w:ilvl="1" w:tentative="0">
      <w:start w:val="1"/>
      <w:numFmt w:val="decimal"/>
      <w:lvlText w:val="%1.%2"/>
      <w:lvlJc w:val="left"/>
      <w:pPr>
        <w:tabs>
          <w:tab w:val="left" w:pos="630"/>
        </w:tabs>
        <w:ind w:left="630" w:hanging="630"/>
      </w:pPr>
      <w:rPr>
        <w:rFonts w:hint="eastAsia" w:ascii="宋体" w:hAnsi="宋体" w:eastAsia="宋体"/>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12">
    <w:nsid w:val="5807494E"/>
    <w:multiLevelType w:val="multilevel"/>
    <w:tmpl w:val="5807494E"/>
    <w:lvl w:ilvl="0" w:tentative="0">
      <w:start w:val="7"/>
      <w:numFmt w:val="decimal"/>
      <w:lvlText w:val="%1"/>
      <w:lvlJc w:val="left"/>
      <w:pPr>
        <w:tabs>
          <w:tab w:val="left" w:pos="360"/>
        </w:tabs>
        <w:ind w:left="360" w:hanging="360"/>
      </w:pPr>
      <w:rPr>
        <w:rFonts w:hint="eastAsia" w:hAnsi="Times New Roman"/>
        <w:color w:val="000000"/>
      </w:rPr>
    </w:lvl>
    <w:lvl w:ilvl="1" w:tentative="0">
      <w:start w:val="3"/>
      <w:numFmt w:val="decimal"/>
      <w:lvlText w:val="%1.%2"/>
      <w:lvlJc w:val="left"/>
      <w:pPr>
        <w:tabs>
          <w:tab w:val="left" w:pos="360"/>
        </w:tabs>
        <w:ind w:left="360" w:hanging="360"/>
      </w:pPr>
      <w:rPr>
        <w:rFonts w:hint="eastAsia" w:hAnsi="Times New Roman"/>
        <w:color w:val="000000"/>
      </w:rPr>
    </w:lvl>
    <w:lvl w:ilvl="2" w:tentative="0">
      <w:start w:val="1"/>
      <w:numFmt w:val="decimal"/>
      <w:lvlText w:val="%1.%2.%3"/>
      <w:lvlJc w:val="left"/>
      <w:pPr>
        <w:tabs>
          <w:tab w:val="left" w:pos="720"/>
        </w:tabs>
        <w:ind w:left="720" w:hanging="720"/>
      </w:pPr>
      <w:rPr>
        <w:rFonts w:hint="eastAsia" w:hAnsi="Times New Roman"/>
        <w:color w:val="000000"/>
      </w:rPr>
    </w:lvl>
    <w:lvl w:ilvl="3" w:tentative="0">
      <w:start w:val="1"/>
      <w:numFmt w:val="decimal"/>
      <w:lvlText w:val="%1.%2.%3.%4"/>
      <w:lvlJc w:val="left"/>
      <w:pPr>
        <w:tabs>
          <w:tab w:val="left" w:pos="1080"/>
        </w:tabs>
        <w:ind w:left="1080" w:hanging="1080"/>
      </w:pPr>
      <w:rPr>
        <w:rFonts w:hint="eastAsia" w:hAnsi="Times New Roman"/>
        <w:color w:val="000000"/>
      </w:rPr>
    </w:lvl>
    <w:lvl w:ilvl="4" w:tentative="0">
      <w:start w:val="1"/>
      <w:numFmt w:val="decimal"/>
      <w:lvlText w:val="%1.%2.%3.%4.%5"/>
      <w:lvlJc w:val="left"/>
      <w:pPr>
        <w:tabs>
          <w:tab w:val="left" w:pos="1080"/>
        </w:tabs>
        <w:ind w:left="1080" w:hanging="1080"/>
      </w:pPr>
      <w:rPr>
        <w:rFonts w:hint="eastAsia" w:hAnsi="Times New Roman"/>
        <w:color w:val="000000"/>
      </w:rPr>
    </w:lvl>
    <w:lvl w:ilvl="5" w:tentative="0">
      <w:start w:val="1"/>
      <w:numFmt w:val="decimal"/>
      <w:lvlText w:val="%1.%2.%3.%4.%5.%6"/>
      <w:lvlJc w:val="left"/>
      <w:pPr>
        <w:tabs>
          <w:tab w:val="left" w:pos="1440"/>
        </w:tabs>
        <w:ind w:left="1440" w:hanging="1440"/>
      </w:pPr>
      <w:rPr>
        <w:rFonts w:hint="eastAsia" w:hAnsi="Times New Roman"/>
        <w:color w:val="000000"/>
      </w:rPr>
    </w:lvl>
    <w:lvl w:ilvl="6" w:tentative="0">
      <w:start w:val="1"/>
      <w:numFmt w:val="decimal"/>
      <w:lvlText w:val="%1.%2.%3.%4.%5.%6.%7"/>
      <w:lvlJc w:val="left"/>
      <w:pPr>
        <w:tabs>
          <w:tab w:val="left" w:pos="1440"/>
        </w:tabs>
        <w:ind w:left="1440" w:hanging="1440"/>
      </w:pPr>
      <w:rPr>
        <w:rFonts w:hint="eastAsia" w:hAnsi="Times New Roman"/>
        <w:color w:val="000000"/>
      </w:rPr>
    </w:lvl>
    <w:lvl w:ilvl="7" w:tentative="0">
      <w:start w:val="1"/>
      <w:numFmt w:val="decimal"/>
      <w:lvlText w:val="%1.%2.%3.%4.%5.%6.%7.%8"/>
      <w:lvlJc w:val="left"/>
      <w:pPr>
        <w:tabs>
          <w:tab w:val="left" w:pos="1800"/>
        </w:tabs>
        <w:ind w:left="1800" w:hanging="1800"/>
      </w:pPr>
      <w:rPr>
        <w:rFonts w:hint="eastAsia" w:hAnsi="Times New Roman"/>
        <w:color w:val="000000"/>
      </w:rPr>
    </w:lvl>
    <w:lvl w:ilvl="8" w:tentative="0">
      <w:start w:val="1"/>
      <w:numFmt w:val="decimal"/>
      <w:lvlText w:val="%1.%2.%3.%4.%5.%6.%7.%8.%9"/>
      <w:lvlJc w:val="left"/>
      <w:pPr>
        <w:tabs>
          <w:tab w:val="left" w:pos="1800"/>
        </w:tabs>
        <w:ind w:left="1800" w:hanging="1800"/>
      </w:pPr>
      <w:rPr>
        <w:rFonts w:hint="eastAsia" w:hAnsi="Times New Roman"/>
        <w:color w:val="000000"/>
      </w:rPr>
    </w:lvl>
  </w:abstractNum>
  <w:abstractNum w:abstractNumId="13">
    <w:nsid w:val="676D1F6B"/>
    <w:multiLevelType w:val="multilevel"/>
    <w:tmpl w:val="676D1F6B"/>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690B1CDA"/>
    <w:multiLevelType w:val="multilevel"/>
    <w:tmpl w:val="690B1CDA"/>
    <w:lvl w:ilvl="0" w:tentative="0">
      <w:start w:val="1"/>
      <w:numFmt w:val="japaneseCounting"/>
      <w:pStyle w:val="132"/>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5">
    <w:nsid w:val="749B2552"/>
    <w:multiLevelType w:val="singleLevel"/>
    <w:tmpl w:val="749B2552"/>
    <w:lvl w:ilvl="0" w:tentative="0">
      <w:start w:val="1"/>
      <w:numFmt w:val="decimal"/>
      <w:lvlText w:val="%1."/>
      <w:lvlJc w:val="left"/>
      <w:pPr>
        <w:tabs>
          <w:tab w:val="left" w:pos="425"/>
        </w:tabs>
        <w:ind w:left="425" w:hanging="425"/>
      </w:pPr>
      <w:rPr>
        <w:rFonts w:hint="eastAsia" w:ascii="宋体" w:hAnsi="宋体" w:eastAsia="宋体"/>
      </w:rPr>
    </w:lvl>
  </w:abstractNum>
  <w:abstractNum w:abstractNumId="16">
    <w:nsid w:val="78314949"/>
    <w:multiLevelType w:val="multilevel"/>
    <w:tmpl w:val="78314949"/>
    <w:lvl w:ilvl="0" w:tentative="0">
      <w:start w:val="12"/>
      <w:numFmt w:val="decimal"/>
      <w:lvlText w:val="%1"/>
      <w:lvlJc w:val="left"/>
      <w:pPr>
        <w:ind w:left="420" w:hanging="420"/>
      </w:pPr>
      <w:rPr>
        <w:rFonts w:hint="default"/>
      </w:rPr>
    </w:lvl>
    <w:lvl w:ilvl="1" w:tentative="0">
      <w:start w:val="3"/>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3"/>
  </w:num>
  <w:num w:numId="2">
    <w:abstractNumId w:val="14"/>
  </w:num>
  <w:num w:numId="3">
    <w:abstractNumId w:val="2"/>
  </w:num>
  <w:num w:numId="4">
    <w:abstractNumId w:val="1"/>
  </w:num>
  <w:num w:numId="5">
    <w:abstractNumId w:val="0"/>
  </w:num>
  <w:num w:numId="6">
    <w:abstractNumId w:val="4"/>
  </w:num>
  <w:num w:numId="7">
    <w:abstractNumId w:val="7"/>
  </w:num>
  <w:num w:numId="8">
    <w:abstractNumId w:val="8"/>
  </w:num>
  <w:num w:numId="9">
    <w:abstractNumId w:val="12"/>
  </w:num>
  <w:num w:numId="10">
    <w:abstractNumId w:val="10"/>
  </w:num>
  <w:num w:numId="11">
    <w:abstractNumId w:val="16"/>
  </w:num>
  <w:num w:numId="12">
    <w:abstractNumId w:val="11"/>
  </w:num>
  <w:num w:numId="13">
    <w:abstractNumId w:val="5"/>
  </w:num>
  <w:num w:numId="14">
    <w:abstractNumId w:val="6"/>
  </w:num>
  <w:num w:numId="15">
    <w:abstractNumId w:val="9"/>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3EC"/>
    <w:rsid w:val="00000C7F"/>
    <w:rsid w:val="00000CDA"/>
    <w:rsid w:val="00000E9F"/>
    <w:rsid w:val="000012B3"/>
    <w:rsid w:val="000013AE"/>
    <w:rsid w:val="000018DB"/>
    <w:rsid w:val="000019D4"/>
    <w:rsid w:val="000020EE"/>
    <w:rsid w:val="000030EC"/>
    <w:rsid w:val="0000339F"/>
    <w:rsid w:val="0000391B"/>
    <w:rsid w:val="0000392E"/>
    <w:rsid w:val="00003DE4"/>
    <w:rsid w:val="000049BA"/>
    <w:rsid w:val="00004A27"/>
    <w:rsid w:val="00005FCB"/>
    <w:rsid w:val="000062F0"/>
    <w:rsid w:val="000065AA"/>
    <w:rsid w:val="00007C9D"/>
    <w:rsid w:val="00007D36"/>
    <w:rsid w:val="00010614"/>
    <w:rsid w:val="00011381"/>
    <w:rsid w:val="00011688"/>
    <w:rsid w:val="000120FB"/>
    <w:rsid w:val="000127D7"/>
    <w:rsid w:val="00012CEB"/>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DA"/>
    <w:rsid w:val="000216E1"/>
    <w:rsid w:val="00021C76"/>
    <w:rsid w:val="00021CA5"/>
    <w:rsid w:val="00022C80"/>
    <w:rsid w:val="00022FCF"/>
    <w:rsid w:val="00023F2E"/>
    <w:rsid w:val="00024523"/>
    <w:rsid w:val="00024860"/>
    <w:rsid w:val="000248E7"/>
    <w:rsid w:val="000268CD"/>
    <w:rsid w:val="00026FC3"/>
    <w:rsid w:val="000278C1"/>
    <w:rsid w:val="00027BD5"/>
    <w:rsid w:val="00027E73"/>
    <w:rsid w:val="0003063D"/>
    <w:rsid w:val="00030865"/>
    <w:rsid w:val="00031768"/>
    <w:rsid w:val="00032300"/>
    <w:rsid w:val="0003240C"/>
    <w:rsid w:val="00032A2C"/>
    <w:rsid w:val="0003413E"/>
    <w:rsid w:val="00034518"/>
    <w:rsid w:val="00034573"/>
    <w:rsid w:val="00034E6E"/>
    <w:rsid w:val="00036ABE"/>
    <w:rsid w:val="000377F0"/>
    <w:rsid w:val="00040462"/>
    <w:rsid w:val="00040736"/>
    <w:rsid w:val="0004087D"/>
    <w:rsid w:val="0004093F"/>
    <w:rsid w:val="00040FEE"/>
    <w:rsid w:val="000413C6"/>
    <w:rsid w:val="000415D4"/>
    <w:rsid w:val="00041A63"/>
    <w:rsid w:val="0004277B"/>
    <w:rsid w:val="00043105"/>
    <w:rsid w:val="00043EBB"/>
    <w:rsid w:val="000453A8"/>
    <w:rsid w:val="0004611C"/>
    <w:rsid w:val="00046265"/>
    <w:rsid w:val="00046FB6"/>
    <w:rsid w:val="00047144"/>
    <w:rsid w:val="00047B7B"/>
    <w:rsid w:val="00050048"/>
    <w:rsid w:val="000502DE"/>
    <w:rsid w:val="00051247"/>
    <w:rsid w:val="00051476"/>
    <w:rsid w:val="00055140"/>
    <w:rsid w:val="00055BE2"/>
    <w:rsid w:val="00055E36"/>
    <w:rsid w:val="00055F28"/>
    <w:rsid w:val="000562D3"/>
    <w:rsid w:val="000571EB"/>
    <w:rsid w:val="0005770B"/>
    <w:rsid w:val="00057B85"/>
    <w:rsid w:val="00057F61"/>
    <w:rsid w:val="00060245"/>
    <w:rsid w:val="0006027D"/>
    <w:rsid w:val="0006054E"/>
    <w:rsid w:val="00060689"/>
    <w:rsid w:val="000614F6"/>
    <w:rsid w:val="00061ADA"/>
    <w:rsid w:val="00062546"/>
    <w:rsid w:val="00063214"/>
    <w:rsid w:val="00064185"/>
    <w:rsid w:val="00064276"/>
    <w:rsid w:val="000642CD"/>
    <w:rsid w:val="00064416"/>
    <w:rsid w:val="000649DE"/>
    <w:rsid w:val="000652FF"/>
    <w:rsid w:val="00066B7A"/>
    <w:rsid w:val="000673CC"/>
    <w:rsid w:val="0007084F"/>
    <w:rsid w:val="00070D3D"/>
    <w:rsid w:val="00070DCE"/>
    <w:rsid w:val="0007120B"/>
    <w:rsid w:val="00071508"/>
    <w:rsid w:val="00072509"/>
    <w:rsid w:val="00072C00"/>
    <w:rsid w:val="00075961"/>
    <w:rsid w:val="00075BA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5D86"/>
    <w:rsid w:val="0008670A"/>
    <w:rsid w:val="000874DB"/>
    <w:rsid w:val="00087F54"/>
    <w:rsid w:val="00090CB0"/>
    <w:rsid w:val="000911A1"/>
    <w:rsid w:val="00091739"/>
    <w:rsid w:val="000936BB"/>
    <w:rsid w:val="00093E9C"/>
    <w:rsid w:val="00093F6F"/>
    <w:rsid w:val="000940E1"/>
    <w:rsid w:val="000945D5"/>
    <w:rsid w:val="00094C2A"/>
    <w:rsid w:val="000950C1"/>
    <w:rsid w:val="00095BE6"/>
    <w:rsid w:val="000960A6"/>
    <w:rsid w:val="000A025A"/>
    <w:rsid w:val="000A040E"/>
    <w:rsid w:val="000A1A04"/>
    <w:rsid w:val="000A1AD0"/>
    <w:rsid w:val="000A24B9"/>
    <w:rsid w:val="000A2BBF"/>
    <w:rsid w:val="000A4F7A"/>
    <w:rsid w:val="000A54CF"/>
    <w:rsid w:val="000A588E"/>
    <w:rsid w:val="000A70BC"/>
    <w:rsid w:val="000A7472"/>
    <w:rsid w:val="000A7A96"/>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2E4"/>
    <w:rsid w:val="000C23B2"/>
    <w:rsid w:val="000C2A07"/>
    <w:rsid w:val="000C3069"/>
    <w:rsid w:val="000C41BC"/>
    <w:rsid w:val="000C4379"/>
    <w:rsid w:val="000C4614"/>
    <w:rsid w:val="000C464F"/>
    <w:rsid w:val="000C63CB"/>
    <w:rsid w:val="000C6B06"/>
    <w:rsid w:val="000C6E00"/>
    <w:rsid w:val="000D0D31"/>
    <w:rsid w:val="000D0E1F"/>
    <w:rsid w:val="000D11B4"/>
    <w:rsid w:val="000D1822"/>
    <w:rsid w:val="000D2AA9"/>
    <w:rsid w:val="000D2F76"/>
    <w:rsid w:val="000D3682"/>
    <w:rsid w:val="000D3D03"/>
    <w:rsid w:val="000D3D55"/>
    <w:rsid w:val="000D3F6A"/>
    <w:rsid w:val="000D4196"/>
    <w:rsid w:val="000D47B2"/>
    <w:rsid w:val="000D4CC4"/>
    <w:rsid w:val="000D53F2"/>
    <w:rsid w:val="000D5955"/>
    <w:rsid w:val="000D5A26"/>
    <w:rsid w:val="000D5DB7"/>
    <w:rsid w:val="000D5FCC"/>
    <w:rsid w:val="000D5FFF"/>
    <w:rsid w:val="000D675C"/>
    <w:rsid w:val="000D693D"/>
    <w:rsid w:val="000D69E5"/>
    <w:rsid w:val="000D75D0"/>
    <w:rsid w:val="000D7675"/>
    <w:rsid w:val="000E07CB"/>
    <w:rsid w:val="000E0DA9"/>
    <w:rsid w:val="000E1026"/>
    <w:rsid w:val="000E19C9"/>
    <w:rsid w:val="000E1BC0"/>
    <w:rsid w:val="000E1F01"/>
    <w:rsid w:val="000E3AD6"/>
    <w:rsid w:val="000E479C"/>
    <w:rsid w:val="000E5AA4"/>
    <w:rsid w:val="000E6271"/>
    <w:rsid w:val="000E659F"/>
    <w:rsid w:val="000E6769"/>
    <w:rsid w:val="000E6DDE"/>
    <w:rsid w:val="000E6EB5"/>
    <w:rsid w:val="000E7227"/>
    <w:rsid w:val="000E72E6"/>
    <w:rsid w:val="000E7602"/>
    <w:rsid w:val="000E7755"/>
    <w:rsid w:val="000F02D5"/>
    <w:rsid w:val="000F02E4"/>
    <w:rsid w:val="000F0471"/>
    <w:rsid w:val="000F079F"/>
    <w:rsid w:val="000F0819"/>
    <w:rsid w:val="000F21A3"/>
    <w:rsid w:val="000F2C2E"/>
    <w:rsid w:val="000F2E56"/>
    <w:rsid w:val="000F35D4"/>
    <w:rsid w:val="000F37D8"/>
    <w:rsid w:val="000F3B33"/>
    <w:rsid w:val="000F3FC1"/>
    <w:rsid w:val="000F4808"/>
    <w:rsid w:val="000F5823"/>
    <w:rsid w:val="000F623B"/>
    <w:rsid w:val="000F67BA"/>
    <w:rsid w:val="000F6885"/>
    <w:rsid w:val="00100929"/>
    <w:rsid w:val="00100A59"/>
    <w:rsid w:val="00100A85"/>
    <w:rsid w:val="00100B16"/>
    <w:rsid w:val="001013B4"/>
    <w:rsid w:val="001017F3"/>
    <w:rsid w:val="00101823"/>
    <w:rsid w:val="001028F3"/>
    <w:rsid w:val="00103847"/>
    <w:rsid w:val="00104089"/>
    <w:rsid w:val="00104A82"/>
    <w:rsid w:val="00104AF0"/>
    <w:rsid w:val="00104ED8"/>
    <w:rsid w:val="00105209"/>
    <w:rsid w:val="00105FB8"/>
    <w:rsid w:val="00106103"/>
    <w:rsid w:val="00106113"/>
    <w:rsid w:val="00106A6A"/>
    <w:rsid w:val="00106EB1"/>
    <w:rsid w:val="0010713D"/>
    <w:rsid w:val="00107366"/>
    <w:rsid w:val="001101C6"/>
    <w:rsid w:val="00110AD0"/>
    <w:rsid w:val="0011110A"/>
    <w:rsid w:val="001116CC"/>
    <w:rsid w:val="00112609"/>
    <w:rsid w:val="001126F0"/>
    <w:rsid w:val="001132C8"/>
    <w:rsid w:val="00113B4C"/>
    <w:rsid w:val="00113D8F"/>
    <w:rsid w:val="00113E15"/>
    <w:rsid w:val="00114861"/>
    <w:rsid w:val="001149BA"/>
    <w:rsid w:val="00114B2A"/>
    <w:rsid w:val="00114E2F"/>
    <w:rsid w:val="001151E8"/>
    <w:rsid w:val="00115967"/>
    <w:rsid w:val="00116191"/>
    <w:rsid w:val="00116441"/>
    <w:rsid w:val="00116E35"/>
    <w:rsid w:val="0011743D"/>
    <w:rsid w:val="00120686"/>
    <w:rsid w:val="00120C3C"/>
    <w:rsid w:val="00122AC9"/>
    <w:rsid w:val="00122C12"/>
    <w:rsid w:val="001234B2"/>
    <w:rsid w:val="00123A44"/>
    <w:rsid w:val="00123B84"/>
    <w:rsid w:val="00124863"/>
    <w:rsid w:val="0012494A"/>
    <w:rsid w:val="00125117"/>
    <w:rsid w:val="00126702"/>
    <w:rsid w:val="00126736"/>
    <w:rsid w:val="00126B17"/>
    <w:rsid w:val="00126D44"/>
    <w:rsid w:val="001279A1"/>
    <w:rsid w:val="00127CAC"/>
    <w:rsid w:val="00130F99"/>
    <w:rsid w:val="0013184E"/>
    <w:rsid w:val="00132520"/>
    <w:rsid w:val="00133F8F"/>
    <w:rsid w:val="00134075"/>
    <w:rsid w:val="0013457A"/>
    <w:rsid w:val="00134979"/>
    <w:rsid w:val="001351C4"/>
    <w:rsid w:val="00135655"/>
    <w:rsid w:val="00135C63"/>
    <w:rsid w:val="001370A8"/>
    <w:rsid w:val="00137668"/>
    <w:rsid w:val="00137F56"/>
    <w:rsid w:val="00140886"/>
    <w:rsid w:val="001414EF"/>
    <w:rsid w:val="00141762"/>
    <w:rsid w:val="00141B7E"/>
    <w:rsid w:val="00141BF3"/>
    <w:rsid w:val="0014226C"/>
    <w:rsid w:val="00142861"/>
    <w:rsid w:val="00142EAA"/>
    <w:rsid w:val="00142F3D"/>
    <w:rsid w:val="001433B9"/>
    <w:rsid w:val="00143A78"/>
    <w:rsid w:val="00144079"/>
    <w:rsid w:val="00144588"/>
    <w:rsid w:val="00144CD2"/>
    <w:rsid w:val="00144D40"/>
    <w:rsid w:val="00144F28"/>
    <w:rsid w:val="00145EED"/>
    <w:rsid w:val="00146D08"/>
    <w:rsid w:val="00146D6C"/>
    <w:rsid w:val="001473FF"/>
    <w:rsid w:val="001477D2"/>
    <w:rsid w:val="00151956"/>
    <w:rsid w:val="00152D75"/>
    <w:rsid w:val="00152F7E"/>
    <w:rsid w:val="00152FC5"/>
    <w:rsid w:val="00153598"/>
    <w:rsid w:val="001536B6"/>
    <w:rsid w:val="00153A47"/>
    <w:rsid w:val="00153D3E"/>
    <w:rsid w:val="001542D0"/>
    <w:rsid w:val="0015536E"/>
    <w:rsid w:val="00155726"/>
    <w:rsid w:val="001579F5"/>
    <w:rsid w:val="00157AE2"/>
    <w:rsid w:val="001605FD"/>
    <w:rsid w:val="001606C6"/>
    <w:rsid w:val="00160CE5"/>
    <w:rsid w:val="00161266"/>
    <w:rsid w:val="00161C97"/>
    <w:rsid w:val="001622D6"/>
    <w:rsid w:val="00162583"/>
    <w:rsid w:val="00162800"/>
    <w:rsid w:val="0016298B"/>
    <w:rsid w:val="00162F9F"/>
    <w:rsid w:val="00163B25"/>
    <w:rsid w:val="001647AE"/>
    <w:rsid w:val="00164921"/>
    <w:rsid w:val="00165DE8"/>
    <w:rsid w:val="00165F41"/>
    <w:rsid w:val="00166BB6"/>
    <w:rsid w:val="001670A5"/>
    <w:rsid w:val="001701A8"/>
    <w:rsid w:val="00170898"/>
    <w:rsid w:val="00170C45"/>
    <w:rsid w:val="00170DB2"/>
    <w:rsid w:val="00170DC2"/>
    <w:rsid w:val="001714A7"/>
    <w:rsid w:val="00171E3A"/>
    <w:rsid w:val="00172551"/>
    <w:rsid w:val="001726A5"/>
    <w:rsid w:val="00172DDC"/>
    <w:rsid w:val="001732F4"/>
    <w:rsid w:val="00173594"/>
    <w:rsid w:val="001736A9"/>
    <w:rsid w:val="001737DA"/>
    <w:rsid w:val="0017486E"/>
    <w:rsid w:val="00174D50"/>
    <w:rsid w:val="001754BA"/>
    <w:rsid w:val="0017611F"/>
    <w:rsid w:val="0017628C"/>
    <w:rsid w:val="001762E0"/>
    <w:rsid w:val="001776D9"/>
    <w:rsid w:val="00177FE0"/>
    <w:rsid w:val="00180774"/>
    <w:rsid w:val="00180F42"/>
    <w:rsid w:val="0018109B"/>
    <w:rsid w:val="0018128C"/>
    <w:rsid w:val="00181532"/>
    <w:rsid w:val="00181599"/>
    <w:rsid w:val="00181779"/>
    <w:rsid w:val="00181BCB"/>
    <w:rsid w:val="00182320"/>
    <w:rsid w:val="00182C90"/>
    <w:rsid w:val="00182DCA"/>
    <w:rsid w:val="00182E13"/>
    <w:rsid w:val="00183342"/>
    <w:rsid w:val="00183AF6"/>
    <w:rsid w:val="001844B7"/>
    <w:rsid w:val="00184690"/>
    <w:rsid w:val="001849A5"/>
    <w:rsid w:val="00185CE7"/>
    <w:rsid w:val="00185F4E"/>
    <w:rsid w:val="00187221"/>
    <w:rsid w:val="00187246"/>
    <w:rsid w:val="00187FEA"/>
    <w:rsid w:val="00190B17"/>
    <w:rsid w:val="00190C79"/>
    <w:rsid w:val="00191702"/>
    <w:rsid w:val="001918F2"/>
    <w:rsid w:val="00191E15"/>
    <w:rsid w:val="00193677"/>
    <w:rsid w:val="00193AF0"/>
    <w:rsid w:val="00193CE8"/>
    <w:rsid w:val="00193E58"/>
    <w:rsid w:val="00194FA0"/>
    <w:rsid w:val="0019546E"/>
    <w:rsid w:val="001958E5"/>
    <w:rsid w:val="00195A0D"/>
    <w:rsid w:val="00195BF0"/>
    <w:rsid w:val="00195F54"/>
    <w:rsid w:val="001966FC"/>
    <w:rsid w:val="00196738"/>
    <w:rsid w:val="00196EC4"/>
    <w:rsid w:val="00197045"/>
    <w:rsid w:val="001975F6"/>
    <w:rsid w:val="00197AF4"/>
    <w:rsid w:val="001A08D0"/>
    <w:rsid w:val="001A0BC3"/>
    <w:rsid w:val="001A27BA"/>
    <w:rsid w:val="001A436E"/>
    <w:rsid w:val="001A4393"/>
    <w:rsid w:val="001A4F87"/>
    <w:rsid w:val="001A559F"/>
    <w:rsid w:val="001A60B3"/>
    <w:rsid w:val="001A6293"/>
    <w:rsid w:val="001A6547"/>
    <w:rsid w:val="001A6E21"/>
    <w:rsid w:val="001A73F0"/>
    <w:rsid w:val="001A7677"/>
    <w:rsid w:val="001A7BFB"/>
    <w:rsid w:val="001B0095"/>
    <w:rsid w:val="001B028E"/>
    <w:rsid w:val="001B0944"/>
    <w:rsid w:val="001B0B72"/>
    <w:rsid w:val="001B0F2C"/>
    <w:rsid w:val="001B1195"/>
    <w:rsid w:val="001B1C5B"/>
    <w:rsid w:val="001B2564"/>
    <w:rsid w:val="001B26FF"/>
    <w:rsid w:val="001B2ACC"/>
    <w:rsid w:val="001B3172"/>
    <w:rsid w:val="001B3711"/>
    <w:rsid w:val="001B3DBC"/>
    <w:rsid w:val="001B3FB6"/>
    <w:rsid w:val="001B448E"/>
    <w:rsid w:val="001B49CA"/>
    <w:rsid w:val="001B4E8B"/>
    <w:rsid w:val="001B537F"/>
    <w:rsid w:val="001B579A"/>
    <w:rsid w:val="001B5D4F"/>
    <w:rsid w:val="001B645B"/>
    <w:rsid w:val="001B78A5"/>
    <w:rsid w:val="001B7C3B"/>
    <w:rsid w:val="001B7D94"/>
    <w:rsid w:val="001C07AA"/>
    <w:rsid w:val="001C0A20"/>
    <w:rsid w:val="001C10B1"/>
    <w:rsid w:val="001C1439"/>
    <w:rsid w:val="001C1955"/>
    <w:rsid w:val="001C3079"/>
    <w:rsid w:val="001C3705"/>
    <w:rsid w:val="001C37C0"/>
    <w:rsid w:val="001C4000"/>
    <w:rsid w:val="001C41C2"/>
    <w:rsid w:val="001C4607"/>
    <w:rsid w:val="001C4FC6"/>
    <w:rsid w:val="001C5234"/>
    <w:rsid w:val="001C5B04"/>
    <w:rsid w:val="001C5F82"/>
    <w:rsid w:val="001C61D4"/>
    <w:rsid w:val="001C677E"/>
    <w:rsid w:val="001C6F86"/>
    <w:rsid w:val="001C7632"/>
    <w:rsid w:val="001C7773"/>
    <w:rsid w:val="001C7A7B"/>
    <w:rsid w:val="001C7C88"/>
    <w:rsid w:val="001D0021"/>
    <w:rsid w:val="001D0C08"/>
    <w:rsid w:val="001D11ED"/>
    <w:rsid w:val="001D23E8"/>
    <w:rsid w:val="001D23E9"/>
    <w:rsid w:val="001D2C26"/>
    <w:rsid w:val="001D3124"/>
    <w:rsid w:val="001D3AC1"/>
    <w:rsid w:val="001D4051"/>
    <w:rsid w:val="001D4712"/>
    <w:rsid w:val="001D6941"/>
    <w:rsid w:val="001E001C"/>
    <w:rsid w:val="001E09A9"/>
    <w:rsid w:val="001E11C3"/>
    <w:rsid w:val="001E1A4F"/>
    <w:rsid w:val="001E1F29"/>
    <w:rsid w:val="001E27AF"/>
    <w:rsid w:val="001E2B7B"/>
    <w:rsid w:val="001E2D65"/>
    <w:rsid w:val="001E2D96"/>
    <w:rsid w:val="001E34CE"/>
    <w:rsid w:val="001E38A0"/>
    <w:rsid w:val="001E3D17"/>
    <w:rsid w:val="001E41FA"/>
    <w:rsid w:val="001E55B5"/>
    <w:rsid w:val="001E5AA2"/>
    <w:rsid w:val="001E5EBB"/>
    <w:rsid w:val="001E617C"/>
    <w:rsid w:val="001E67BC"/>
    <w:rsid w:val="001E6CCF"/>
    <w:rsid w:val="001E6D68"/>
    <w:rsid w:val="001E792E"/>
    <w:rsid w:val="001F05A5"/>
    <w:rsid w:val="001F0EC5"/>
    <w:rsid w:val="001F15B4"/>
    <w:rsid w:val="001F1A39"/>
    <w:rsid w:val="001F2585"/>
    <w:rsid w:val="001F271A"/>
    <w:rsid w:val="001F292B"/>
    <w:rsid w:val="001F35CF"/>
    <w:rsid w:val="001F3BF5"/>
    <w:rsid w:val="001F3F92"/>
    <w:rsid w:val="001F440E"/>
    <w:rsid w:val="001F45D2"/>
    <w:rsid w:val="001F49F8"/>
    <w:rsid w:val="001F5857"/>
    <w:rsid w:val="001F5C81"/>
    <w:rsid w:val="00201546"/>
    <w:rsid w:val="00201C29"/>
    <w:rsid w:val="002020D6"/>
    <w:rsid w:val="002028A5"/>
    <w:rsid w:val="00203AF9"/>
    <w:rsid w:val="00203B2D"/>
    <w:rsid w:val="00203F9F"/>
    <w:rsid w:val="00204036"/>
    <w:rsid w:val="0020526B"/>
    <w:rsid w:val="0020560B"/>
    <w:rsid w:val="002062BA"/>
    <w:rsid w:val="00207089"/>
    <w:rsid w:val="00207F75"/>
    <w:rsid w:val="00210084"/>
    <w:rsid w:val="002110D3"/>
    <w:rsid w:val="00212F81"/>
    <w:rsid w:val="0021371A"/>
    <w:rsid w:val="00213ECC"/>
    <w:rsid w:val="00214C34"/>
    <w:rsid w:val="00214EC7"/>
    <w:rsid w:val="0021573E"/>
    <w:rsid w:val="00215DC8"/>
    <w:rsid w:val="00216992"/>
    <w:rsid w:val="00216D99"/>
    <w:rsid w:val="00216F3B"/>
    <w:rsid w:val="00217911"/>
    <w:rsid w:val="002207DD"/>
    <w:rsid w:val="00221041"/>
    <w:rsid w:val="0022151A"/>
    <w:rsid w:val="00221D44"/>
    <w:rsid w:val="002229B0"/>
    <w:rsid w:val="00222AF5"/>
    <w:rsid w:val="00222C2B"/>
    <w:rsid w:val="00222CC3"/>
    <w:rsid w:val="0022302C"/>
    <w:rsid w:val="00223767"/>
    <w:rsid w:val="00224B1C"/>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36730"/>
    <w:rsid w:val="002405C2"/>
    <w:rsid w:val="00240BDF"/>
    <w:rsid w:val="0024116B"/>
    <w:rsid w:val="00241A21"/>
    <w:rsid w:val="00242858"/>
    <w:rsid w:val="002428EA"/>
    <w:rsid w:val="00242B5A"/>
    <w:rsid w:val="0024311A"/>
    <w:rsid w:val="00243D01"/>
    <w:rsid w:val="00245562"/>
    <w:rsid w:val="002456FD"/>
    <w:rsid w:val="00245C5F"/>
    <w:rsid w:val="00245FF5"/>
    <w:rsid w:val="002461A5"/>
    <w:rsid w:val="002461C6"/>
    <w:rsid w:val="00246CE1"/>
    <w:rsid w:val="002475B1"/>
    <w:rsid w:val="00247E17"/>
    <w:rsid w:val="00250F3F"/>
    <w:rsid w:val="00252439"/>
    <w:rsid w:val="002532D8"/>
    <w:rsid w:val="002537A8"/>
    <w:rsid w:val="002550C3"/>
    <w:rsid w:val="0025511C"/>
    <w:rsid w:val="00256E35"/>
    <w:rsid w:val="0025725F"/>
    <w:rsid w:val="0025741D"/>
    <w:rsid w:val="00257C70"/>
    <w:rsid w:val="0026034D"/>
    <w:rsid w:val="00260933"/>
    <w:rsid w:val="00260D78"/>
    <w:rsid w:val="00261034"/>
    <w:rsid w:val="002612D1"/>
    <w:rsid w:val="00261C36"/>
    <w:rsid w:val="00261FF8"/>
    <w:rsid w:val="00263D58"/>
    <w:rsid w:val="00264151"/>
    <w:rsid w:val="002660A5"/>
    <w:rsid w:val="0026655C"/>
    <w:rsid w:val="00266565"/>
    <w:rsid w:val="00266587"/>
    <w:rsid w:val="00266771"/>
    <w:rsid w:val="00266AC5"/>
    <w:rsid w:val="00266AD7"/>
    <w:rsid w:val="002670B1"/>
    <w:rsid w:val="0026773B"/>
    <w:rsid w:val="0027014F"/>
    <w:rsid w:val="002704DA"/>
    <w:rsid w:val="0027146A"/>
    <w:rsid w:val="0027176E"/>
    <w:rsid w:val="00272466"/>
    <w:rsid w:val="002728DF"/>
    <w:rsid w:val="00273277"/>
    <w:rsid w:val="002739CF"/>
    <w:rsid w:val="00273C23"/>
    <w:rsid w:val="002741D1"/>
    <w:rsid w:val="00274289"/>
    <w:rsid w:val="00274464"/>
    <w:rsid w:val="00276417"/>
    <w:rsid w:val="00276526"/>
    <w:rsid w:val="00276748"/>
    <w:rsid w:val="002769F4"/>
    <w:rsid w:val="00276A69"/>
    <w:rsid w:val="00276AE2"/>
    <w:rsid w:val="00276D85"/>
    <w:rsid w:val="00277300"/>
    <w:rsid w:val="0027796E"/>
    <w:rsid w:val="00277B77"/>
    <w:rsid w:val="002805F7"/>
    <w:rsid w:val="002807F6"/>
    <w:rsid w:val="00281B43"/>
    <w:rsid w:val="00281DBE"/>
    <w:rsid w:val="00282232"/>
    <w:rsid w:val="00282FE1"/>
    <w:rsid w:val="00283549"/>
    <w:rsid w:val="0028374F"/>
    <w:rsid w:val="00284120"/>
    <w:rsid w:val="002842D9"/>
    <w:rsid w:val="0028436A"/>
    <w:rsid w:val="0028548C"/>
    <w:rsid w:val="00286015"/>
    <w:rsid w:val="002861EE"/>
    <w:rsid w:val="002866DF"/>
    <w:rsid w:val="002868C2"/>
    <w:rsid w:val="00287252"/>
    <w:rsid w:val="00287F0D"/>
    <w:rsid w:val="00290453"/>
    <w:rsid w:val="00291A4E"/>
    <w:rsid w:val="00293E05"/>
    <w:rsid w:val="00294145"/>
    <w:rsid w:val="00294164"/>
    <w:rsid w:val="0029437C"/>
    <w:rsid w:val="002943B8"/>
    <w:rsid w:val="00294C2D"/>
    <w:rsid w:val="00295B69"/>
    <w:rsid w:val="00295E54"/>
    <w:rsid w:val="002960FC"/>
    <w:rsid w:val="00296374"/>
    <w:rsid w:val="00297043"/>
    <w:rsid w:val="002979A8"/>
    <w:rsid w:val="002A02D5"/>
    <w:rsid w:val="002A1C7F"/>
    <w:rsid w:val="002A1EEC"/>
    <w:rsid w:val="002A2749"/>
    <w:rsid w:val="002A2DA1"/>
    <w:rsid w:val="002A39DE"/>
    <w:rsid w:val="002A3F5B"/>
    <w:rsid w:val="002A4037"/>
    <w:rsid w:val="002A486B"/>
    <w:rsid w:val="002A5763"/>
    <w:rsid w:val="002A5779"/>
    <w:rsid w:val="002A6519"/>
    <w:rsid w:val="002A6DF0"/>
    <w:rsid w:val="002B0092"/>
    <w:rsid w:val="002B0470"/>
    <w:rsid w:val="002B0738"/>
    <w:rsid w:val="002B100C"/>
    <w:rsid w:val="002B18B0"/>
    <w:rsid w:val="002B1D45"/>
    <w:rsid w:val="002B1D52"/>
    <w:rsid w:val="002B2AA1"/>
    <w:rsid w:val="002B2EAE"/>
    <w:rsid w:val="002B35A7"/>
    <w:rsid w:val="002B3FD2"/>
    <w:rsid w:val="002B4E7A"/>
    <w:rsid w:val="002B4E7B"/>
    <w:rsid w:val="002B5600"/>
    <w:rsid w:val="002B5F4F"/>
    <w:rsid w:val="002B7944"/>
    <w:rsid w:val="002C036A"/>
    <w:rsid w:val="002C1069"/>
    <w:rsid w:val="002C1527"/>
    <w:rsid w:val="002C1544"/>
    <w:rsid w:val="002C4B80"/>
    <w:rsid w:val="002C618B"/>
    <w:rsid w:val="002C6CED"/>
    <w:rsid w:val="002C7465"/>
    <w:rsid w:val="002D02B8"/>
    <w:rsid w:val="002D042D"/>
    <w:rsid w:val="002D0BEA"/>
    <w:rsid w:val="002D195A"/>
    <w:rsid w:val="002D1B53"/>
    <w:rsid w:val="002D251E"/>
    <w:rsid w:val="002D2BFA"/>
    <w:rsid w:val="002D2E39"/>
    <w:rsid w:val="002D3403"/>
    <w:rsid w:val="002D377E"/>
    <w:rsid w:val="002D38EB"/>
    <w:rsid w:val="002D3989"/>
    <w:rsid w:val="002D3D72"/>
    <w:rsid w:val="002D3E0C"/>
    <w:rsid w:val="002D4027"/>
    <w:rsid w:val="002D4363"/>
    <w:rsid w:val="002D4D4F"/>
    <w:rsid w:val="002D4FEA"/>
    <w:rsid w:val="002D594D"/>
    <w:rsid w:val="002D5AD0"/>
    <w:rsid w:val="002D5C4C"/>
    <w:rsid w:val="002D5CEF"/>
    <w:rsid w:val="002D5F65"/>
    <w:rsid w:val="002D64DD"/>
    <w:rsid w:val="002D68E5"/>
    <w:rsid w:val="002E0E4A"/>
    <w:rsid w:val="002E1C57"/>
    <w:rsid w:val="002E1E23"/>
    <w:rsid w:val="002E4052"/>
    <w:rsid w:val="002E4758"/>
    <w:rsid w:val="002E4B17"/>
    <w:rsid w:val="002E53EF"/>
    <w:rsid w:val="002E5483"/>
    <w:rsid w:val="002E55D3"/>
    <w:rsid w:val="002E6581"/>
    <w:rsid w:val="002E759D"/>
    <w:rsid w:val="002E7A65"/>
    <w:rsid w:val="002F015D"/>
    <w:rsid w:val="002F039F"/>
    <w:rsid w:val="002F0C5F"/>
    <w:rsid w:val="002F112F"/>
    <w:rsid w:val="002F29C3"/>
    <w:rsid w:val="002F37BE"/>
    <w:rsid w:val="002F38A8"/>
    <w:rsid w:val="002F38E4"/>
    <w:rsid w:val="002F5600"/>
    <w:rsid w:val="002F69D0"/>
    <w:rsid w:val="002F73E7"/>
    <w:rsid w:val="002F7F9C"/>
    <w:rsid w:val="003007C7"/>
    <w:rsid w:val="00300F00"/>
    <w:rsid w:val="00301024"/>
    <w:rsid w:val="003015A9"/>
    <w:rsid w:val="00301877"/>
    <w:rsid w:val="0030249C"/>
    <w:rsid w:val="00302566"/>
    <w:rsid w:val="0030264E"/>
    <w:rsid w:val="00302796"/>
    <w:rsid w:val="00303A67"/>
    <w:rsid w:val="003042EC"/>
    <w:rsid w:val="003042ED"/>
    <w:rsid w:val="00304573"/>
    <w:rsid w:val="00304745"/>
    <w:rsid w:val="00305920"/>
    <w:rsid w:val="00305F17"/>
    <w:rsid w:val="00307A37"/>
    <w:rsid w:val="00310D53"/>
    <w:rsid w:val="003116EF"/>
    <w:rsid w:val="003133AE"/>
    <w:rsid w:val="003133CA"/>
    <w:rsid w:val="00313768"/>
    <w:rsid w:val="00313BBD"/>
    <w:rsid w:val="0031410A"/>
    <w:rsid w:val="00314B90"/>
    <w:rsid w:val="00314CF5"/>
    <w:rsid w:val="00314F07"/>
    <w:rsid w:val="00315060"/>
    <w:rsid w:val="00315F01"/>
    <w:rsid w:val="0032032A"/>
    <w:rsid w:val="0032198F"/>
    <w:rsid w:val="00321A54"/>
    <w:rsid w:val="003230A6"/>
    <w:rsid w:val="003235DE"/>
    <w:rsid w:val="00323700"/>
    <w:rsid w:val="00324DA0"/>
    <w:rsid w:val="003253DF"/>
    <w:rsid w:val="003255E2"/>
    <w:rsid w:val="00325858"/>
    <w:rsid w:val="00325D19"/>
    <w:rsid w:val="00325E6D"/>
    <w:rsid w:val="003277BA"/>
    <w:rsid w:val="0033001F"/>
    <w:rsid w:val="00330025"/>
    <w:rsid w:val="00330AF9"/>
    <w:rsid w:val="00330BB9"/>
    <w:rsid w:val="00330C89"/>
    <w:rsid w:val="00330CC5"/>
    <w:rsid w:val="0033102A"/>
    <w:rsid w:val="00331AF4"/>
    <w:rsid w:val="00332D57"/>
    <w:rsid w:val="00332E80"/>
    <w:rsid w:val="0033414C"/>
    <w:rsid w:val="00334E0F"/>
    <w:rsid w:val="00335099"/>
    <w:rsid w:val="003350BE"/>
    <w:rsid w:val="00335232"/>
    <w:rsid w:val="003368B1"/>
    <w:rsid w:val="00337A0F"/>
    <w:rsid w:val="0034025A"/>
    <w:rsid w:val="003402A7"/>
    <w:rsid w:val="00342233"/>
    <w:rsid w:val="00342BB6"/>
    <w:rsid w:val="00343BA7"/>
    <w:rsid w:val="00343F05"/>
    <w:rsid w:val="00344080"/>
    <w:rsid w:val="0034486F"/>
    <w:rsid w:val="00344A26"/>
    <w:rsid w:val="00345278"/>
    <w:rsid w:val="00345916"/>
    <w:rsid w:val="0034594E"/>
    <w:rsid w:val="00345977"/>
    <w:rsid w:val="00345F13"/>
    <w:rsid w:val="00346626"/>
    <w:rsid w:val="003475B4"/>
    <w:rsid w:val="003502CE"/>
    <w:rsid w:val="003506E9"/>
    <w:rsid w:val="00351A93"/>
    <w:rsid w:val="00352386"/>
    <w:rsid w:val="00352A62"/>
    <w:rsid w:val="003530A7"/>
    <w:rsid w:val="003535E6"/>
    <w:rsid w:val="00353854"/>
    <w:rsid w:val="0035390D"/>
    <w:rsid w:val="00354724"/>
    <w:rsid w:val="00354E7A"/>
    <w:rsid w:val="00354F42"/>
    <w:rsid w:val="003553BF"/>
    <w:rsid w:val="0035582F"/>
    <w:rsid w:val="00355857"/>
    <w:rsid w:val="00356CF8"/>
    <w:rsid w:val="0035738E"/>
    <w:rsid w:val="003573D2"/>
    <w:rsid w:val="0036081D"/>
    <w:rsid w:val="003626D2"/>
    <w:rsid w:val="00362B80"/>
    <w:rsid w:val="00363608"/>
    <w:rsid w:val="003637C2"/>
    <w:rsid w:val="0036401D"/>
    <w:rsid w:val="00364703"/>
    <w:rsid w:val="00364C3D"/>
    <w:rsid w:val="00365AF0"/>
    <w:rsid w:val="00365D8C"/>
    <w:rsid w:val="003669BC"/>
    <w:rsid w:val="00366EEA"/>
    <w:rsid w:val="003675E4"/>
    <w:rsid w:val="00367B01"/>
    <w:rsid w:val="003700B6"/>
    <w:rsid w:val="0037124A"/>
    <w:rsid w:val="00371989"/>
    <w:rsid w:val="00371BF8"/>
    <w:rsid w:val="00372542"/>
    <w:rsid w:val="003728C7"/>
    <w:rsid w:val="00373B74"/>
    <w:rsid w:val="0037472E"/>
    <w:rsid w:val="00374C88"/>
    <w:rsid w:val="00374E5E"/>
    <w:rsid w:val="003756FF"/>
    <w:rsid w:val="003765E5"/>
    <w:rsid w:val="003769D6"/>
    <w:rsid w:val="00376F0D"/>
    <w:rsid w:val="00377A58"/>
    <w:rsid w:val="00377EF9"/>
    <w:rsid w:val="00380C2A"/>
    <w:rsid w:val="00380E27"/>
    <w:rsid w:val="00380E99"/>
    <w:rsid w:val="00381BCF"/>
    <w:rsid w:val="00382B41"/>
    <w:rsid w:val="00383158"/>
    <w:rsid w:val="00383561"/>
    <w:rsid w:val="00383E5C"/>
    <w:rsid w:val="00384413"/>
    <w:rsid w:val="0038754B"/>
    <w:rsid w:val="003876A1"/>
    <w:rsid w:val="00387703"/>
    <w:rsid w:val="003906A1"/>
    <w:rsid w:val="00391088"/>
    <w:rsid w:val="00391797"/>
    <w:rsid w:val="00391C5B"/>
    <w:rsid w:val="00392059"/>
    <w:rsid w:val="003923E5"/>
    <w:rsid w:val="00392439"/>
    <w:rsid w:val="00392E57"/>
    <w:rsid w:val="003931E6"/>
    <w:rsid w:val="00394CC4"/>
    <w:rsid w:val="0039511C"/>
    <w:rsid w:val="003951A1"/>
    <w:rsid w:val="003953FE"/>
    <w:rsid w:val="00395C81"/>
    <w:rsid w:val="00395DF8"/>
    <w:rsid w:val="0039625C"/>
    <w:rsid w:val="003963A8"/>
    <w:rsid w:val="003972B1"/>
    <w:rsid w:val="00397A35"/>
    <w:rsid w:val="00397FE4"/>
    <w:rsid w:val="003A0129"/>
    <w:rsid w:val="003A018F"/>
    <w:rsid w:val="003A0315"/>
    <w:rsid w:val="003A0B1A"/>
    <w:rsid w:val="003A0D42"/>
    <w:rsid w:val="003A0D46"/>
    <w:rsid w:val="003A1974"/>
    <w:rsid w:val="003A205F"/>
    <w:rsid w:val="003A2287"/>
    <w:rsid w:val="003A2B20"/>
    <w:rsid w:val="003A32D0"/>
    <w:rsid w:val="003A4365"/>
    <w:rsid w:val="003A49BA"/>
    <w:rsid w:val="003A5C4C"/>
    <w:rsid w:val="003A5DE0"/>
    <w:rsid w:val="003A5F45"/>
    <w:rsid w:val="003A7E7E"/>
    <w:rsid w:val="003A7F66"/>
    <w:rsid w:val="003B07FA"/>
    <w:rsid w:val="003B087D"/>
    <w:rsid w:val="003B097B"/>
    <w:rsid w:val="003B193D"/>
    <w:rsid w:val="003B1AA8"/>
    <w:rsid w:val="003B26D9"/>
    <w:rsid w:val="003B2AD9"/>
    <w:rsid w:val="003B33A0"/>
    <w:rsid w:val="003B37ED"/>
    <w:rsid w:val="003B3F74"/>
    <w:rsid w:val="003B4F11"/>
    <w:rsid w:val="003B509F"/>
    <w:rsid w:val="003B5937"/>
    <w:rsid w:val="003B5BAD"/>
    <w:rsid w:val="003B5F74"/>
    <w:rsid w:val="003B71DE"/>
    <w:rsid w:val="003B7438"/>
    <w:rsid w:val="003B7A7F"/>
    <w:rsid w:val="003B7AEE"/>
    <w:rsid w:val="003B7CA8"/>
    <w:rsid w:val="003B7CE6"/>
    <w:rsid w:val="003C08E5"/>
    <w:rsid w:val="003C1704"/>
    <w:rsid w:val="003C170F"/>
    <w:rsid w:val="003C2BB7"/>
    <w:rsid w:val="003C39F5"/>
    <w:rsid w:val="003C4678"/>
    <w:rsid w:val="003C470F"/>
    <w:rsid w:val="003C4C9C"/>
    <w:rsid w:val="003C56DC"/>
    <w:rsid w:val="003C5FC8"/>
    <w:rsid w:val="003C700A"/>
    <w:rsid w:val="003C7779"/>
    <w:rsid w:val="003D08B8"/>
    <w:rsid w:val="003D0EEE"/>
    <w:rsid w:val="003D177D"/>
    <w:rsid w:val="003D202B"/>
    <w:rsid w:val="003D27F2"/>
    <w:rsid w:val="003D2AD0"/>
    <w:rsid w:val="003D2BDE"/>
    <w:rsid w:val="003D371B"/>
    <w:rsid w:val="003D3BA1"/>
    <w:rsid w:val="003D439B"/>
    <w:rsid w:val="003D4BA0"/>
    <w:rsid w:val="003D5038"/>
    <w:rsid w:val="003D512E"/>
    <w:rsid w:val="003D5947"/>
    <w:rsid w:val="003D5E06"/>
    <w:rsid w:val="003D5EF4"/>
    <w:rsid w:val="003D642A"/>
    <w:rsid w:val="003D6715"/>
    <w:rsid w:val="003D753B"/>
    <w:rsid w:val="003D79EB"/>
    <w:rsid w:val="003E0652"/>
    <w:rsid w:val="003E1CF7"/>
    <w:rsid w:val="003E38C6"/>
    <w:rsid w:val="003E3AF2"/>
    <w:rsid w:val="003E44DB"/>
    <w:rsid w:val="003E4947"/>
    <w:rsid w:val="003E4952"/>
    <w:rsid w:val="003E4C4D"/>
    <w:rsid w:val="003E626F"/>
    <w:rsid w:val="003E629B"/>
    <w:rsid w:val="003E74C7"/>
    <w:rsid w:val="003E798A"/>
    <w:rsid w:val="003E7D38"/>
    <w:rsid w:val="003F1695"/>
    <w:rsid w:val="003F2814"/>
    <w:rsid w:val="003F29FC"/>
    <w:rsid w:val="003F631E"/>
    <w:rsid w:val="003F6F47"/>
    <w:rsid w:val="004000FB"/>
    <w:rsid w:val="00400445"/>
    <w:rsid w:val="00400544"/>
    <w:rsid w:val="0040107A"/>
    <w:rsid w:val="0040175C"/>
    <w:rsid w:val="004028B0"/>
    <w:rsid w:val="00402A0C"/>
    <w:rsid w:val="004033C1"/>
    <w:rsid w:val="00404224"/>
    <w:rsid w:val="00405B98"/>
    <w:rsid w:val="004061F2"/>
    <w:rsid w:val="00406587"/>
    <w:rsid w:val="00410B74"/>
    <w:rsid w:val="00411089"/>
    <w:rsid w:val="00411354"/>
    <w:rsid w:val="0041135C"/>
    <w:rsid w:val="0041148A"/>
    <w:rsid w:val="0041268F"/>
    <w:rsid w:val="00412F03"/>
    <w:rsid w:val="00413AF6"/>
    <w:rsid w:val="0041559B"/>
    <w:rsid w:val="0041561B"/>
    <w:rsid w:val="0041742D"/>
    <w:rsid w:val="00417B32"/>
    <w:rsid w:val="00417E60"/>
    <w:rsid w:val="00417FDA"/>
    <w:rsid w:val="0042074E"/>
    <w:rsid w:val="00421014"/>
    <w:rsid w:val="00421D1B"/>
    <w:rsid w:val="004227BA"/>
    <w:rsid w:val="00423995"/>
    <w:rsid w:val="004239D2"/>
    <w:rsid w:val="004257B0"/>
    <w:rsid w:val="00425AD9"/>
    <w:rsid w:val="00425D3E"/>
    <w:rsid w:val="00425D42"/>
    <w:rsid w:val="00426AB9"/>
    <w:rsid w:val="00427B42"/>
    <w:rsid w:val="00430471"/>
    <w:rsid w:val="004305E2"/>
    <w:rsid w:val="00430ADC"/>
    <w:rsid w:val="00431742"/>
    <w:rsid w:val="00431758"/>
    <w:rsid w:val="00431770"/>
    <w:rsid w:val="00431A01"/>
    <w:rsid w:val="00432211"/>
    <w:rsid w:val="0043224D"/>
    <w:rsid w:val="00432E39"/>
    <w:rsid w:val="004336EC"/>
    <w:rsid w:val="00433875"/>
    <w:rsid w:val="00434056"/>
    <w:rsid w:val="00434E99"/>
    <w:rsid w:val="00435012"/>
    <w:rsid w:val="0043549A"/>
    <w:rsid w:val="00435855"/>
    <w:rsid w:val="00435E43"/>
    <w:rsid w:val="00436776"/>
    <w:rsid w:val="004368A7"/>
    <w:rsid w:val="00437565"/>
    <w:rsid w:val="0044046C"/>
    <w:rsid w:val="00440473"/>
    <w:rsid w:val="004421CD"/>
    <w:rsid w:val="0044274A"/>
    <w:rsid w:val="00443261"/>
    <w:rsid w:val="00443FD5"/>
    <w:rsid w:val="00443FE8"/>
    <w:rsid w:val="00444271"/>
    <w:rsid w:val="004445A3"/>
    <w:rsid w:val="00444927"/>
    <w:rsid w:val="004452FB"/>
    <w:rsid w:val="00445EF3"/>
    <w:rsid w:val="00446A38"/>
    <w:rsid w:val="00446A7A"/>
    <w:rsid w:val="00447694"/>
    <w:rsid w:val="00450B7B"/>
    <w:rsid w:val="00450F59"/>
    <w:rsid w:val="00451386"/>
    <w:rsid w:val="0045156E"/>
    <w:rsid w:val="0045192C"/>
    <w:rsid w:val="00451EC5"/>
    <w:rsid w:val="00451F3A"/>
    <w:rsid w:val="00452A7C"/>
    <w:rsid w:val="00452B1B"/>
    <w:rsid w:val="00452E54"/>
    <w:rsid w:val="00453085"/>
    <w:rsid w:val="00454309"/>
    <w:rsid w:val="0045542A"/>
    <w:rsid w:val="00455594"/>
    <w:rsid w:val="00455DEB"/>
    <w:rsid w:val="0045608B"/>
    <w:rsid w:val="00456119"/>
    <w:rsid w:val="00456B74"/>
    <w:rsid w:val="004604BD"/>
    <w:rsid w:val="004616AF"/>
    <w:rsid w:val="00461FA5"/>
    <w:rsid w:val="00462DA2"/>
    <w:rsid w:val="0046357F"/>
    <w:rsid w:val="00463C2A"/>
    <w:rsid w:val="00463CFB"/>
    <w:rsid w:val="00464E04"/>
    <w:rsid w:val="00464E53"/>
    <w:rsid w:val="00464E8F"/>
    <w:rsid w:val="00465270"/>
    <w:rsid w:val="00465962"/>
    <w:rsid w:val="00466535"/>
    <w:rsid w:val="00467434"/>
    <w:rsid w:val="00467BD9"/>
    <w:rsid w:val="00467EF9"/>
    <w:rsid w:val="004700FA"/>
    <w:rsid w:val="0047055F"/>
    <w:rsid w:val="0047201E"/>
    <w:rsid w:val="004723C5"/>
    <w:rsid w:val="00473D3B"/>
    <w:rsid w:val="00474A2F"/>
    <w:rsid w:val="00474C3F"/>
    <w:rsid w:val="00475928"/>
    <w:rsid w:val="00475F83"/>
    <w:rsid w:val="004761C4"/>
    <w:rsid w:val="004761EB"/>
    <w:rsid w:val="004768C4"/>
    <w:rsid w:val="004772DE"/>
    <w:rsid w:val="0048007E"/>
    <w:rsid w:val="0048191D"/>
    <w:rsid w:val="00481DD2"/>
    <w:rsid w:val="0048226A"/>
    <w:rsid w:val="004825EF"/>
    <w:rsid w:val="00482772"/>
    <w:rsid w:val="0048469A"/>
    <w:rsid w:val="004855FB"/>
    <w:rsid w:val="004856B5"/>
    <w:rsid w:val="0048667C"/>
    <w:rsid w:val="00487CAD"/>
    <w:rsid w:val="0049120C"/>
    <w:rsid w:val="0049155F"/>
    <w:rsid w:val="00492338"/>
    <w:rsid w:val="0049239B"/>
    <w:rsid w:val="004928C3"/>
    <w:rsid w:val="004928ED"/>
    <w:rsid w:val="00493633"/>
    <w:rsid w:val="00494375"/>
    <w:rsid w:val="0049450C"/>
    <w:rsid w:val="004947C6"/>
    <w:rsid w:val="004948DE"/>
    <w:rsid w:val="00495608"/>
    <w:rsid w:val="00496829"/>
    <w:rsid w:val="00497CB1"/>
    <w:rsid w:val="004A0102"/>
    <w:rsid w:val="004A086D"/>
    <w:rsid w:val="004A0EE0"/>
    <w:rsid w:val="004A1647"/>
    <w:rsid w:val="004A1ED7"/>
    <w:rsid w:val="004A2469"/>
    <w:rsid w:val="004A2763"/>
    <w:rsid w:val="004A2C9F"/>
    <w:rsid w:val="004A42FB"/>
    <w:rsid w:val="004A4565"/>
    <w:rsid w:val="004A5AB1"/>
    <w:rsid w:val="004A6338"/>
    <w:rsid w:val="004A66BE"/>
    <w:rsid w:val="004A6806"/>
    <w:rsid w:val="004A692F"/>
    <w:rsid w:val="004A6A50"/>
    <w:rsid w:val="004A6E95"/>
    <w:rsid w:val="004A759C"/>
    <w:rsid w:val="004A78C0"/>
    <w:rsid w:val="004A7BA8"/>
    <w:rsid w:val="004A7D73"/>
    <w:rsid w:val="004A7ECB"/>
    <w:rsid w:val="004B1B8A"/>
    <w:rsid w:val="004B2274"/>
    <w:rsid w:val="004B2D23"/>
    <w:rsid w:val="004B35F4"/>
    <w:rsid w:val="004B392D"/>
    <w:rsid w:val="004B3E77"/>
    <w:rsid w:val="004B3E7C"/>
    <w:rsid w:val="004B6A39"/>
    <w:rsid w:val="004B6CCA"/>
    <w:rsid w:val="004B7BB3"/>
    <w:rsid w:val="004B7BC7"/>
    <w:rsid w:val="004B7F3C"/>
    <w:rsid w:val="004C09FC"/>
    <w:rsid w:val="004C0F2F"/>
    <w:rsid w:val="004C1498"/>
    <w:rsid w:val="004C1E85"/>
    <w:rsid w:val="004C2069"/>
    <w:rsid w:val="004C2A5C"/>
    <w:rsid w:val="004C2DE6"/>
    <w:rsid w:val="004C30BE"/>
    <w:rsid w:val="004C3B0E"/>
    <w:rsid w:val="004C45E6"/>
    <w:rsid w:val="004C467F"/>
    <w:rsid w:val="004C4B8F"/>
    <w:rsid w:val="004C5250"/>
    <w:rsid w:val="004C5512"/>
    <w:rsid w:val="004C574A"/>
    <w:rsid w:val="004C5E6D"/>
    <w:rsid w:val="004C6590"/>
    <w:rsid w:val="004C666D"/>
    <w:rsid w:val="004C6D6F"/>
    <w:rsid w:val="004C6E58"/>
    <w:rsid w:val="004C7028"/>
    <w:rsid w:val="004D0C3C"/>
    <w:rsid w:val="004D17D1"/>
    <w:rsid w:val="004D1B50"/>
    <w:rsid w:val="004D1F16"/>
    <w:rsid w:val="004D299F"/>
    <w:rsid w:val="004D339B"/>
    <w:rsid w:val="004D33D8"/>
    <w:rsid w:val="004D3503"/>
    <w:rsid w:val="004D36B1"/>
    <w:rsid w:val="004D38C6"/>
    <w:rsid w:val="004D3A27"/>
    <w:rsid w:val="004D4193"/>
    <w:rsid w:val="004D4C90"/>
    <w:rsid w:val="004D4E34"/>
    <w:rsid w:val="004D609D"/>
    <w:rsid w:val="004D70F5"/>
    <w:rsid w:val="004D75C1"/>
    <w:rsid w:val="004D7E76"/>
    <w:rsid w:val="004E02ED"/>
    <w:rsid w:val="004E044D"/>
    <w:rsid w:val="004E0A90"/>
    <w:rsid w:val="004E1914"/>
    <w:rsid w:val="004E255E"/>
    <w:rsid w:val="004E2BBC"/>
    <w:rsid w:val="004E30F3"/>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348"/>
    <w:rsid w:val="004F4957"/>
    <w:rsid w:val="004F5749"/>
    <w:rsid w:val="004F5F41"/>
    <w:rsid w:val="004F62FD"/>
    <w:rsid w:val="004F7437"/>
    <w:rsid w:val="004F78C8"/>
    <w:rsid w:val="00500C6D"/>
    <w:rsid w:val="00501129"/>
    <w:rsid w:val="00501843"/>
    <w:rsid w:val="005037C0"/>
    <w:rsid w:val="00505F3B"/>
    <w:rsid w:val="005061D7"/>
    <w:rsid w:val="00506252"/>
    <w:rsid w:val="00506C39"/>
    <w:rsid w:val="00506EC2"/>
    <w:rsid w:val="0050720C"/>
    <w:rsid w:val="00507F1B"/>
    <w:rsid w:val="00510FD9"/>
    <w:rsid w:val="00511A34"/>
    <w:rsid w:val="00511E5D"/>
    <w:rsid w:val="00513420"/>
    <w:rsid w:val="005134BB"/>
    <w:rsid w:val="005138FC"/>
    <w:rsid w:val="00513B95"/>
    <w:rsid w:val="00513BE1"/>
    <w:rsid w:val="00513F8B"/>
    <w:rsid w:val="00514167"/>
    <w:rsid w:val="00514668"/>
    <w:rsid w:val="00514865"/>
    <w:rsid w:val="005149DB"/>
    <w:rsid w:val="0051519E"/>
    <w:rsid w:val="005159F5"/>
    <w:rsid w:val="00515FC2"/>
    <w:rsid w:val="00516518"/>
    <w:rsid w:val="00516E41"/>
    <w:rsid w:val="00517822"/>
    <w:rsid w:val="005206D5"/>
    <w:rsid w:val="00521608"/>
    <w:rsid w:val="005217ED"/>
    <w:rsid w:val="00521BBB"/>
    <w:rsid w:val="00521D66"/>
    <w:rsid w:val="00522085"/>
    <w:rsid w:val="005228A3"/>
    <w:rsid w:val="00522C07"/>
    <w:rsid w:val="00522C4F"/>
    <w:rsid w:val="00522F16"/>
    <w:rsid w:val="00523062"/>
    <w:rsid w:val="00523348"/>
    <w:rsid w:val="00523A21"/>
    <w:rsid w:val="00524122"/>
    <w:rsid w:val="00524FF2"/>
    <w:rsid w:val="00525226"/>
    <w:rsid w:val="0052574F"/>
    <w:rsid w:val="00526466"/>
    <w:rsid w:val="005271BF"/>
    <w:rsid w:val="00527C58"/>
    <w:rsid w:val="00527CC7"/>
    <w:rsid w:val="00530352"/>
    <w:rsid w:val="005307B5"/>
    <w:rsid w:val="00530DF9"/>
    <w:rsid w:val="00531281"/>
    <w:rsid w:val="00531654"/>
    <w:rsid w:val="00531AAA"/>
    <w:rsid w:val="00531D90"/>
    <w:rsid w:val="0053246E"/>
    <w:rsid w:val="00533430"/>
    <w:rsid w:val="00534411"/>
    <w:rsid w:val="00534A34"/>
    <w:rsid w:val="00534BD4"/>
    <w:rsid w:val="00535E8C"/>
    <w:rsid w:val="00536027"/>
    <w:rsid w:val="005364BF"/>
    <w:rsid w:val="005365AB"/>
    <w:rsid w:val="00536882"/>
    <w:rsid w:val="00536BC0"/>
    <w:rsid w:val="00536EA8"/>
    <w:rsid w:val="00537916"/>
    <w:rsid w:val="0053796E"/>
    <w:rsid w:val="00537EE5"/>
    <w:rsid w:val="00540936"/>
    <w:rsid w:val="0054141A"/>
    <w:rsid w:val="0054147B"/>
    <w:rsid w:val="00541CB0"/>
    <w:rsid w:val="00543862"/>
    <w:rsid w:val="00543B27"/>
    <w:rsid w:val="005444A8"/>
    <w:rsid w:val="00545746"/>
    <w:rsid w:val="00545A14"/>
    <w:rsid w:val="00545DEC"/>
    <w:rsid w:val="00546472"/>
    <w:rsid w:val="005466D0"/>
    <w:rsid w:val="0054689F"/>
    <w:rsid w:val="00547841"/>
    <w:rsid w:val="00547D1F"/>
    <w:rsid w:val="005512E3"/>
    <w:rsid w:val="005512EC"/>
    <w:rsid w:val="00551B7D"/>
    <w:rsid w:val="00551D10"/>
    <w:rsid w:val="005531B3"/>
    <w:rsid w:val="00553522"/>
    <w:rsid w:val="005539D6"/>
    <w:rsid w:val="005546E0"/>
    <w:rsid w:val="00555473"/>
    <w:rsid w:val="0055556A"/>
    <w:rsid w:val="005557D3"/>
    <w:rsid w:val="005562F1"/>
    <w:rsid w:val="0055662F"/>
    <w:rsid w:val="0055710E"/>
    <w:rsid w:val="005572AD"/>
    <w:rsid w:val="0055746A"/>
    <w:rsid w:val="00561A33"/>
    <w:rsid w:val="00561B91"/>
    <w:rsid w:val="00561C39"/>
    <w:rsid w:val="00562267"/>
    <w:rsid w:val="00562F60"/>
    <w:rsid w:val="005654BB"/>
    <w:rsid w:val="0056631F"/>
    <w:rsid w:val="00566611"/>
    <w:rsid w:val="00567ED4"/>
    <w:rsid w:val="005717C1"/>
    <w:rsid w:val="00571B83"/>
    <w:rsid w:val="00571CDC"/>
    <w:rsid w:val="00571EE6"/>
    <w:rsid w:val="00572289"/>
    <w:rsid w:val="00572842"/>
    <w:rsid w:val="005728E6"/>
    <w:rsid w:val="00572C83"/>
    <w:rsid w:val="00572D68"/>
    <w:rsid w:val="00572E5D"/>
    <w:rsid w:val="00573100"/>
    <w:rsid w:val="00573780"/>
    <w:rsid w:val="00573D94"/>
    <w:rsid w:val="00573F40"/>
    <w:rsid w:val="0057428C"/>
    <w:rsid w:val="0057441C"/>
    <w:rsid w:val="00574FBA"/>
    <w:rsid w:val="00575DA1"/>
    <w:rsid w:val="00575EBA"/>
    <w:rsid w:val="00575EEF"/>
    <w:rsid w:val="0057620E"/>
    <w:rsid w:val="005767D5"/>
    <w:rsid w:val="00576A2C"/>
    <w:rsid w:val="0057709A"/>
    <w:rsid w:val="00580400"/>
    <w:rsid w:val="00580EB5"/>
    <w:rsid w:val="00580F71"/>
    <w:rsid w:val="005812EB"/>
    <w:rsid w:val="00581AAE"/>
    <w:rsid w:val="00581EFA"/>
    <w:rsid w:val="0058263A"/>
    <w:rsid w:val="00582BAE"/>
    <w:rsid w:val="00582D38"/>
    <w:rsid w:val="005838C2"/>
    <w:rsid w:val="00583BC3"/>
    <w:rsid w:val="0058495D"/>
    <w:rsid w:val="0058587F"/>
    <w:rsid w:val="005863DB"/>
    <w:rsid w:val="005869A2"/>
    <w:rsid w:val="005871E5"/>
    <w:rsid w:val="00587DF0"/>
    <w:rsid w:val="005904DB"/>
    <w:rsid w:val="00590F19"/>
    <w:rsid w:val="00591175"/>
    <w:rsid w:val="00591586"/>
    <w:rsid w:val="00591ACD"/>
    <w:rsid w:val="00591D72"/>
    <w:rsid w:val="005920D1"/>
    <w:rsid w:val="00592F68"/>
    <w:rsid w:val="005932F8"/>
    <w:rsid w:val="00593711"/>
    <w:rsid w:val="0059379C"/>
    <w:rsid w:val="00593A06"/>
    <w:rsid w:val="00593B09"/>
    <w:rsid w:val="00593EB2"/>
    <w:rsid w:val="00594025"/>
    <w:rsid w:val="00594953"/>
    <w:rsid w:val="00595362"/>
    <w:rsid w:val="00595BB1"/>
    <w:rsid w:val="00596250"/>
    <w:rsid w:val="00596A82"/>
    <w:rsid w:val="00597892"/>
    <w:rsid w:val="005979C3"/>
    <w:rsid w:val="005A0173"/>
    <w:rsid w:val="005A0DCA"/>
    <w:rsid w:val="005A0EAF"/>
    <w:rsid w:val="005A0F89"/>
    <w:rsid w:val="005A14C6"/>
    <w:rsid w:val="005A1574"/>
    <w:rsid w:val="005A1B14"/>
    <w:rsid w:val="005A3156"/>
    <w:rsid w:val="005A3482"/>
    <w:rsid w:val="005A3A84"/>
    <w:rsid w:val="005A3DAE"/>
    <w:rsid w:val="005A43EB"/>
    <w:rsid w:val="005A47B4"/>
    <w:rsid w:val="005A5D55"/>
    <w:rsid w:val="005A5FBA"/>
    <w:rsid w:val="005A6104"/>
    <w:rsid w:val="005A6641"/>
    <w:rsid w:val="005B0936"/>
    <w:rsid w:val="005B0CB9"/>
    <w:rsid w:val="005B0F5F"/>
    <w:rsid w:val="005B1085"/>
    <w:rsid w:val="005B1AEB"/>
    <w:rsid w:val="005B2F8F"/>
    <w:rsid w:val="005B4460"/>
    <w:rsid w:val="005B50C5"/>
    <w:rsid w:val="005B527D"/>
    <w:rsid w:val="005B5B8A"/>
    <w:rsid w:val="005B5F74"/>
    <w:rsid w:val="005B66C4"/>
    <w:rsid w:val="005B6B93"/>
    <w:rsid w:val="005B6BF9"/>
    <w:rsid w:val="005B6E45"/>
    <w:rsid w:val="005B7806"/>
    <w:rsid w:val="005B7A15"/>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0A2"/>
    <w:rsid w:val="005C64AA"/>
    <w:rsid w:val="005C6C62"/>
    <w:rsid w:val="005C6E20"/>
    <w:rsid w:val="005C6FF6"/>
    <w:rsid w:val="005D04AD"/>
    <w:rsid w:val="005D1544"/>
    <w:rsid w:val="005D2E70"/>
    <w:rsid w:val="005D39EF"/>
    <w:rsid w:val="005D3EFE"/>
    <w:rsid w:val="005D4333"/>
    <w:rsid w:val="005D56ED"/>
    <w:rsid w:val="005D5921"/>
    <w:rsid w:val="005D6A6A"/>
    <w:rsid w:val="005D7E7F"/>
    <w:rsid w:val="005E025F"/>
    <w:rsid w:val="005E0CB3"/>
    <w:rsid w:val="005E1856"/>
    <w:rsid w:val="005E188A"/>
    <w:rsid w:val="005E18C8"/>
    <w:rsid w:val="005E1AF1"/>
    <w:rsid w:val="005E21DC"/>
    <w:rsid w:val="005E2FD6"/>
    <w:rsid w:val="005E30AA"/>
    <w:rsid w:val="005E33D0"/>
    <w:rsid w:val="005E359F"/>
    <w:rsid w:val="005E36F2"/>
    <w:rsid w:val="005E474F"/>
    <w:rsid w:val="005E47A2"/>
    <w:rsid w:val="005E4DDA"/>
    <w:rsid w:val="005E51D7"/>
    <w:rsid w:val="005E600B"/>
    <w:rsid w:val="005E6683"/>
    <w:rsid w:val="005E6F92"/>
    <w:rsid w:val="005E7099"/>
    <w:rsid w:val="005E7D45"/>
    <w:rsid w:val="005E7E4A"/>
    <w:rsid w:val="005E7FD2"/>
    <w:rsid w:val="005F000A"/>
    <w:rsid w:val="005F00AE"/>
    <w:rsid w:val="005F068B"/>
    <w:rsid w:val="005F0BDA"/>
    <w:rsid w:val="005F0C1E"/>
    <w:rsid w:val="005F20CC"/>
    <w:rsid w:val="005F2236"/>
    <w:rsid w:val="005F2803"/>
    <w:rsid w:val="005F2929"/>
    <w:rsid w:val="005F293C"/>
    <w:rsid w:val="005F2DA8"/>
    <w:rsid w:val="005F353C"/>
    <w:rsid w:val="005F416E"/>
    <w:rsid w:val="005F4D43"/>
    <w:rsid w:val="005F562C"/>
    <w:rsid w:val="005F5F4E"/>
    <w:rsid w:val="005F64D9"/>
    <w:rsid w:val="005F7132"/>
    <w:rsid w:val="00600690"/>
    <w:rsid w:val="00600D28"/>
    <w:rsid w:val="0060208D"/>
    <w:rsid w:val="0060231E"/>
    <w:rsid w:val="00602398"/>
    <w:rsid w:val="006033F9"/>
    <w:rsid w:val="00603454"/>
    <w:rsid w:val="0060394D"/>
    <w:rsid w:val="00603977"/>
    <w:rsid w:val="00603FA8"/>
    <w:rsid w:val="0060441F"/>
    <w:rsid w:val="0060549A"/>
    <w:rsid w:val="006058E2"/>
    <w:rsid w:val="00605BDD"/>
    <w:rsid w:val="00606420"/>
    <w:rsid w:val="00606442"/>
    <w:rsid w:val="00606791"/>
    <w:rsid w:val="0061098E"/>
    <w:rsid w:val="00610AE3"/>
    <w:rsid w:val="00610E34"/>
    <w:rsid w:val="00610E52"/>
    <w:rsid w:val="00611227"/>
    <w:rsid w:val="006112E2"/>
    <w:rsid w:val="006117F6"/>
    <w:rsid w:val="006118C1"/>
    <w:rsid w:val="00611A66"/>
    <w:rsid w:val="00611BCF"/>
    <w:rsid w:val="00611EEF"/>
    <w:rsid w:val="006137D9"/>
    <w:rsid w:val="006139B8"/>
    <w:rsid w:val="00614253"/>
    <w:rsid w:val="006147E0"/>
    <w:rsid w:val="00615251"/>
    <w:rsid w:val="0061548E"/>
    <w:rsid w:val="006156F7"/>
    <w:rsid w:val="00615C79"/>
    <w:rsid w:val="00616416"/>
    <w:rsid w:val="00616DFC"/>
    <w:rsid w:val="006176C5"/>
    <w:rsid w:val="0062024B"/>
    <w:rsid w:val="0062037B"/>
    <w:rsid w:val="00620A3F"/>
    <w:rsid w:val="00621E29"/>
    <w:rsid w:val="00622643"/>
    <w:rsid w:val="00623D31"/>
    <w:rsid w:val="006251E3"/>
    <w:rsid w:val="0062553E"/>
    <w:rsid w:val="00625FD7"/>
    <w:rsid w:val="006263CC"/>
    <w:rsid w:val="00626605"/>
    <w:rsid w:val="006266B4"/>
    <w:rsid w:val="00627B4F"/>
    <w:rsid w:val="00630546"/>
    <w:rsid w:val="00630591"/>
    <w:rsid w:val="006310F2"/>
    <w:rsid w:val="006312EF"/>
    <w:rsid w:val="006317EB"/>
    <w:rsid w:val="00631A10"/>
    <w:rsid w:val="00632CE9"/>
    <w:rsid w:val="00633592"/>
    <w:rsid w:val="006335DC"/>
    <w:rsid w:val="00633A8A"/>
    <w:rsid w:val="006340A5"/>
    <w:rsid w:val="00634243"/>
    <w:rsid w:val="00634729"/>
    <w:rsid w:val="00634A59"/>
    <w:rsid w:val="00634A64"/>
    <w:rsid w:val="00635DBC"/>
    <w:rsid w:val="00635FA1"/>
    <w:rsid w:val="006361B6"/>
    <w:rsid w:val="00636381"/>
    <w:rsid w:val="0063698B"/>
    <w:rsid w:val="0063720D"/>
    <w:rsid w:val="006379C5"/>
    <w:rsid w:val="0064069C"/>
    <w:rsid w:val="006406DC"/>
    <w:rsid w:val="006416DA"/>
    <w:rsid w:val="00641725"/>
    <w:rsid w:val="006419FC"/>
    <w:rsid w:val="00641B1D"/>
    <w:rsid w:val="00641FAF"/>
    <w:rsid w:val="0064250A"/>
    <w:rsid w:val="00642BF2"/>
    <w:rsid w:val="00643ADF"/>
    <w:rsid w:val="00643E46"/>
    <w:rsid w:val="00644A6B"/>
    <w:rsid w:val="00644EEE"/>
    <w:rsid w:val="00645B77"/>
    <w:rsid w:val="0064607F"/>
    <w:rsid w:val="006466F8"/>
    <w:rsid w:val="00647A9C"/>
    <w:rsid w:val="00647C8F"/>
    <w:rsid w:val="00647ED5"/>
    <w:rsid w:val="00650008"/>
    <w:rsid w:val="00650402"/>
    <w:rsid w:val="00650CD9"/>
    <w:rsid w:val="0065115D"/>
    <w:rsid w:val="0065155D"/>
    <w:rsid w:val="006525BC"/>
    <w:rsid w:val="00652B88"/>
    <w:rsid w:val="00652EFD"/>
    <w:rsid w:val="00652F08"/>
    <w:rsid w:val="00653C57"/>
    <w:rsid w:val="00654178"/>
    <w:rsid w:val="006543A8"/>
    <w:rsid w:val="006543AC"/>
    <w:rsid w:val="00655DDF"/>
    <w:rsid w:val="00656815"/>
    <w:rsid w:val="00657447"/>
    <w:rsid w:val="00657825"/>
    <w:rsid w:val="0065798F"/>
    <w:rsid w:val="006610C7"/>
    <w:rsid w:val="0066433D"/>
    <w:rsid w:val="00664388"/>
    <w:rsid w:val="00664FC6"/>
    <w:rsid w:val="00665237"/>
    <w:rsid w:val="00665658"/>
    <w:rsid w:val="006660A3"/>
    <w:rsid w:val="00666D91"/>
    <w:rsid w:val="00667E6E"/>
    <w:rsid w:val="00667EB6"/>
    <w:rsid w:val="006717D9"/>
    <w:rsid w:val="0067191C"/>
    <w:rsid w:val="00671F82"/>
    <w:rsid w:val="0067202D"/>
    <w:rsid w:val="00672A90"/>
    <w:rsid w:val="00674A37"/>
    <w:rsid w:val="00675636"/>
    <w:rsid w:val="00675DC9"/>
    <w:rsid w:val="00676475"/>
    <w:rsid w:val="006771B9"/>
    <w:rsid w:val="00677222"/>
    <w:rsid w:val="0067794F"/>
    <w:rsid w:val="00681500"/>
    <w:rsid w:val="00681AE4"/>
    <w:rsid w:val="00681C00"/>
    <w:rsid w:val="00682C90"/>
    <w:rsid w:val="00682D53"/>
    <w:rsid w:val="00683387"/>
    <w:rsid w:val="0068356C"/>
    <w:rsid w:val="00683B8F"/>
    <w:rsid w:val="00684519"/>
    <w:rsid w:val="006846C8"/>
    <w:rsid w:val="006852C8"/>
    <w:rsid w:val="006852E8"/>
    <w:rsid w:val="00686FE9"/>
    <w:rsid w:val="0068762C"/>
    <w:rsid w:val="00687F4B"/>
    <w:rsid w:val="00690627"/>
    <w:rsid w:val="00691140"/>
    <w:rsid w:val="00691217"/>
    <w:rsid w:val="006915E5"/>
    <w:rsid w:val="00692264"/>
    <w:rsid w:val="006938AC"/>
    <w:rsid w:val="00693BE4"/>
    <w:rsid w:val="006940AF"/>
    <w:rsid w:val="00694561"/>
    <w:rsid w:val="006945BF"/>
    <w:rsid w:val="0069541C"/>
    <w:rsid w:val="006959B3"/>
    <w:rsid w:val="00695B52"/>
    <w:rsid w:val="006962C2"/>
    <w:rsid w:val="006970C8"/>
    <w:rsid w:val="00697600"/>
    <w:rsid w:val="00697AC8"/>
    <w:rsid w:val="006A0C47"/>
    <w:rsid w:val="006A0D46"/>
    <w:rsid w:val="006A0D74"/>
    <w:rsid w:val="006A1BC4"/>
    <w:rsid w:val="006A21D5"/>
    <w:rsid w:val="006A2752"/>
    <w:rsid w:val="006A2D84"/>
    <w:rsid w:val="006A4398"/>
    <w:rsid w:val="006A47E8"/>
    <w:rsid w:val="006A4802"/>
    <w:rsid w:val="006A488E"/>
    <w:rsid w:val="006A4970"/>
    <w:rsid w:val="006A5E75"/>
    <w:rsid w:val="006A5F54"/>
    <w:rsid w:val="006A5F6E"/>
    <w:rsid w:val="006A6369"/>
    <w:rsid w:val="006A6984"/>
    <w:rsid w:val="006A6BF4"/>
    <w:rsid w:val="006A71A0"/>
    <w:rsid w:val="006A74D3"/>
    <w:rsid w:val="006A7510"/>
    <w:rsid w:val="006A7EC7"/>
    <w:rsid w:val="006B1F78"/>
    <w:rsid w:val="006B1F7E"/>
    <w:rsid w:val="006B2012"/>
    <w:rsid w:val="006B2508"/>
    <w:rsid w:val="006B26E5"/>
    <w:rsid w:val="006B27B2"/>
    <w:rsid w:val="006B2E93"/>
    <w:rsid w:val="006B3F7E"/>
    <w:rsid w:val="006B4360"/>
    <w:rsid w:val="006B4F0B"/>
    <w:rsid w:val="006B589E"/>
    <w:rsid w:val="006B6B76"/>
    <w:rsid w:val="006B6E68"/>
    <w:rsid w:val="006B7553"/>
    <w:rsid w:val="006B7B72"/>
    <w:rsid w:val="006C09ED"/>
    <w:rsid w:val="006C0EF0"/>
    <w:rsid w:val="006C13BC"/>
    <w:rsid w:val="006C1AAC"/>
    <w:rsid w:val="006C236E"/>
    <w:rsid w:val="006C243C"/>
    <w:rsid w:val="006C336D"/>
    <w:rsid w:val="006C35F3"/>
    <w:rsid w:val="006C3D17"/>
    <w:rsid w:val="006C4CC0"/>
    <w:rsid w:val="006C5010"/>
    <w:rsid w:val="006C5083"/>
    <w:rsid w:val="006C5FCF"/>
    <w:rsid w:val="006C6031"/>
    <w:rsid w:val="006C62DD"/>
    <w:rsid w:val="006C690F"/>
    <w:rsid w:val="006C6988"/>
    <w:rsid w:val="006C699C"/>
    <w:rsid w:val="006C6A4B"/>
    <w:rsid w:val="006C6F07"/>
    <w:rsid w:val="006C7053"/>
    <w:rsid w:val="006D0AE3"/>
    <w:rsid w:val="006D1694"/>
    <w:rsid w:val="006D240E"/>
    <w:rsid w:val="006D273C"/>
    <w:rsid w:val="006D2F6B"/>
    <w:rsid w:val="006D30EF"/>
    <w:rsid w:val="006D3D7F"/>
    <w:rsid w:val="006D3DCC"/>
    <w:rsid w:val="006D41B8"/>
    <w:rsid w:val="006D4377"/>
    <w:rsid w:val="006D49BE"/>
    <w:rsid w:val="006D4F29"/>
    <w:rsid w:val="006D51C0"/>
    <w:rsid w:val="006D624A"/>
    <w:rsid w:val="006D6718"/>
    <w:rsid w:val="006D685E"/>
    <w:rsid w:val="006D6C62"/>
    <w:rsid w:val="006D7002"/>
    <w:rsid w:val="006D7075"/>
    <w:rsid w:val="006D70E0"/>
    <w:rsid w:val="006D7CB0"/>
    <w:rsid w:val="006E0095"/>
    <w:rsid w:val="006E0884"/>
    <w:rsid w:val="006E1A11"/>
    <w:rsid w:val="006E1BEA"/>
    <w:rsid w:val="006E1CBF"/>
    <w:rsid w:val="006E2023"/>
    <w:rsid w:val="006E2B56"/>
    <w:rsid w:val="006E3888"/>
    <w:rsid w:val="006E459D"/>
    <w:rsid w:val="006E4CDA"/>
    <w:rsid w:val="006E5136"/>
    <w:rsid w:val="006E55C3"/>
    <w:rsid w:val="006E56F8"/>
    <w:rsid w:val="006E6A55"/>
    <w:rsid w:val="006E73C7"/>
    <w:rsid w:val="006E7795"/>
    <w:rsid w:val="006F093C"/>
    <w:rsid w:val="006F0C47"/>
    <w:rsid w:val="006F1391"/>
    <w:rsid w:val="006F23BC"/>
    <w:rsid w:val="006F2476"/>
    <w:rsid w:val="006F3443"/>
    <w:rsid w:val="006F34F7"/>
    <w:rsid w:val="006F3E40"/>
    <w:rsid w:val="006F40B4"/>
    <w:rsid w:val="006F4580"/>
    <w:rsid w:val="006F45AC"/>
    <w:rsid w:val="006F45B4"/>
    <w:rsid w:val="006F4AF5"/>
    <w:rsid w:val="006F4B7D"/>
    <w:rsid w:val="006F522F"/>
    <w:rsid w:val="006F54A8"/>
    <w:rsid w:val="006F56FE"/>
    <w:rsid w:val="006F57C7"/>
    <w:rsid w:val="006F5982"/>
    <w:rsid w:val="006F6E4D"/>
    <w:rsid w:val="006F7076"/>
    <w:rsid w:val="006F7422"/>
    <w:rsid w:val="006F7F28"/>
    <w:rsid w:val="007000CD"/>
    <w:rsid w:val="0070086E"/>
    <w:rsid w:val="007010CA"/>
    <w:rsid w:val="007021AC"/>
    <w:rsid w:val="00702779"/>
    <w:rsid w:val="00703909"/>
    <w:rsid w:val="00704234"/>
    <w:rsid w:val="00704493"/>
    <w:rsid w:val="007048F6"/>
    <w:rsid w:val="00705405"/>
    <w:rsid w:val="0070543E"/>
    <w:rsid w:val="007060EA"/>
    <w:rsid w:val="0070726C"/>
    <w:rsid w:val="00707CCD"/>
    <w:rsid w:val="00710C08"/>
    <w:rsid w:val="0071130D"/>
    <w:rsid w:val="00711AB8"/>
    <w:rsid w:val="00711CBA"/>
    <w:rsid w:val="00711DD3"/>
    <w:rsid w:val="00711ED9"/>
    <w:rsid w:val="007121E6"/>
    <w:rsid w:val="00713133"/>
    <w:rsid w:val="00713907"/>
    <w:rsid w:val="007142DB"/>
    <w:rsid w:val="00714F8F"/>
    <w:rsid w:val="00715024"/>
    <w:rsid w:val="00715204"/>
    <w:rsid w:val="00715313"/>
    <w:rsid w:val="0071588B"/>
    <w:rsid w:val="00715B3E"/>
    <w:rsid w:val="00716138"/>
    <w:rsid w:val="007202A0"/>
    <w:rsid w:val="00720A0C"/>
    <w:rsid w:val="007213F6"/>
    <w:rsid w:val="00722242"/>
    <w:rsid w:val="007230B8"/>
    <w:rsid w:val="00723250"/>
    <w:rsid w:val="0072356C"/>
    <w:rsid w:val="00724A24"/>
    <w:rsid w:val="007254F2"/>
    <w:rsid w:val="0072595B"/>
    <w:rsid w:val="0072660B"/>
    <w:rsid w:val="00726739"/>
    <w:rsid w:val="007268B3"/>
    <w:rsid w:val="007271DD"/>
    <w:rsid w:val="00727BB8"/>
    <w:rsid w:val="0073076D"/>
    <w:rsid w:val="0073095E"/>
    <w:rsid w:val="00730C65"/>
    <w:rsid w:val="00733036"/>
    <w:rsid w:val="0073306B"/>
    <w:rsid w:val="0073388F"/>
    <w:rsid w:val="00734327"/>
    <w:rsid w:val="0073438F"/>
    <w:rsid w:val="007343D5"/>
    <w:rsid w:val="007345A5"/>
    <w:rsid w:val="007346D3"/>
    <w:rsid w:val="00735EF1"/>
    <w:rsid w:val="0073614B"/>
    <w:rsid w:val="00736C26"/>
    <w:rsid w:val="00741280"/>
    <w:rsid w:val="007415C0"/>
    <w:rsid w:val="00741D4A"/>
    <w:rsid w:val="0074204E"/>
    <w:rsid w:val="007422E4"/>
    <w:rsid w:val="007426CB"/>
    <w:rsid w:val="00742826"/>
    <w:rsid w:val="00743DBE"/>
    <w:rsid w:val="00744032"/>
    <w:rsid w:val="00744228"/>
    <w:rsid w:val="00744874"/>
    <w:rsid w:val="00745258"/>
    <w:rsid w:val="00746D99"/>
    <w:rsid w:val="00746FEC"/>
    <w:rsid w:val="00747267"/>
    <w:rsid w:val="00747DA7"/>
    <w:rsid w:val="00753561"/>
    <w:rsid w:val="00754C2A"/>
    <w:rsid w:val="00754C7F"/>
    <w:rsid w:val="0075530B"/>
    <w:rsid w:val="00755333"/>
    <w:rsid w:val="0075653C"/>
    <w:rsid w:val="00756788"/>
    <w:rsid w:val="007568D6"/>
    <w:rsid w:val="0075768B"/>
    <w:rsid w:val="007608DB"/>
    <w:rsid w:val="00760B61"/>
    <w:rsid w:val="007610FE"/>
    <w:rsid w:val="00761EC4"/>
    <w:rsid w:val="00763A8A"/>
    <w:rsid w:val="0076548F"/>
    <w:rsid w:val="00765538"/>
    <w:rsid w:val="007660BF"/>
    <w:rsid w:val="00766FC1"/>
    <w:rsid w:val="0076746D"/>
    <w:rsid w:val="00767D49"/>
    <w:rsid w:val="0077067A"/>
    <w:rsid w:val="00770707"/>
    <w:rsid w:val="0077202B"/>
    <w:rsid w:val="007728B1"/>
    <w:rsid w:val="00773047"/>
    <w:rsid w:val="00774087"/>
    <w:rsid w:val="007753FF"/>
    <w:rsid w:val="00775F84"/>
    <w:rsid w:val="007765CB"/>
    <w:rsid w:val="007767DF"/>
    <w:rsid w:val="00776825"/>
    <w:rsid w:val="00777016"/>
    <w:rsid w:val="007774D4"/>
    <w:rsid w:val="00777D1A"/>
    <w:rsid w:val="00777D9A"/>
    <w:rsid w:val="00780575"/>
    <w:rsid w:val="0078161C"/>
    <w:rsid w:val="00781E73"/>
    <w:rsid w:val="007832D3"/>
    <w:rsid w:val="007834F7"/>
    <w:rsid w:val="0078478F"/>
    <w:rsid w:val="00786880"/>
    <w:rsid w:val="00787B29"/>
    <w:rsid w:val="00787D60"/>
    <w:rsid w:val="00787D67"/>
    <w:rsid w:val="00791665"/>
    <w:rsid w:val="0079189A"/>
    <w:rsid w:val="007919E7"/>
    <w:rsid w:val="00793EF9"/>
    <w:rsid w:val="00794156"/>
    <w:rsid w:val="00794F88"/>
    <w:rsid w:val="00795057"/>
    <w:rsid w:val="007960B0"/>
    <w:rsid w:val="007962CE"/>
    <w:rsid w:val="007965A8"/>
    <w:rsid w:val="0079683B"/>
    <w:rsid w:val="00796869"/>
    <w:rsid w:val="00796B68"/>
    <w:rsid w:val="007A0BCF"/>
    <w:rsid w:val="007A12B2"/>
    <w:rsid w:val="007A13C1"/>
    <w:rsid w:val="007A1704"/>
    <w:rsid w:val="007A2819"/>
    <w:rsid w:val="007A2D76"/>
    <w:rsid w:val="007A310F"/>
    <w:rsid w:val="007A3636"/>
    <w:rsid w:val="007A4215"/>
    <w:rsid w:val="007A4A8E"/>
    <w:rsid w:val="007A53F5"/>
    <w:rsid w:val="007A57BA"/>
    <w:rsid w:val="007A6464"/>
    <w:rsid w:val="007A6740"/>
    <w:rsid w:val="007A7397"/>
    <w:rsid w:val="007A7AAD"/>
    <w:rsid w:val="007A7DBF"/>
    <w:rsid w:val="007B19EB"/>
    <w:rsid w:val="007B1E25"/>
    <w:rsid w:val="007B2150"/>
    <w:rsid w:val="007B325F"/>
    <w:rsid w:val="007B3A44"/>
    <w:rsid w:val="007B3DB9"/>
    <w:rsid w:val="007B4E24"/>
    <w:rsid w:val="007B6939"/>
    <w:rsid w:val="007B6A0A"/>
    <w:rsid w:val="007B7258"/>
    <w:rsid w:val="007B7C7B"/>
    <w:rsid w:val="007B7E0C"/>
    <w:rsid w:val="007C0995"/>
    <w:rsid w:val="007C18D3"/>
    <w:rsid w:val="007C19A9"/>
    <w:rsid w:val="007C1A06"/>
    <w:rsid w:val="007C1C3F"/>
    <w:rsid w:val="007C2253"/>
    <w:rsid w:val="007C22E1"/>
    <w:rsid w:val="007C39A1"/>
    <w:rsid w:val="007C3B29"/>
    <w:rsid w:val="007C4316"/>
    <w:rsid w:val="007C45E3"/>
    <w:rsid w:val="007C5809"/>
    <w:rsid w:val="007C5909"/>
    <w:rsid w:val="007C5E2B"/>
    <w:rsid w:val="007C5F30"/>
    <w:rsid w:val="007C5FAB"/>
    <w:rsid w:val="007C66AF"/>
    <w:rsid w:val="007C6745"/>
    <w:rsid w:val="007C7761"/>
    <w:rsid w:val="007D0568"/>
    <w:rsid w:val="007D16EE"/>
    <w:rsid w:val="007D17C4"/>
    <w:rsid w:val="007D1906"/>
    <w:rsid w:val="007D20C0"/>
    <w:rsid w:val="007D2D9A"/>
    <w:rsid w:val="007D47B0"/>
    <w:rsid w:val="007D4845"/>
    <w:rsid w:val="007D498B"/>
    <w:rsid w:val="007D49F7"/>
    <w:rsid w:val="007D5092"/>
    <w:rsid w:val="007D5B3B"/>
    <w:rsid w:val="007D6EE2"/>
    <w:rsid w:val="007E12D7"/>
    <w:rsid w:val="007E2C26"/>
    <w:rsid w:val="007E3E42"/>
    <w:rsid w:val="007E409D"/>
    <w:rsid w:val="007E4715"/>
    <w:rsid w:val="007E47AF"/>
    <w:rsid w:val="007E4AC2"/>
    <w:rsid w:val="007E62DA"/>
    <w:rsid w:val="007E6484"/>
    <w:rsid w:val="007E69EB"/>
    <w:rsid w:val="007E6CE9"/>
    <w:rsid w:val="007E6E82"/>
    <w:rsid w:val="007E7083"/>
    <w:rsid w:val="007F0ED8"/>
    <w:rsid w:val="007F1357"/>
    <w:rsid w:val="007F2A1A"/>
    <w:rsid w:val="007F2F5D"/>
    <w:rsid w:val="007F359E"/>
    <w:rsid w:val="007F3B0F"/>
    <w:rsid w:val="007F3D45"/>
    <w:rsid w:val="007F3E1A"/>
    <w:rsid w:val="007F441F"/>
    <w:rsid w:val="007F4ED1"/>
    <w:rsid w:val="007F5819"/>
    <w:rsid w:val="007F6396"/>
    <w:rsid w:val="007F6E9E"/>
    <w:rsid w:val="007F7066"/>
    <w:rsid w:val="008009C0"/>
    <w:rsid w:val="0080177A"/>
    <w:rsid w:val="00801D3D"/>
    <w:rsid w:val="00802392"/>
    <w:rsid w:val="00802739"/>
    <w:rsid w:val="00802933"/>
    <w:rsid w:val="00802B06"/>
    <w:rsid w:val="00802BCB"/>
    <w:rsid w:val="00802F62"/>
    <w:rsid w:val="0080342D"/>
    <w:rsid w:val="008034E8"/>
    <w:rsid w:val="008043A4"/>
    <w:rsid w:val="00804B8A"/>
    <w:rsid w:val="00805586"/>
    <w:rsid w:val="00805DD5"/>
    <w:rsid w:val="00806653"/>
    <w:rsid w:val="00807706"/>
    <w:rsid w:val="00807A3B"/>
    <w:rsid w:val="00810B97"/>
    <w:rsid w:val="008110F9"/>
    <w:rsid w:val="008116E1"/>
    <w:rsid w:val="00812D8F"/>
    <w:rsid w:val="00812E0B"/>
    <w:rsid w:val="0081367A"/>
    <w:rsid w:val="0081378F"/>
    <w:rsid w:val="008144DC"/>
    <w:rsid w:val="00815499"/>
    <w:rsid w:val="00815BD9"/>
    <w:rsid w:val="00815C55"/>
    <w:rsid w:val="00815DF6"/>
    <w:rsid w:val="00815E17"/>
    <w:rsid w:val="00815F6E"/>
    <w:rsid w:val="008163EA"/>
    <w:rsid w:val="00817427"/>
    <w:rsid w:val="00820056"/>
    <w:rsid w:val="00820829"/>
    <w:rsid w:val="00820A16"/>
    <w:rsid w:val="00820D2D"/>
    <w:rsid w:val="00820F1B"/>
    <w:rsid w:val="0082208C"/>
    <w:rsid w:val="008226FA"/>
    <w:rsid w:val="00822BCC"/>
    <w:rsid w:val="00822FD2"/>
    <w:rsid w:val="0082418C"/>
    <w:rsid w:val="0082567B"/>
    <w:rsid w:val="008258ED"/>
    <w:rsid w:val="00827429"/>
    <w:rsid w:val="00827EA9"/>
    <w:rsid w:val="00830573"/>
    <w:rsid w:val="008305C4"/>
    <w:rsid w:val="00831466"/>
    <w:rsid w:val="00831783"/>
    <w:rsid w:val="00831939"/>
    <w:rsid w:val="00832240"/>
    <w:rsid w:val="008323FD"/>
    <w:rsid w:val="00832C3C"/>
    <w:rsid w:val="00832C55"/>
    <w:rsid w:val="00832FA9"/>
    <w:rsid w:val="00834C87"/>
    <w:rsid w:val="0083541A"/>
    <w:rsid w:val="00835D23"/>
    <w:rsid w:val="00835E9B"/>
    <w:rsid w:val="008365D0"/>
    <w:rsid w:val="00836AF6"/>
    <w:rsid w:val="00836B2A"/>
    <w:rsid w:val="00836BDF"/>
    <w:rsid w:val="008404D7"/>
    <w:rsid w:val="008406B5"/>
    <w:rsid w:val="008407A8"/>
    <w:rsid w:val="00841FA1"/>
    <w:rsid w:val="008422E9"/>
    <w:rsid w:val="00842890"/>
    <w:rsid w:val="0084298F"/>
    <w:rsid w:val="00842E66"/>
    <w:rsid w:val="00843A59"/>
    <w:rsid w:val="00844172"/>
    <w:rsid w:val="0084417A"/>
    <w:rsid w:val="00844FCA"/>
    <w:rsid w:val="00844FCB"/>
    <w:rsid w:val="00845169"/>
    <w:rsid w:val="00845F41"/>
    <w:rsid w:val="0084601D"/>
    <w:rsid w:val="00846A94"/>
    <w:rsid w:val="008470A9"/>
    <w:rsid w:val="008472A5"/>
    <w:rsid w:val="008479F8"/>
    <w:rsid w:val="008504A2"/>
    <w:rsid w:val="008520DE"/>
    <w:rsid w:val="0085242C"/>
    <w:rsid w:val="0085261D"/>
    <w:rsid w:val="00853BB6"/>
    <w:rsid w:val="008545B8"/>
    <w:rsid w:val="008546F0"/>
    <w:rsid w:val="008553D8"/>
    <w:rsid w:val="00855C91"/>
    <w:rsid w:val="00856202"/>
    <w:rsid w:val="00856ABD"/>
    <w:rsid w:val="00860850"/>
    <w:rsid w:val="00860A08"/>
    <w:rsid w:val="00860DD6"/>
    <w:rsid w:val="00861082"/>
    <w:rsid w:val="00861650"/>
    <w:rsid w:val="00861AE4"/>
    <w:rsid w:val="00861E7B"/>
    <w:rsid w:val="00862C85"/>
    <w:rsid w:val="00862E7B"/>
    <w:rsid w:val="00862EE7"/>
    <w:rsid w:val="00863178"/>
    <w:rsid w:val="00863DB1"/>
    <w:rsid w:val="00863E64"/>
    <w:rsid w:val="00864225"/>
    <w:rsid w:val="008647E2"/>
    <w:rsid w:val="00864DDD"/>
    <w:rsid w:val="008654B2"/>
    <w:rsid w:val="0086566F"/>
    <w:rsid w:val="008656E3"/>
    <w:rsid w:val="008658C6"/>
    <w:rsid w:val="008666CE"/>
    <w:rsid w:val="00867105"/>
    <w:rsid w:val="008712AF"/>
    <w:rsid w:val="00871AB2"/>
    <w:rsid w:val="00871E81"/>
    <w:rsid w:val="008725F8"/>
    <w:rsid w:val="00872D2B"/>
    <w:rsid w:val="00873D63"/>
    <w:rsid w:val="008740DB"/>
    <w:rsid w:val="008744E8"/>
    <w:rsid w:val="008746DF"/>
    <w:rsid w:val="00875803"/>
    <w:rsid w:val="00875FD5"/>
    <w:rsid w:val="00875FF1"/>
    <w:rsid w:val="00876348"/>
    <w:rsid w:val="00876362"/>
    <w:rsid w:val="00876ED7"/>
    <w:rsid w:val="0087751A"/>
    <w:rsid w:val="00877A53"/>
    <w:rsid w:val="008808E3"/>
    <w:rsid w:val="00880B6E"/>
    <w:rsid w:val="00880DB9"/>
    <w:rsid w:val="0088152D"/>
    <w:rsid w:val="00881DB4"/>
    <w:rsid w:val="00881FF2"/>
    <w:rsid w:val="00882836"/>
    <w:rsid w:val="00883ABA"/>
    <w:rsid w:val="008845F8"/>
    <w:rsid w:val="00884B0E"/>
    <w:rsid w:val="00884DAF"/>
    <w:rsid w:val="008852D0"/>
    <w:rsid w:val="0088574B"/>
    <w:rsid w:val="00885C9C"/>
    <w:rsid w:val="00887082"/>
    <w:rsid w:val="0088745E"/>
    <w:rsid w:val="0088777F"/>
    <w:rsid w:val="00887B5C"/>
    <w:rsid w:val="008916B3"/>
    <w:rsid w:val="00891A7E"/>
    <w:rsid w:val="00892D61"/>
    <w:rsid w:val="008933A7"/>
    <w:rsid w:val="00893B6D"/>
    <w:rsid w:val="00893BA0"/>
    <w:rsid w:val="00893ED0"/>
    <w:rsid w:val="0089430E"/>
    <w:rsid w:val="008944D4"/>
    <w:rsid w:val="00894632"/>
    <w:rsid w:val="00894E1F"/>
    <w:rsid w:val="00896047"/>
    <w:rsid w:val="008965F2"/>
    <w:rsid w:val="00896A52"/>
    <w:rsid w:val="00896ADF"/>
    <w:rsid w:val="00897576"/>
    <w:rsid w:val="00897BF6"/>
    <w:rsid w:val="008A1EAE"/>
    <w:rsid w:val="008A250D"/>
    <w:rsid w:val="008A25F9"/>
    <w:rsid w:val="008A3000"/>
    <w:rsid w:val="008A37B6"/>
    <w:rsid w:val="008A4403"/>
    <w:rsid w:val="008A4479"/>
    <w:rsid w:val="008A529C"/>
    <w:rsid w:val="008A5632"/>
    <w:rsid w:val="008A6279"/>
    <w:rsid w:val="008A6E50"/>
    <w:rsid w:val="008A7029"/>
    <w:rsid w:val="008A7595"/>
    <w:rsid w:val="008B01C4"/>
    <w:rsid w:val="008B01D9"/>
    <w:rsid w:val="008B0825"/>
    <w:rsid w:val="008B0B04"/>
    <w:rsid w:val="008B36C5"/>
    <w:rsid w:val="008B3EB0"/>
    <w:rsid w:val="008B48D5"/>
    <w:rsid w:val="008B5970"/>
    <w:rsid w:val="008B6288"/>
    <w:rsid w:val="008B6D1E"/>
    <w:rsid w:val="008C0E33"/>
    <w:rsid w:val="008C13DA"/>
    <w:rsid w:val="008C1833"/>
    <w:rsid w:val="008C1E57"/>
    <w:rsid w:val="008C2EB1"/>
    <w:rsid w:val="008C37A3"/>
    <w:rsid w:val="008C3812"/>
    <w:rsid w:val="008C3B2F"/>
    <w:rsid w:val="008C3C2D"/>
    <w:rsid w:val="008C3D31"/>
    <w:rsid w:val="008C3EB8"/>
    <w:rsid w:val="008C4006"/>
    <w:rsid w:val="008C440F"/>
    <w:rsid w:val="008C5DB2"/>
    <w:rsid w:val="008C5E06"/>
    <w:rsid w:val="008C6F9C"/>
    <w:rsid w:val="008C705C"/>
    <w:rsid w:val="008C7288"/>
    <w:rsid w:val="008C73A0"/>
    <w:rsid w:val="008C77E8"/>
    <w:rsid w:val="008C780C"/>
    <w:rsid w:val="008C7C06"/>
    <w:rsid w:val="008D0FD1"/>
    <w:rsid w:val="008D192B"/>
    <w:rsid w:val="008D193C"/>
    <w:rsid w:val="008D2030"/>
    <w:rsid w:val="008D223A"/>
    <w:rsid w:val="008D2E97"/>
    <w:rsid w:val="008D328E"/>
    <w:rsid w:val="008D392A"/>
    <w:rsid w:val="008D3FE3"/>
    <w:rsid w:val="008D43A0"/>
    <w:rsid w:val="008D441D"/>
    <w:rsid w:val="008D4719"/>
    <w:rsid w:val="008D489E"/>
    <w:rsid w:val="008D53E7"/>
    <w:rsid w:val="008D592F"/>
    <w:rsid w:val="008D5A85"/>
    <w:rsid w:val="008D5E9A"/>
    <w:rsid w:val="008D600B"/>
    <w:rsid w:val="008D66BD"/>
    <w:rsid w:val="008D6A4D"/>
    <w:rsid w:val="008D6A68"/>
    <w:rsid w:val="008D6BC3"/>
    <w:rsid w:val="008D77C4"/>
    <w:rsid w:val="008D7840"/>
    <w:rsid w:val="008D7BF4"/>
    <w:rsid w:val="008E0EDB"/>
    <w:rsid w:val="008E1238"/>
    <w:rsid w:val="008E1692"/>
    <w:rsid w:val="008E2629"/>
    <w:rsid w:val="008E398E"/>
    <w:rsid w:val="008E3B21"/>
    <w:rsid w:val="008E5642"/>
    <w:rsid w:val="008E5EBE"/>
    <w:rsid w:val="008E69B5"/>
    <w:rsid w:val="008F0067"/>
    <w:rsid w:val="008F068F"/>
    <w:rsid w:val="008F0724"/>
    <w:rsid w:val="008F1A24"/>
    <w:rsid w:val="008F1B92"/>
    <w:rsid w:val="008F1BEB"/>
    <w:rsid w:val="008F1CC5"/>
    <w:rsid w:val="008F229B"/>
    <w:rsid w:val="008F32ED"/>
    <w:rsid w:val="008F38DA"/>
    <w:rsid w:val="008F393E"/>
    <w:rsid w:val="008F3D46"/>
    <w:rsid w:val="008F4E01"/>
    <w:rsid w:val="008F6776"/>
    <w:rsid w:val="008F788C"/>
    <w:rsid w:val="008F7901"/>
    <w:rsid w:val="00900225"/>
    <w:rsid w:val="00900962"/>
    <w:rsid w:val="00900B41"/>
    <w:rsid w:val="00900DF9"/>
    <w:rsid w:val="00900E34"/>
    <w:rsid w:val="00900FA8"/>
    <w:rsid w:val="00901304"/>
    <w:rsid w:val="0090136D"/>
    <w:rsid w:val="00902053"/>
    <w:rsid w:val="009028F9"/>
    <w:rsid w:val="009029A6"/>
    <w:rsid w:val="00902FB5"/>
    <w:rsid w:val="00904D95"/>
    <w:rsid w:val="009055E3"/>
    <w:rsid w:val="00905B29"/>
    <w:rsid w:val="00906A87"/>
    <w:rsid w:val="00906C76"/>
    <w:rsid w:val="0090770D"/>
    <w:rsid w:val="0091030D"/>
    <w:rsid w:val="00911D57"/>
    <w:rsid w:val="00911DD4"/>
    <w:rsid w:val="00912207"/>
    <w:rsid w:val="00912DB5"/>
    <w:rsid w:val="009139CE"/>
    <w:rsid w:val="00913AE2"/>
    <w:rsid w:val="00913B86"/>
    <w:rsid w:val="0091475B"/>
    <w:rsid w:val="00914D60"/>
    <w:rsid w:val="00915426"/>
    <w:rsid w:val="0091783F"/>
    <w:rsid w:val="00920AF3"/>
    <w:rsid w:val="00922586"/>
    <w:rsid w:val="00922A3E"/>
    <w:rsid w:val="00922A4C"/>
    <w:rsid w:val="00922AE7"/>
    <w:rsid w:val="0092344E"/>
    <w:rsid w:val="00923736"/>
    <w:rsid w:val="00923942"/>
    <w:rsid w:val="009244C7"/>
    <w:rsid w:val="00924E5A"/>
    <w:rsid w:val="00925B21"/>
    <w:rsid w:val="00925D23"/>
    <w:rsid w:val="0092616C"/>
    <w:rsid w:val="00926244"/>
    <w:rsid w:val="00926C73"/>
    <w:rsid w:val="00927BB3"/>
    <w:rsid w:val="0093044A"/>
    <w:rsid w:val="009304DE"/>
    <w:rsid w:val="009304F5"/>
    <w:rsid w:val="0093059F"/>
    <w:rsid w:val="00930874"/>
    <w:rsid w:val="00930F19"/>
    <w:rsid w:val="00931F4F"/>
    <w:rsid w:val="00932896"/>
    <w:rsid w:val="00932B92"/>
    <w:rsid w:val="0093461A"/>
    <w:rsid w:val="009346FD"/>
    <w:rsid w:val="009349BB"/>
    <w:rsid w:val="00934A97"/>
    <w:rsid w:val="009353BF"/>
    <w:rsid w:val="00935DC2"/>
    <w:rsid w:val="00936CFF"/>
    <w:rsid w:val="00936F91"/>
    <w:rsid w:val="009371A3"/>
    <w:rsid w:val="009374B3"/>
    <w:rsid w:val="009377DF"/>
    <w:rsid w:val="0094048F"/>
    <w:rsid w:val="00940A01"/>
    <w:rsid w:val="00940E17"/>
    <w:rsid w:val="009410E8"/>
    <w:rsid w:val="0094183E"/>
    <w:rsid w:val="00942988"/>
    <w:rsid w:val="00943184"/>
    <w:rsid w:val="009433DC"/>
    <w:rsid w:val="00943FF0"/>
    <w:rsid w:val="00944B77"/>
    <w:rsid w:val="00944BA9"/>
    <w:rsid w:val="00944C35"/>
    <w:rsid w:val="00944D75"/>
    <w:rsid w:val="00945192"/>
    <w:rsid w:val="0094522A"/>
    <w:rsid w:val="00945304"/>
    <w:rsid w:val="00945E86"/>
    <w:rsid w:val="00945EDD"/>
    <w:rsid w:val="00946269"/>
    <w:rsid w:val="00947718"/>
    <w:rsid w:val="00947DFE"/>
    <w:rsid w:val="009501DA"/>
    <w:rsid w:val="0095050B"/>
    <w:rsid w:val="00950B16"/>
    <w:rsid w:val="00950BE4"/>
    <w:rsid w:val="00951BF1"/>
    <w:rsid w:val="009520BA"/>
    <w:rsid w:val="00952509"/>
    <w:rsid w:val="009527CC"/>
    <w:rsid w:val="0095357A"/>
    <w:rsid w:val="0095444B"/>
    <w:rsid w:val="00954782"/>
    <w:rsid w:val="00954FB0"/>
    <w:rsid w:val="00956C75"/>
    <w:rsid w:val="00957DE8"/>
    <w:rsid w:val="00960333"/>
    <w:rsid w:val="00960EE3"/>
    <w:rsid w:val="00961292"/>
    <w:rsid w:val="009624CE"/>
    <w:rsid w:val="009626D4"/>
    <w:rsid w:val="009638E1"/>
    <w:rsid w:val="00963EE6"/>
    <w:rsid w:val="00963FC5"/>
    <w:rsid w:val="0096518B"/>
    <w:rsid w:val="00965356"/>
    <w:rsid w:val="009659F6"/>
    <w:rsid w:val="00965DC1"/>
    <w:rsid w:val="00965F30"/>
    <w:rsid w:val="00965FEE"/>
    <w:rsid w:val="009669DB"/>
    <w:rsid w:val="00966D0D"/>
    <w:rsid w:val="00966D46"/>
    <w:rsid w:val="00966D74"/>
    <w:rsid w:val="0096721E"/>
    <w:rsid w:val="009673A5"/>
    <w:rsid w:val="00967563"/>
    <w:rsid w:val="00970510"/>
    <w:rsid w:val="00970744"/>
    <w:rsid w:val="00970968"/>
    <w:rsid w:val="00970F7F"/>
    <w:rsid w:val="00971828"/>
    <w:rsid w:val="009720A8"/>
    <w:rsid w:val="0097275B"/>
    <w:rsid w:val="00973329"/>
    <w:rsid w:val="00973F8B"/>
    <w:rsid w:val="00973FB4"/>
    <w:rsid w:val="0097444B"/>
    <w:rsid w:val="00975F43"/>
    <w:rsid w:val="00976C48"/>
    <w:rsid w:val="00976E1A"/>
    <w:rsid w:val="0097707E"/>
    <w:rsid w:val="00977280"/>
    <w:rsid w:val="009775C8"/>
    <w:rsid w:val="00977F02"/>
    <w:rsid w:val="00980D5C"/>
    <w:rsid w:val="00981649"/>
    <w:rsid w:val="00982E72"/>
    <w:rsid w:val="00983033"/>
    <w:rsid w:val="009833EC"/>
    <w:rsid w:val="009834E2"/>
    <w:rsid w:val="009836F0"/>
    <w:rsid w:val="00983A58"/>
    <w:rsid w:val="00983FEE"/>
    <w:rsid w:val="00984287"/>
    <w:rsid w:val="00984A45"/>
    <w:rsid w:val="00984F74"/>
    <w:rsid w:val="0098535D"/>
    <w:rsid w:val="00985FBF"/>
    <w:rsid w:val="00986691"/>
    <w:rsid w:val="00986B9C"/>
    <w:rsid w:val="00986D25"/>
    <w:rsid w:val="009878EC"/>
    <w:rsid w:val="00987C25"/>
    <w:rsid w:val="009906DE"/>
    <w:rsid w:val="00990A72"/>
    <w:rsid w:val="00990EEE"/>
    <w:rsid w:val="0099305F"/>
    <w:rsid w:val="0099497D"/>
    <w:rsid w:val="00995202"/>
    <w:rsid w:val="00995929"/>
    <w:rsid w:val="00996682"/>
    <w:rsid w:val="009967CF"/>
    <w:rsid w:val="00996CF7"/>
    <w:rsid w:val="00996D51"/>
    <w:rsid w:val="009A0D63"/>
    <w:rsid w:val="009A141E"/>
    <w:rsid w:val="009A1483"/>
    <w:rsid w:val="009A21F0"/>
    <w:rsid w:val="009A24DD"/>
    <w:rsid w:val="009A2EA0"/>
    <w:rsid w:val="009A3767"/>
    <w:rsid w:val="009A379E"/>
    <w:rsid w:val="009A3BB7"/>
    <w:rsid w:val="009A403B"/>
    <w:rsid w:val="009A4EFF"/>
    <w:rsid w:val="009A7428"/>
    <w:rsid w:val="009A7F9D"/>
    <w:rsid w:val="009B01BD"/>
    <w:rsid w:val="009B1131"/>
    <w:rsid w:val="009B12D0"/>
    <w:rsid w:val="009B159B"/>
    <w:rsid w:val="009B276A"/>
    <w:rsid w:val="009B32E2"/>
    <w:rsid w:val="009B38BC"/>
    <w:rsid w:val="009B43C2"/>
    <w:rsid w:val="009B4B74"/>
    <w:rsid w:val="009B4BB3"/>
    <w:rsid w:val="009B4C15"/>
    <w:rsid w:val="009B56C4"/>
    <w:rsid w:val="009B58B1"/>
    <w:rsid w:val="009B690A"/>
    <w:rsid w:val="009B71F7"/>
    <w:rsid w:val="009B7463"/>
    <w:rsid w:val="009C0CC9"/>
    <w:rsid w:val="009C0DA0"/>
    <w:rsid w:val="009C136D"/>
    <w:rsid w:val="009C1DC1"/>
    <w:rsid w:val="009C208B"/>
    <w:rsid w:val="009C28D5"/>
    <w:rsid w:val="009C3208"/>
    <w:rsid w:val="009C3E79"/>
    <w:rsid w:val="009C433D"/>
    <w:rsid w:val="009C581F"/>
    <w:rsid w:val="009C663A"/>
    <w:rsid w:val="009C6C9E"/>
    <w:rsid w:val="009C728D"/>
    <w:rsid w:val="009C7BA6"/>
    <w:rsid w:val="009C7FB8"/>
    <w:rsid w:val="009D0421"/>
    <w:rsid w:val="009D0A33"/>
    <w:rsid w:val="009D0ABD"/>
    <w:rsid w:val="009D25E4"/>
    <w:rsid w:val="009D2AB9"/>
    <w:rsid w:val="009D372F"/>
    <w:rsid w:val="009D3745"/>
    <w:rsid w:val="009D3EAD"/>
    <w:rsid w:val="009D5207"/>
    <w:rsid w:val="009D52E5"/>
    <w:rsid w:val="009D54B5"/>
    <w:rsid w:val="009D556D"/>
    <w:rsid w:val="009D5A71"/>
    <w:rsid w:val="009D5E51"/>
    <w:rsid w:val="009D6B8F"/>
    <w:rsid w:val="009D707F"/>
    <w:rsid w:val="009D7470"/>
    <w:rsid w:val="009D7AB0"/>
    <w:rsid w:val="009E01BC"/>
    <w:rsid w:val="009E09A8"/>
    <w:rsid w:val="009E1004"/>
    <w:rsid w:val="009E2204"/>
    <w:rsid w:val="009E226A"/>
    <w:rsid w:val="009E22AB"/>
    <w:rsid w:val="009E26AD"/>
    <w:rsid w:val="009E2C46"/>
    <w:rsid w:val="009E2CC8"/>
    <w:rsid w:val="009E306D"/>
    <w:rsid w:val="009E35A3"/>
    <w:rsid w:val="009E3821"/>
    <w:rsid w:val="009E3BE9"/>
    <w:rsid w:val="009E3BFA"/>
    <w:rsid w:val="009E44AF"/>
    <w:rsid w:val="009E4890"/>
    <w:rsid w:val="009E4C80"/>
    <w:rsid w:val="009E514C"/>
    <w:rsid w:val="009E53D6"/>
    <w:rsid w:val="009E5586"/>
    <w:rsid w:val="009E5F55"/>
    <w:rsid w:val="009E6944"/>
    <w:rsid w:val="009E7278"/>
    <w:rsid w:val="009E74CF"/>
    <w:rsid w:val="009E7782"/>
    <w:rsid w:val="009E7DDB"/>
    <w:rsid w:val="009F04F4"/>
    <w:rsid w:val="009F0617"/>
    <w:rsid w:val="009F0920"/>
    <w:rsid w:val="009F1774"/>
    <w:rsid w:val="009F1A10"/>
    <w:rsid w:val="009F1AC5"/>
    <w:rsid w:val="009F294C"/>
    <w:rsid w:val="009F3208"/>
    <w:rsid w:val="009F4C59"/>
    <w:rsid w:val="009F4D97"/>
    <w:rsid w:val="009F5817"/>
    <w:rsid w:val="009F7395"/>
    <w:rsid w:val="009F7A10"/>
    <w:rsid w:val="009F7A6F"/>
    <w:rsid w:val="00A008EA"/>
    <w:rsid w:val="00A0307E"/>
    <w:rsid w:val="00A033CE"/>
    <w:rsid w:val="00A037A1"/>
    <w:rsid w:val="00A038D0"/>
    <w:rsid w:val="00A03BA4"/>
    <w:rsid w:val="00A03BF0"/>
    <w:rsid w:val="00A04032"/>
    <w:rsid w:val="00A04A79"/>
    <w:rsid w:val="00A05979"/>
    <w:rsid w:val="00A059B9"/>
    <w:rsid w:val="00A10452"/>
    <w:rsid w:val="00A10EE4"/>
    <w:rsid w:val="00A11C7A"/>
    <w:rsid w:val="00A13B11"/>
    <w:rsid w:val="00A156AE"/>
    <w:rsid w:val="00A16390"/>
    <w:rsid w:val="00A169AC"/>
    <w:rsid w:val="00A16D82"/>
    <w:rsid w:val="00A16EF8"/>
    <w:rsid w:val="00A171E7"/>
    <w:rsid w:val="00A17A76"/>
    <w:rsid w:val="00A17F8D"/>
    <w:rsid w:val="00A20421"/>
    <w:rsid w:val="00A2051F"/>
    <w:rsid w:val="00A205E1"/>
    <w:rsid w:val="00A2077F"/>
    <w:rsid w:val="00A20C67"/>
    <w:rsid w:val="00A20E03"/>
    <w:rsid w:val="00A21F41"/>
    <w:rsid w:val="00A2257E"/>
    <w:rsid w:val="00A231FD"/>
    <w:rsid w:val="00A2378B"/>
    <w:rsid w:val="00A237FD"/>
    <w:rsid w:val="00A240B9"/>
    <w:rsid w:val="00A24FCB"/>
    <w:rsid w:val="00A25302"/>
    <w:rsid w:val="00A25437"/>
    <w:rsid w:val="00A254C2"/>
    <w:rsid w:val="00A263E0"/>
    <w:rsid w:val="00A263FC"/>
    <w:rsid w:val="00A26685"/>
    <w:rsid w:val="00A26B8F"/>
    <w:rsid w:val="00A26D76"/>
    <w:rsid w:val="00A26F15"/>
    <w:rsid w:val="00A26FBA"/>
    <w:rsid w:val="00A2796C"/>
    <w:rsid w:val="00A27E95"/>
    <w:rsid w:val="00A313DD"/>
    <w:rsid w:val="00A31433"/>
    <w:rsid w:val="00A31C98"/>
    <w:rsid w:val="00A31F68"/>
    <w:rsid w:val="00A32731"/>
    <w:rsid w:val="00A33C59"/>
    <w:rsid w:val="00A34586"/>
    <w:rsid w:val="00A34C8F"/>
    <w:rsid w:val="00A35515"/>
    <w:rsid w:val="00A357D6"/>
    <w:rsid w:val="00A35E51"/>
    <w:rsid w:val="00A36465"/>
    <w:rsid w:val="00A36C04"/>
    <w:rsid w:val="00A36C39"/>
    <w:rsid w:val="00A374C5"/>
    <w:rsid w:val="00A37A78"/>
    <w:rsid w:val="00A40069"/>
    <w:rsid w:val="00A40502"/>
    <w:rsid w:val="00A40A97"/>
    <w:rsid w:val="00A41176"/>
    <w:rsid w:val="00A41C90"/>
    <w:rsid w:val="00A41D1E"/>
    <w:rsid w:val="00A425F4"/>
    <w:rsid w:val="00A434AB"/>
    <w:rsid w:val="00A43B44"/>
    <w:rsid w:val="00A44235"/>
    <w:rsid w:val="00A45BDE"/>
    <w:rsid w:val="00A462E4"/>
    <w:rsid w:val="00A46543"/>
    <w:rsid w:val="00A466BC"/>
    <w:rsid w:val="00A46858"/>
    <w:rsid w:val="00A46989"/>
    <w:rsid w:val="00A47A19"/>
    <w:rsid w:val="00A502D2"/>
    <w:rsid w:val="00A5136B"/>
    <w:rsid w:val="00A51E2D"/>
    <w:rsid w:val="00A52219"/>
    <w:rsid w:val="00A52756"/>
    <w:rsid w:val="00A52A2A"/>
    <w:rsid w:val="00A53A9F"/>
    <w:rsid w:val="00A540E5"/>
    <w:rsid w:val="00A5455B"/>
    <w:rsid w:val="00A5461D"/>
    <w:rsid w:val="00A54A4F"/>
    <w:rsid w:val="00A54CEF"/>
    <w:rsid w:val="00A5702F"/>
    <w:rsid w:val="00A5730F"/>
    <w:rsid w:val="00A5739F"/>
    <w:rsid w:val="00A57AA1"/>
    <w:rsid w:val="00A613F4"/>
    <w:rsid w:val="00A61BD1"/>
    <w:rsid w:val="00A61F90"/>
    <w:rsid w:val="00A621C8"/>
    <w:rsid w:val="00A62863"/>
    <w:rsid w:val="00A6365E"/>
    <w:rsid w:val="00A643E8"/>
    <w:rsid w:val="00A64A00"/>
    <w:rsid w:val="00A64A85"/>
    <w:rsid w:val="00A64D35"/>
    <w:rsid w:val="00A6552A"/>
    <w:rsid w:val="00A655C3"/>
    <w:rsid w:val="00A65BEA"/>
    <w:rsid w:val="00A65CC0"/>
    <w:rsid w:val="00A66BB3"/>
    <w:rsid w:val="00A66FDA"/>
    <w:rsid w:val="00A7011E"/>
    <w:rsid w:val="00A703CE"/>
    <w:rsid w:val="00A7080F"/>
    <w:rsid w:val="00A72169"/>
    <w:rsid w:val="00A7253D"/>
    <w:rsid w:val="00A72E27"/>
    <w:rsid w:val="00A73548"/>
    <w:rsid w:val="00A73C38"/>
    <w:rsid w:val="00A73F34"/>
    <w:rsid w:val="00A74996"/>
    <w:rsid w:val="00A755AD"/>
    <w:rsid w:val="00A75B79"/>
    <w:rsid w:val="00A75E33"/>
    <w:rsid w:val="00A761E4"/>
    <w:rsid w:val="00A769A2"/>
    <w:rsid w:val="00A7738C"/>
    <w:rsid w:val="00A80106"/>
    <w:rsid w:val="00A815FA"/>
    <w:rsid w:val="00A81614"/>
    <w:rsid w:val="00A81A10"/>
    <w:rsid w:val="00A81C43"/>
    <w:rsid w:val="00A831D6"/>
    <w:rsid w:val="00A84C51"/>
    <w:rsid w:val="00A84C85"/>
    <w:rsid w:val="00A84EC6"/>
    <w:rsid w:val="00A85069"/>
    <w:rsid w:val="00A8541A"/>
    <w:rsid w:val="00A85802"/>
    <w:rsid w:val="00A862B0"/>
    <w:rsid w:val="00A863F2"/>
    <w:rsid w:val="00A8649E"/>
    <w:rsid w:val="00A868BB"/>
    <w:rsid w:val="00A878F0"/>
    <w:rsid w:val="00A87BA3"/>
    <w:rsid w:val="00A87C01"/>
    <w:rsid w:val="00A90906"/>
    <w:rsid w:val="00A91764"/>
    <w:rsid w:val="00A93065"/>
    <w:rsid w:val="00A934D5"/>
    <w:rsid w:val="00A9363C"/>
    <w:rsid w:val="00A93DF6"/>
    <w:rsid w:val="00A94BA5"/>
    <w:rsid w:val="00A94C61"/>
    <w:rsid w:val="00A94D91"/>
    <w:rsid w:val="00A966CE"/>
    <w:rsid w:val="00A966DE"/>
    <w:rsid w:val="00A96A4B"/>
    <w:rsid w:val="00A9726E"/>
    <w:rsid w:val="00A97FB7"/>
    <w:rsid w:val="00AA0163"/>
    <w:rsid w:val="00AA0663"/>
    <w:rsid w:val="00AA082C"/>
    <w:rsid w:val="00AA0CB1"/>
    <w:rsid w:val="00AA18B4"/>
    <w:rsid w:val="00AA2128"/>
    <w:rsid w:val="00AA2BAA"/>
    <w:rsid w:val="00AA2BB8"/>
    <w:rsid w:val="00AA30DD"/>
    <w:rsid w:val="00AA32BA"/>
    <w:rsid w:val="00AA32C3"/>
    <w:rsid w:val="00AA3308"/>
    <w:rsid w:val="00AA34E7"/>
    <w:rsid w:val="00AA35BE"/>
    <w:rsid w:val="00AA38E5"/>
    <w:rsid w:val="00AA3BF7"/>
    <w:rsid w:val="00AA3D7C"/>
    <w:rsid w:val="00AA4231"/>
    <w:rsid w:val="00AA4BB4"/>
    <w:rsid w:val="00AA4CFD"/>
    <w:rsid w:val="00AA5A43"/>
    <w:rsid w:val="00AA663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2AB8"/>
    <w:rsid w:val="00AB2B3B"/>
    <w:rsid w:val="00AB37A7"/>
    <w:rsid w:val="00AB4932"/>
    <w:rsid w:val="00AB499E"/>
    <w:rsid w:val="00AB4A95"/>
    <w:rsid w:val="00AB4B98"/>
    <w:rsid w:val="00AB5340"/>
    <w:rsid w:val="00AB5736"/>
    <w:rsid w:val="00AB585A"/>
    <w:rsid w:val="00AB65A3"/>
    <w:rsid w:val="00AB6B5D"/>
    <w:rsid w:val="00AB772F"/>
    <w:rsid w:val="00AC03D5"/>
    <w:rsid w:val="00AC10F3"/>
    <w:rsid w:val="00AC1C40"/>
    <w:rsid w:val="00AC1EF2"/>
    <w:rsid w:val="00AC2053"/>
    <w:rsid w:val="00AC2AD2"/>
    <w:rsid w:val="00AC31F6"/>
    <w:rsid w:val="00AC3F69"/>
    <w:rsid w:val="00AC4CED"/>
    <w:rsid w:val="00AC4F14"/>
    <w:rsid w:val="00AC58CA"/>
    <w:rsid w:val="00AC5B6B"/>
    <w:rsid w:val="00AC66C2"/>
    <w:rsid w:val="00AC7A05"/>
    <w:rsid w:val="00AC7C2F"/>
    <w:rsid w:val="00AD2D07"/>
    <w:rsid w:val="00AD334B"/>
    <w:rsid w:val="00AD3CC8"/>
    <w:rsid w:val="00AD4037"/>
    <w:rsid w:val="00AD4E88"/>
    <w:rsid w:val="00AD4F64"/>
    <w:rsid w:val="00AD4FFA"/>
    <w:rsid w:val="00AD57E2"/>
    <w:rsid w:val="00AD5B29"/>
    <w:rsid w:val="00AD6D20"/>
    <w:rsid w:val="00AD6E55"/>
    <w:rsid w:val="00AD7D54"/>
    <w:rsid w:val="00AE0363"/>
    <w:rsid w:val="00AE04B2"/>
    <w:rsid w:val="00AE0D42"/>
    <w:rsid w:val="00AE1D38"/>
    <w:rsid w:val="00AE24A3"/>
    <w:rsid w:val="00AE253B"/>
    <w:rsid w:val="00AE33B8"/>
    <w:rsid w:val="00AE402A"/>
    <w:rsid w:val="00AE4CE7"/>
    <w:rsid w:val="00AE53BB"/>
    <w:rsid w:val="00AE53EC"/>
    <w:rsid w:val="00AE5BED"/>
    <w:rsid w:val="00AE72C8"/>
    <w:rsid w:val="00AF0D16"/>
    <w:rsid w:val="00AF0D7A"/>
    <w:rsid w:val="00AF120C"/>
    <w:rsid w:val="00AF1C10"/>
    <w:rsid w:val="00AF20BF"/>
    <w:rsid w:val="00AF21AB"/>
    <w:rsid w:val="00AF29DD"/>
    <w:rsid w:val="00AF2D8F"/>
    <w:rsid w:val="00AF2DE7"/>
    <w:rsid w:val="00AF3DBB"/>
    <w:rsid w:val="00AF44FB"/>
    <w:rsid w:val="00AF4C2F"/>
    <w:rsid w:val="00AF5BDA"/>
    <w:rsid w:val="00AF5F61"/>
    <w:rsid w:val="00AF64C7"/>
    <w:rsid w:val="00AF71E4"/>
    <w:rsid w:val="00AF7468"/>
    <w:rsid w:val="00AF79E7"/>
    <w:rsid w:val="00AF7FDC"/>
    <w:rsid w:val="00B00252"/>
    <w:rsid w:val="00B003FE"/>
    <w:rsid w:val="00B0057D"/>
    <w:rsid w:val="00B00F34"/>
    <w:rsid w:val="00B030E5"/>
    <w:rsid w:val="00B03A95"/>
    <w:rsid w:val="00B04496"/>
    <w:rsid w:val="00B0511D"/>
    <w:rsid w:val="00B05213"/>
    <w:rsid w:val="00B060A3"/>
    <w:rsid w:val="00B073BF"/>
    <w:rsid w:val="00B104E8"/>
    <w:rsid w:val="00B108BC"/>
    <w:rsid w:val="00B11B7B"/>
    <w:rsid w:val="00B1249F"/>
    <w:rsid w:val="00B14CD4"/>
    <w:rsid w:val="00B156C6"/>
    <w:rsid w:val="00B163E0"/>
    <w:rsid w:val="00B16712"/>
    <w:rsid w:val="00B16DA5"/>
    <w:rsid w:val="00B172AD"/>
    <w:rsid w:val="00B17E3F"/>
    <w:rsid w:val="00B2060B"/>
    <w:rsid w:val="00B20B30"/>
    <w:rsid w:val="00B2161C"/>
    <w:rsid w:val="00B216A1"/>
    <w:rsid w:val="00B216F1"/>
    <w:rsid w:val="00B224EC"/>
    <w:rsid w:val="00B231EE"/>
    <w:rsid w:val="00B2323C"/>
    <w:rsid w:val="00B23BC9"/>
    <w:rsid w:val="00B2400D"/>
    <w:rsid w:val="00B24380"/>
    <w:rsid w:val="00B24653"/>
    <w:rsid w:val="00B2491D"/>
    <w:rsid w:val="00B24AC5"/>
    <w:rsid w:val="00B24F03"/>
    <w:rsid w:val="00B250AA"/>
    <w:rsid w:val="00B252F0"/>
    <w:rsid w:val="00B25632"/>
    <w:rsid w:val="00B25ED9"/>
    <w:rsid w:val="00B25EF3"/>
    <w:rsid w:val="00B266C3"/>
    <w:rsid w:val="00B26EA0"/>
    <w:rsid w:val="00B270D4"/>
    <w:rsid w:val="00B30117"/>
    <w:rsid w:val="00B307D7"/>
    <w:rsid w:val="00B3145E"/>
    <w:rsid w:val="00B3148F"/>
    <w:rsid w:val="00B31495"/>
    <w:rsid w:val="00B321E7"/>
    <w:rsid w:val="00B32454"/>
    <w:rsid w:val="00B32672"/>
    <w:rsid w:val="00B32F22"/>
    <w:rsid w:val="00B332BE"/>
    <w:rsid w:val="00B359C0"/>
    <w:rsid w:val="00B36CE1"/>
    <w:rsid w:val="00B3762F"/>
    <w:rsid w:val="00B376AD"/>
    <w:rsid w:val="00B37BF9"/>
    <w:rsid w:val="00B37C88"/>
    <w:rsid w:val="00B37E39"/>
    <w:rsid w:val="00B401B4"/>
    <w:rsid w:val="00B4086F"/>
    <w:rsid w:val="00B40CEB"/>
    <w:rsid w:val="00B41398"/>
    <w:rsid w:val="00B41595"/>
    <w:rsid w:val="00B4161D"/>
    <w:rsid w:val="00B421EA"/>
    <w:rsid w:val="00B425D6"/>
    <w:rsid w:val="00B429F0"/>
    <w:rsid w:val="00B42CAB"/>
    <w:rsid w:val="00B43715"/>
    <w:rsid w:val="00B4415C"/>
    <w:rsid w:val="00B4462F"/>
    <w:rsid w:val="00B44D10"/>
    <w:rsid w:val="00B451DD"/>
    <w:rsid w:val="00B45C15"/>
    <w:rsid w:val="00B46176"/>
    <w:rsid w:val="00B508F5"/>
    <w:rsid w:val="00B512A8"/>
    <w:rsid w:val="00B51748"/>
    <w:rsid w:val="00B5217E"/>
    <w:rsid w:val="00B52D50"/>
    <w:rsid w:val="00B53376"/>
    <w:rsid w:val="00B53CC3"/>
    <w:rsid w:val="00B546EA"/>
    <w:rsid w:val="00B55B7F"/>
    <w:rsid w:val="00B5627B"/>
    <w:rsid w:val="00B56D67"/>
    <w:rsid w:val="00B570A2"/>
    <w:rsid w:val="00B572E9"/>
    <w:rsid w:val="00B574F2"/>
    <w:rsid w:val="00B60734"/>
    <w:rsid w:val="00B61C54"/>
    <w:rsid w:val="00B622CE"/>
    <w:rsid w:val="00B632F2"/>
    <w:rsid w:val="00B6384C"/>
    <w:rsid w:val="00B6449A"/>
    <w:rsid w:val="00B65517"/>
    <w:rsid w:val="00B65E35"/>
    <w:rsid w:val="00B66EFF"/>
    <w:rsid w:val="00B6716E"/>
    <w:rsid w:val="00B67392"/>
    <w:rsid w:val="00B70415"/>
    <w:rsid w:val="00B708A3"/>
    <w:rsid w:val="00B71A15"/>
    <w:rsid w:val="00B7245D"/>
    <w:rsid w:val="00B734AA"/>
    <w:rsid w:val="00B73AEA"/>
    <w:rsid w:val="00B73AF4"/>
    <w:rsid w:val="00B74E06"/>
    <w:rsid w:val="00B75512"/>
    <w:rsid w:val="00B75AE7"/>
    <w:rsid w:val="00B75D7C"/>
    <w:rsid w:val="00B7675C"/>
    <w:rsid w:val="00B76913"/>
    <w:rsid w:val="00B76945"/>
    <w:rsid w:val="00B7705E"/>
    <w:rsid w:val="00B77578"/>
    <w:rsid w:val="00B81618"/>
    <w:rsid w:val="00B8185B"/>
    <w:rsid w:val="00B83392"/>
    <w:rsid w:val="00B8392B"/>
    <w:rsid w:val="00B83D63"/>
    <w:rsid w:val="00B847A2"/>
    <w:rsid w:val="00B84898"/>
    <w:rsid w:val="00B85017"/>
    <w:rsid w:val="00B8545C"/>
    <w:rsid w:val="00B86055"/>
    <w:rsid w:val="00B86280"/>
    <w:rsid w:val="00B86CA3"/>
    <w:rsid w:val="00B86D0A"/>
    <w:rsid w:val="00B87745"/>
    <w:rsid w:val="00B90319"/>
    <w:rsid w:val="00B913C9"/>
    <w:rsid w:val="00B91537"/>
    <w:rsid w:val="00B915AC"/>
    <w:rsid w:val="00B91827"/>
    <w:rsid w:val="00B91848"/>
    <w:rsid w:val="00B92049"/>
    <w:rsid w:val="00B92A20"/>
    <w:rsid w:val="00B933CA"/>
    <w:rsid w:val="00B93B2A"/>
    <w:rsid w:val="00B93ED9"/>
    <w:rsid w:val="00B93F7A"/>
    <w:rsid w:val="00B94213"/>
    <w:rsid w:val="00B949C6"/>
    <w:rsid w:val="00B94B4C"/>
    <w:rsid w:val="00B95F28"/>
    <w:rsid w:val="00B96008"/>
    <w:rsid w:val="00B96231"/>
    <w:rsid w:val="00B96D52"/>
    <w:rsid w:val="00B977A7"/>
    <w:rsid w:val="00BA024C"/>
    <w:rsid w:val="00BA13E0"/>
    <w:rsid w:val="00BA250E"/>
    <w:rsid w:val="00BA32B0"/>
    <w:rsid w:val="00BA4309"/>
    <w:rsid w:val="00BA43A1"/>
    <w:rsid w:val="00BA492A"/>
    <w:rsid w:val="00BA547F"/>
    <w:rsid w:val="00BA576B"/>
    <w:rsid w:val="00BA602B"/>
    <w:rsid w:val="00BA69B0"/>
    <w:rsid w:val="00BA6D98"/>
    <w:rsid w:val="00BA7381"/>
    <w:rsid w:val="00BA7585"/>
    <w:rsid w:val="00BA7D0F"/>
    <w:rsid w:val="00BB13AD"/>
    <w:rsid w:val="00BB14E9"/>
    <w:rsid w:val="00BB1A07"/>
    <w:rsid w:val="00BB23C2"/>
    <w:rsid w:val="00BB340F"/>
    <w:rsid w:val="00BB39F9"/>
    <w:rsid w:val="00BB3AE4"/>
    <w:rsid w:val="00BB3EF6"/>
    <w:rsid w:val="00BB4988"/>
    <w:rsid w:val="00BB4F1A"/>
    <w:rsid w:val="00BB528E"/>
    <w:rsid w:val="00BB6C0F"/>
    <w:rsid w:val="00BB72F9"/>
    <w:rsid w:val="00BB7841"/>
    <w:rsid w:val="00BC0649"/>
    <w:rsid w:val="00BC091A"/>
    <w:rsid w:val="00BC103F"/>
    <w:rsid w:val="00BC1398"/>
    <w:rsid w:val="00BC1B5A"/>
    <w:rsid w:val="00BC1BF5"/>
    <w:rsid w:val="00BC1FD3"/>
    <w:rsid w:val="00BC20CE"/>
    <w:rsid w:val="00BC28E2"/>
    <w:rsid w:val="00BC294C"/>
    <w:rsid w:val="00BC2AA4"/>
    <w:rsid w:val="00BC2E6B"/>
    <w:rsid w:val="00BC311C"/>
    <w:rsid w:val="00BC3181"/>
    <w:rsid w:val="00BC3BFE"/>
    <w:rsid w:val="00BC5328"/>
    <w:rsid w:val="00BC55E6"/>
    <w:rsid w:val="00BC5828"/>
    <w:rsid w:val="00BC61B0"/>
    <w:rsid w:val="00BC66A6"/>
    <w:rsid w:val="00BC66F6"/>
    <w:rsid w:val="00BC6944"/>
    <w:rsid w:val="00BC6F03"/>
    <w:rsid w:val="00BC7E9A"/>
    <w:rsid w:val="00BD0350"/>
    <w:rsid w:val="00BD0C9B"/>
    <w:rsid w:val="00BD10C4"/>
    <w:rsid w:val="00BD1943"/>
    <w:rsid w:val="00BD30FA"/>
    <w:rsid w:val="00BD4CC7"/>
    <w:rsid w:val="00BD4CDE"/>
    <w:rsid w:val="00BD4D60"/>
    <w:rsid w:val="00BD5A69"/>
    <w:rsid w:val="00BD61C6"/>
    <w:rsid w:val="00BD6C62"/>
    <w:rsid w:val="00BD7FC5"/>
    <w:rsid w:val="00BE09D6"/>
    <w:rsid w:val="00BE1157"/>
    <w:rsid w:val="00BE2068"/>
    <w:rsid w:val="00BE2C8C"/>
    <w:rsid w:val="00BE4C2A"/>
    <w:rsid w:val="00BE5237"/>
    <w:rsid w:val="00BE5254"/>
    <w:rsid w:val="00BE5EC1"/>
    <w:rsid w:val="00BE64B6"/>
    <w:rsid w:val="00BE782D"/>
    <w:rsid w:val="00BF0A0D"/>
    <w:rsid w:val="00BF1173"/>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86"/>
    <w:rsid w:val="00C012DB"/>
    <w:rsid w:val="00C0139B"/>
    <w:rsid w:val="00C01434"/>
    <w:rsid w:val="00C02280"/>
    <w:rsid w:val="00C02966"/>
    <w:rsid w:val="00C02E6D"/>
    <w:rsid w:val="00C0306D"/>
    <w:rsid w:val="00C03133"/>
    <w:rsid w:val="00C031A7"/>
    <w:rsid w:val="00C0324B"/>
    <w:rsid w:val="00C035B0"/>
    <w:rsid w:val="00C036FE"/>
    <w:rsid w:val="00C0375D"/>
    <w:rsid w:val="00C06027"/>
    <w:rsid w:val="00C06DD7"/>
    <w:rsid w:val="00C070DE"/>
    <w:rsid w:val="00C07414"/>
    <w:rsid w:val="00C07477"/>
    <w:rsid w:val="00C078EE"/>
    <w:rsid w:val="00C07BC3"/>
    <w:rsid w:val="00C106E7"/>
    <w:rsid w:val="00C10AD5"/>
    <w:rsid w:val="00C10C58"/>
    <w:rsid w:val="00C10C5E"/>
    <w:rsid w:val="00C11150"/>
    <w:rsid w:val="00C11A34"/>
    <w:rsid w:val="00C11F3E"/>
    <w:rsid w:val="00C1275E"/>
    <w:rsid w:val="00C12C5E"/>
    <w:rsid w:val="00C12D0D"/>
    <w:rsid w:val="00C13626"/>
    <w:rsid w:val="00C13768"/>
    <w:rsid w:val="00C14DA0"/>
    <w:rsid w:val="00C14DA9"/>
    <w:rsid w:val="00C14DFB"/>
    <w:rsid w:val="00C15068"/>
    <w:rsid w:val="00C1671F"/>
    <w:rsid w:val="00C16964"/>
    <w:rsid w:val="00C16B54"/>
    <w:rsid w:val="00C20663"/>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DD5"/>
    <w:rsid w:val="00C26F9C"/>
    <w:rsid w:val="00C2796B"/>
    <w:rsid w:val="00C279FA"/>
    <w:rsid w:val="00C30E3A"/>
    <w:rsid w:val="00C326AD"/>
    <w:rsid w:val="00C3288C"/>
    <w:rsid w:val="00C32D2B"/>
    <w:rsid w:val="00C33393"/>
    <w:rsid w:val="00C343C2"/>
    <w:rsid w:val="00C3589E"/>
    <w:rsid w:val="00C35D7F"/>
    <w:rsid w:val="00C375B0"/>
    <w:rsid w:val="00C40086"/>
    <w:rsid w:val="00C402D4"/>
    <w:rsid w:val="00C40C9B"/>
    <w:rsid w:val="00C4275F"/>
    <w:rsid w:val="00C42C57"/>
    <w:rsid w:val="00C42C6A"/>
    <w:rsid w:val="00C4320A"/>
    <w:rsid w:val="00C43631"/>
    <w:rsid w:val="00C4371A"/>
    <w:rsid w:val="00C43748"/>
    <w:rsid w:val="00C437DB"/>
    <w:rsid w:val="00C43A15"/>
    <w:rsid w:val="00C4473A"/>
    <w:rsid w:val="00C44A94"/>
    <w:rsid w:val="00C44F4F"/>
    <w:rsid w:val="00C46AF0"/>
    <w:rsid w:val="00C476C3"/>
    <w:rsid w:val="00C47881"/>
    <w:rsid w:val="00C47CA2"/>
    <w:rsid w:val="00C504ED"/>
    <w:rsid w:val="00C50AF4"/>
    <w:rsid w:val="00C50C56"/>
    <w:rsid w:val="00C51375"/>
    <w:rsid w:val="00C5261B"/>
    <w:rsid w:val="00C52715"/>
    <w:rsid w:val="00C52716"/>
    <w:rsid w:val="00C52E42"/>
    <w:rsid w:val="00C54175"/>
    <w:rsid w:val="00C54206"/>
    <w:rsid w:val="00C54958"/>
    <w:rsid w:val="00C54B4B"/>
    <w:rsid w:val="00C550DE"/>
    <w:rsid w:val="00C55A4C"/>
    <w:rsid w:val="00C55EC9"/>
    <w:rsid w:val="00C55FB1"/>
    <w:rsid w:val="00C57403"/>
    <w:rsid w:val="00C60680"/>
    <w:rsid w:val="00C607BC"/>
    <w:rsid w:val="00C6088A"/>
    <w:rsid w:val="00C61011"/>
    <w:rsid w:val="00C61DE6"/>
    <w:rsid w:val="00C63E97"/>
    <w:rsid w:val="00C64416"/>
    <w:rsid w:val="00C6492E"/>
    <w:rsid w:val="00C649DC"/>
    <w:rsid w:val="00C64E68"/>
    <w:rsid w:val="00C65106"/>
    <w:rsid w:val="00C66C47"/>
    <w:rsid w:val="00C6709C"/>
    <w:rsid w:val="00C67631"/>
    <w:rsid w:val="00C705AF"/>
    <w:rsid w:val="00C70895"/>
    <w:rsid w:val="00C7192D"/>
    <w:rsid w:val="00C71B1C"/>
    <w:rsid w:val="00C7205A"/>
    <w:rsid w:val="00C72649"/>
    <w:rsid w:val="00C73739"/>
    <w:rsid w:val="00C73A0F"/>
    <w:rsid w:val="00C74F4B"/>
    <w:rsid w:val="00C75017"/>
    <w:rsid w:val="00C75196"/>
    <w:rsid w:val="00C752B1"/>
    <w:rsid w:val="00C7585B"/>
    <w:rsid w:val="00C75A0F"/>
    <w:rsid w:val="00C764E9"/>
    <w:rsid w:val="00C76BD0"/>
    <w:rsid w:val="00C7784C"/>
    <w:rsid w:val="00C77C64"/>
    <w:rsid w:val="00C77F97"/>
    <w:rsid w:val="00C80616"/>
    <w:rsid w:val="00C81796"/>
    <w:rsid w:val="00C82171"/>
    <w:rsid w:val="00C8224D"/>
    <w:rsid w:val="00C8287F"/>
    <w:rsid w:val="00C828E2"/>
    <w:rsid w:val="00C833F4"/>
    <w:rsid w:val="00C8357D"/>
    <w:rsid w:val="00C83C69"/>
    <w:rsid w:val="00C8433A"/>
    <w:rsid w:val="00C845AF"/>
    <w:rsid w:val="00C84DC3"/>
    <w:rsid w:val="00C86385"/>
    <w:rsid w:val="00C87D9F"/>
    <w:rsid w:val="00C9174E"/>
    <w:rsid w:val="00C91D94"/>
    <w:rsid w:val="00C9262A"/>
    <w:rsid w:val="00C92753"/>
    <w:rsid w:val="00C92F8B"/>
    <w:rsid w:val="00C930F0"/>
    <w:rsid w:val="00C9331A"/>
    <w:rsid w:val="00C93A4E"/>
    <w:rsid w:val="00C93D51"/>
    <w:rsid w:val="00C93F2B"/>
    <w:rsid w:val="00C95065"/>
    <w:rsid w:val="00C969AE"/>
    <w:rsid w:val="00C96A28"/>
    <w:rsid w:val="00C978CD"/>
    <w:rsid w:val="00CA0494"/>
    <w:rsid w:val="00CA0567"/>
    <w:rsid w:val="00CA092A"/>
    <w:rsid w:val="00CA0C90"/>
    <w:rsid w:val="00CA1AEA"/>
    <w:rsid w:val="00CA1FBB"/>
    <w:rsid w:val="00CA27CC"/>
    <w:rsid w:val="00CA2A05"/>
    <w:rsid w:val="00CA3585"/>
    <w:rsid w:val="00CA472D"/>
    <w:rsid w:val="00CA522B"/>
    <w:rsid w:val="00CA5572"/>
    <w:rsid w:val="00CA5AD4"/>
    <w:rsid w:val="00CA5F54"/>
    <w:rsid w:val="00CA6BE6"/>
    <w:rsid w:val="00CA7128"/>
    <w:rsid w:val="00CA7592"/>
    <w:rsid w:val="00CA7A9B"/>
    <w:rsid w:val="00CA7D58"/>
    <w:rsid w:val="00CB0591"/>
    <w:rsid w:val="00CB0709"/>
    <w:rsid w:val="00CB0906"/>
    <w:rsid w:val="00CB10DF"/>
    <w:rsid w:val="00CB1447"/>
    <w:rsid w:val="00CB1F78"/>
    <w:rsid w:val="00CB2585"/>
    <w:rsid w:val="00CB382E"/>
    <w:rsid w:val="00CB398C"/>
    <w:rsid w:val="00CB3AA9"/>
    <w:rsid w:val="00CB42C5"/>
    <w:rsid w:val="00CB42E6"/>
    <w:rsid w:val="00CB4668"/>
    <w:rsid w:val="00CB5F5A"/>
    <w:rsid w:val="00CB6795"/>
    <w:rsid w:val="00CB6AA7"/>
    <w:rsid w:val="00CC18B5"/>
    <w:rsid w:val="00CC2B18"/>
    <w:rsid w:val="00CC2E14"/>
    <w:rsid w:val="00CC30F3"/>
    <w:rsid w:val="00CC3395"/>
    <w:rsid w:val="00CC34D2"/>
    <w:rsid w:val="00CC3962"/>
    <w:rsid w:val="00CC472C"/>
    <w:rsid w:val="00CC5230"/>
    <w:rsid w:val="00CC640C"/>
    <w:rsid w:val="00CC6AAA"/>
    <w:rsid w:val="00CC6AD5"/>
    <w:rsid w:val="00CC6D78"/>
    <w:rsid w:val="00CC6F92"/>
    <w:rsid w:val="00CC6FD5"/>
    <w:rsid w:val="00CC7DF4"/>
    <w:rsid w:val="00CD0FA4"/>
    <w:rsid w:val="00CD1320"/>
    <w:rsid w:val="00CD1FB6"/>
    <w:rsid w:val="00CD23CD"/>
    <w:rsid w:val="00CD2A6A"/>
    <w:rsid w:val="00CD3AAB"/>
    <w:rsid w:val="00CD3BE7"/>
    <w:rsid w:val="00CD3C39"/>
    <w:rsid w:val="00CD44E1"/>
    <w:rsid w:val="00CD48D4"/>
    <w:rsid w:val="00CD4CC9"/>
    <w:rsid w:val="00CD4FC6"/>
    <w:rsid w:val="00CD5112"/>
    <w:rsid w:val="00CD60BF"/>
    <w:rsid w:val="00CD6317"/>
    <w:rsid w:val="00CD634F"/>
    <w:rsid w:val="00CD635F"/>
    <w:rsid w:val="00CD70FD"/>
    <w:rsid w:val="00CD7250"/>
    <w:rsid w:val="00CD7DF1"/>
    <w:rsid w:val="00CE0C1E"/>
    <w:rsid w:val="00CE0EA0"/>
    <w:rsid w:val="00CE1629"/>
    <w:rsid w:val="00CE34DB"/>
    <w:rsid w:val="00CE3A91"/>
    <w:rsid w:val="00CE429C"/>
    <w:rsid w:val="00CE5134"/>
    <w:rsid w:val="00CE557C"/>
    <w:rsid w:val="00CE5C0D"/>
    <w:rsid w:val="00CE66BD"/>
    <w:rsid w:val="00CF099D"/>
    <w:rsid w:val="00CF313D"/>
    <w:rsid w:val="00CF3163"/>
    <w:rsid w:val="00CF364C"/>
    <w:rsid w:val="00CF37C9"/>
    <w:rsid w:val="00CF3B7A"/>
    <w:rsid w:val="00CF3F2F"/>
    <w:rsid w:val="00CF45F7"/>
    <w:rsid w:val="00CF66C5"/>
    <w:rsid w:val="00CF7D62"/>
    <w:rsid w:val="00CF7F6D"/>
    <w:rsid w:val="00D003D8"/>
    <w:rsid w:val="00D005C9"/>
    <w:rsid w:val="00D007D4"/>
    <w:rsid w:val="00D00E93"/>
    <w:rsid w:val="00D00F41"/>
    <w:rsid w:val="00D01C02"/>
    <w:rsid w:val="00D02C63"/>
    <w:rsid w:val="00D0350F"/>
    <w:rsid w:val="00D03611"/>
    <w:rsid w:val="00D037A5"/>
    <w:rsid w:val="00D03B37"/>
    <w:rsid w:val="00D04599"/>
    <w:rsid w:val="00D04D97"/>
    <w:rsid w:val="00D0527D"/>
    <w:rsid w:val="00D06A9E"/>
    <w:rsid w:val="00D06AA0"/>
    <w:rsid w:val="00D07809"/>
    <w:rsid w:val="00D10759"/>
    <w:rsid w:val="00D11171"/>
    <w:rsid w:val="00D11357"/>
    <w:rsid w:val="00D113BC"/>
    <w:rsid w:val="00D118C1"/>
    <w:rsid w:val="00D118C4"/>
    <w:rsid w:val="00D118DF"/>
    <w:rsid w:val="00D12273"/>
    <w:rsid w:val="00D126D8"/>
    <w:rsid w:val="00D1300F"/>
    <w:rsid w:val="00D13806"/>
    <w:rsid w:val="00D1386A"/>
    <w:rsid w:val="00D13D25"/>
    <w:rsid w:val="00D14256"/>
    <w:rsid w:val="00D14EEA"/>
    <w:rsid w:val="00D15460"/>
    <w:rsid w:val="00D1590B"/>
    <w:rsid w:val="00D15BFA"/>
    <w:rsid w:val="00D16092"/>
    <w:rsid w:val="00D1622D"/>
    <w:rsid w:val="00D16287"/>
    <w:rsid w:val="00D16387"/>
    <w:rsid w:val="00D16622"/>
    <w:rsid w:val="00D16856"/>
    <w:rsid w:val="00D16B6B"/>
    <w:rsid w:val="00D1776E"/>
    <w:rsid w:val="00D17BCE"/>
    <w:rsid w:val="00D17D77"/>
    <w:rsid w:val="00D2079E"/>
    <w:rsid w:val="00D212CF"/>
    <w:rsid w:val="00D22087"/>
    <w:rsid w:val="00D22374"/>
    <w:rsid w:val="00D22F1F"/>
    <w:rsid w:val="00D22F89"/>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557"/>
    <w:rsid w:val="00D32CE6"/>
    <w:rsid w:val="00D348F2"/>
    <w:rsid w:val="00D34DBC"/>
    <w:rsid w:val="00D35464"/>
    <w:rsid w:val="00D35514"/>
    <w:rsid w:val="00D370F7"/>
    <w:rsid w:val="00D40662"/>
    <w:rsid w:val="00D42117"/>
    <w:rsid w:val="00D429E8"/>
    <w:rsid w:val="00D42AE1"/>
    <w:rsid w:val="00D4309C"/>
    <w:rsid w:val="00D4379D"/>
    <w:rsid w:val="00D438A9"/>
    <w:rsid w:val="00D44DA4"/>
    <w:rsid w:val="00D4538B"/>
    <w:rsid w:val="00D463FC"/>
    <w:rsid w:val="00D47335"/>
    <w:rsid w:val="00D47C12"/>
    <w:rsid w:val="00D503B8"/>
    <w:rsid w:val="00D52CEE"/>
    <w:rsid w:val="00D53012"/>
    <w:rsid w:val="00D5382E"/>
    <w:rsid w:val="00D541B4"/>
    <w:rsid w:val="00D546AA"/>
    <w:rsid w:val="00D549A9"/>
    <w:rsid w:val="00D549CD"/>
    <w:rsid w:val="00D55725"/>
    <w:rsid w:val="00D5594F"/>
    <w:rsid w:val="00D55ED4"/>
    <w:rsid w:val="00D56007"/>
    <w:rsid w:val="00D561ED"/>
    <w:rsid w:val="00D57416"/>
    <w:rsid w:val="00D611A3"/>
    <w:rsid w:val="00D61936"/>
    <w:rsid w:val="00D62DD4"/>
    <w:rsid w:val="00D62E80"/>
    <w:rsid w:val="00D6306D"/>
    <w:rsid w:val="00D634D7"/>
    <w:rsid w:val="00D636CB"/>
    <w:rsid w:val="00D637AA"/>
    <w:rsid w:val="00D63A97"/>
    <w:rsid w:val="00D63C8D"/>
    <w:rsid w:val="00D6453B"/>
    <w:rsid w:val="00D6457D"/>
    <w:rsid w:val="00D65AFA"/>
    <w:rsid w:val="00D66C84"/>
    <w:rsid w:val="00D6721C"/>
    <w:rsid w:val="00D673E9"/>
    <w:rsid w:val="00D677AD"/>
    <w:rsid w:val="00D6795B"/>
    <w:rsid w:val="00D70346"/>
    <w:rsid w:val="00D70768"/>
    <w:rsid w:val="00D708E2"/>
    <w:rsid w:val="00D71008"/>
    <w:rsid w:val="00D73535"/>
    <w:rsid w:val="00D73796"/>
    <w:rsid w:val="00D737D0"/>
    <w:rsid w:val="00D746C1"/>
    <w:rsid w:val="00D75A31"/>
    <w:rsid w:val="00D76F43"/>
    <w:rsid w:val="00D779FC"/>
    <w:rsid w:val="00D805D8"/>
    <w:rsid w:val="00D80926"/>
    <w:rsid w:val="00D80B2D"/>
    <w:rsid w:val="00D81923"/>
    <w:rsid w:val="00D82CCC"/>
    <w:rsid w:val="00D841D5"/>
    <w:rsid w:val="00D85614"/>
    <w:rsid w:val="00D866DD"/>
    <w:rsid w:val="00D868F5"/>
    <w:rsid w:val="00D86DA8"/>
    <w:rsid w:val="00D8702C"/>
    <w:rsid w:val="00D878A5"/>
    <w:rsid w:val="00D87C04"/>
    <w:rsid w:val="00D87CE8"/>
    <w:rsid w:val="00D87D70"/>
    <w:rsid w:val="00D87EC1"/>
    <w:rsid w:val="00D91249"/>
    <w:rsid w:val="00D9151B"/>
    <w:rsid w:val="00D91AFD"/>
    <w:rsid w:val="00D92297"/>
    <w:rsid w:val="00D923EE"/>
    <w:rsid w:val="00D926A5"/>
    <w:rsid w:val="00D928C3"/>
    <w:rsid w:val="00D92D7E"/>
    <w:rsid w:val="00D92F94"/>
    <w:rsid w:val="00D930FE"/>
    <w:rsid w:val="00D9322C"/>
    <w:rsid w:val="00D936A4"/>
    <w:rsid w:val="00D93A06"/>
    <w:rsid w:val="00D94605"/>
    <w:rsid w:val="00D948F4"/>
    <w:rsid w:val="00D95153"/>
    <w:rsid w:val="00D96283"/>
    <w:rsid w:val="00D96321"/>
    <w:rsid w:val="00D96926"/>
    <w:rsid w:val="00D97256"/>
    <w:rsid w:val="00DA00B6"/>
    <w:rsid w:val="00DA0563"/>
    <w:rsid w:val="00DA10C2"/>
    <w:rsid w:val="00DA1C7A"/>
    <w:rsid w:val="00DA2758"/>
    <w:rsid w:val="00DA2FE4"/>
    <w:rsid w:val="00DA3EC9"/>
    <w:rsid w:val="00DA3F15"/>
    <w:rsid w:val="00DA4123"/>
    <w:rsid w:val="00DA4247"/>
    <w:rsid w:val="00DA44B4"/>
    <w:rsid w:val="00DA4D24"/>
    <w:rsid w:val="00DA5516"/>
    <w:rsid w:val="00DA574F"/>
    <w:rsid w:val="00DA66E7"/>
    <w:rsid w:val="00DA6AC9"/>
    <w:rsid w:val="00DB187C"/>
    <w:rsid w:val="00DB1F26"/>
    <w:rsid w:val="00DB2721"/>
    <w:rsid w:val="00DB2931"/>
    <w:rsid w:val="00DB2C18"/>
    <w:rsid w:val="00DB36A2"/>
    <w:rsid w:val="00DB38EF"/>
    <w:rsid w:val="00DB3A57"/>
    <w:rsid w:val="00DB3D0D"/>
    <w:rsid w:val="00DB4276"/>
    <w:rsid w:val="00DB47F1"/>
    <w:rsid w:val="00DB5094"/>
    <w:rsid w:val="00DB6522"/>
    <w:rsid w:val="00DB6FB0"/>
    <w:rsid w:val="00DB6FD4"/>
    <w:rsid w:val="00DC0076"/>
    <w:rsid w:val="00DC19C3"/>
    <w:rsid w:val="00DC1A83"/>
    <w:rsid w:val="00DC1D6B"/>
    <w:rsid w:val="00DC266D"/>
    <w:rsid w:val="00DC3009"/>
    <w:rsid w:val="00DC36B9"/>
    <w:rsid w:val="00DC3F5E"/>
    <w:rsid w:val="00DC43FB"/>
    <w:rsid w:val="00DC4927"/>
    <w:rsid w:val="00DC6002"/>
    <w:rsid w:val="00DC626F"/>
    <w:rsid w:val="00DC67FC"/>
    <w:rsid w:val="00DC6E6F"/>
    <w:rsid w:val="00DC70CA"/>
    <w:rsid w:val="00DC71D8"/>
    <w:rsid w:val="00DC753A"/>
    <w:rsid w:val="00DC7A73"/>
    <w:rsid w:val="00DD08DD"/>
    <w:rsid w:val="00DD091F"/>
    <w:rsid w:val="00DD136E"/>
    <w:rsid w:val="00DD1B85"/>
    <w:rsid w:val="00DD29FE"/>
    <w:rsid w:val="00DD315A"/>
    <w:rsid w:val="00DD3283"/>
    <w:rsid w:val="00DD5A71"/>
    <w:rsid w:val="00DD6565"/>
    <w:rsid w:val="00DD6AAE"/>
    <w:rsid w:val="00DD6B5C"/>
    <w:rsid w:val="00DD6FB9"/>
    <w:rsid w:val="00DD6FF6"/>
    <w:rsid w:val="00DD71A3"/>
    <w:rsid w:val="00DD7213"/>
    <w:rsid w:val="00DD73EF"/>
    <w:rsid w:val="00DD7624"/>
    <w:rsid w:val="00DD7B4F"/>
    <w:rsid w:val="00DE112F"/>
    <w:rsid w:val="00DE1748"/>
    <w:rsid w:val="00DE19BA"/>
    <w:rsid w:val="00DE1E21"/>
    <w:rsid w:val="00DE2144"/>
    <w:rsid w:val="00DE2C93"/>
    <w:rsid w:val="00DE3037"/>
    <w:rsid w:val="00DE337B"/>
    <w:rsid w:val="00DE3926"/>
    <w:rsid w:val="00DE407A"/>
    <w:rsid w:val="00DE543E"/>
    <w:rsid w:val="00DE55F2"/>
    <w:rsid w:val="00DE5D72"/>
    <w:rsid w:val="00DE63FC"/>
    <w:rsid w:val="00DE6B99"/>
    <w:rsid w:val="00DF0534"/>
    <w:rsid w:val="00DF0ED1"/>
    <w:rsid w:val="00DF1040"/>
    <w:rsid w:val="00DF2846"/>
    <w:rsid w:val="00DF2A30"/>
    <w:rsid w:val="00DF2E83"/>
    <w:rsid w:val="00DF2F77"/>
    <w:rsid w:val="00DF322F"/>
    <w:rsid w:val="00DF36B9"/>
    <w:rsid w:val="00DF395A"/>
    <w:rsid w:val="00DF3BF3"/>
    <w:rsid w:val="00DF42D6"/>
    <w:rsid w:val="00DF494C"/>
    <w:rsid w:val="00DF530B"/>
    <w:rsid w:val="00DF57A6"/>
    <w:rsid w:val="00DF6606"/>
    <w:rsid w:val="00DF7B7D"/>
    <w:rsid w:val="00DF7F12"/>
    <w:rsid w:val="00E00601"/>
    <w:rsid w:val="00E01AA3"/>
    <w:rsid w:val="00E01FB2"/>
    <w:rsid w:val="00E02065"/>
    <w:rsid w:val="00E0216E"/>
    <w:rsid w:val="00E02807"/>
    <w:rsid w:val="00E02F34"/>
    <w:rsid w:val="00E03418"/>
    <w:rsid w:val="00E0455C"/>
    <w:rsid w:val="00E06A25"/>
    <w:rsid w:val="00E07F3C"/>
    <w:rsid w:val="00E11964"/>
    <w:rsid w:val="00E11D16"/>
    <w:rsid w:val="00E11F51"/>
    <w:rsid w:val="00E124CD"/>
    <w:rsid w:val="00E12CAB"/>
    <w:rsid w:val="00E12F75"/>
    <w:rsid w:val="00E13D12"/>
    <w:rsid w:val="00E14246"/>
    <w:rsid w:val="00E14886"/>
    <w:rsid w:val="00E14B45"/>
    <w:rsid w:val="00E14F85"/>
    <w:rsid w:val="00E15324"/>
    <w:rsid w:val="00E1578B"/>
    <w:rsid w:val="00E165D6"/>
    <w:rsid w:val="00E16ED0"/>
    <w:rsid w:val="00E17516"/>
    <w:rsid w:val="00E178D8"/>
    <w:rsid w:val="00E17A1C"/>
    <w:rsid w:val="00E20030"/>
    <w:rsid w:val="00E201AE"/>
    <w:rsid w:val="00E20913"/>
    <w:rsid w:val="00E2095E"/>
    <w:rsid w:val="00E20A20"/>
    <w:rsid w:val="00E22148"/>
    <w:rsid w:val="00E22A4C"/>
    <w:rsid w:val="00E23473"/>
    <w:rsid w:val="00E23BA7"/>
    <w:rsid w:val="00E252B8"/>
    <w:rsid w:val="00E25311"/>
    <w:rsid w:val="00E27005"/>
    <w:rsid w:val="00E27337"/>
    <w:rsid w:val="00E275E0"/>
    <w:rsid w:val="00E27854"/>
    <w:rsid w:val="00E27AF7"/>
    <w:rsid w:val="00E30111"/>
    <w:rsid w:val="00E30379"/>
    <w:rsid w:val="00E30704"/>
    <w:rsid w:val="00E30FC4"/>
    <w:rsid w:val="00E31539"/>
    <w:rsid w:val="00E326D5"/>
    <w:rsid w:val="00E32716"/>
    <w:rsid w:val="00E32730"/>
    <w:rsid w:val="00E33AE9"/>
    <w:rsid w:val="00E33CF0"/>
    <w:rsid w:val="00E3402E"/>
    <w:rsid w:val="00E34228"/>
    <w:rsid w:val="00E344AA"/>
    <w:rsid w:val="00E34AE0"/>
    <w:rsid w:val="00E35A0B"/>
    <w:rsid w:val="00E36A44"/>
    <w:rsid w:val="00E40027"/>
    <w:rsid w:val="00E40F7A"/>
    <w:rsid w:val="00E41024"/>
    <w:rsid w:val="00E41A04"/>
    <w:rsid w:val="00E41E40"/>
    <w:rsid w:val="00E428FF"/>
    <w:rsid w:val="00E42B4A"/>
    <w:rsid w:val="00E430C4"/>
    <w:rsid w:val="00E43471"/>
    <w:rsid w:val="00E44819"/>
    <w:rsid w:val="00E45A77"/>
    <w:rsid w:val="00E45CC8"/>
    <w:rsid w:val="00E473E7"/>
    <w:rsid w:val="00E47D23"/>
    <w:rsid w:val="00E50FA7"/>
    <w:rsid w:val="00E52120"/>
    <w:rsid w:val="00E527DB"/>
    <w:rsid w:val="00E52A96"/>
    <w:rsid w:val="00E52BCA"/>
    <w:rsid w:val="00E53673"/>
    <w:rsid w:val="00E5433A"/>
    <w:rsid w:val="00E54CE6"/>
    <w:rsid w:val="00E54D58"/>
    <w:rsid w:val="00E552ED"/>
    <w:rsid w:val="00E558B9"/>
    <w:rsid w:val="00E56A2B"/>
    <w:rsid w:val="00E56A9B"/>
    <w:rsid w:val="00E56CC2"/>
    <w:rsid w:val="00E60187"/>
    <w:rsid w:val="00E605A2"/>
    <w:rsid w:val="00E60FAA"/>
    <w:rsid w:val="00E62207"/>
    <w:rsid w:val="00E62BB1"/>
    <w:rsid w:val="00E639A8"/>
    <w:rsid w:val="00E63E2E"/>
    <w:rsid w:val="00E64548"/>
    <w:rsid w:val="00E667F3"/>
    <w:rsid w:val="00E67D25"/>
    <w:rsid w:val="00E67E1C"/>
    <w:rsid w:val="00E700C1"/>
    <w:rsid w:val="00E70D30"/>
    <w:rsid w:val="00E70E2E"/>
    <w:rsid w:val="00E7103A"/>
    <w:rsid w:val="00E71663"/>
    <w:rsid w:val="00E71783"/>
    <w:rsid w:val="00E72E14"/>
    <w:rsid w:val="00E732BC"/>
    <w:rsid w:val="00E73CF6"/>
    <w:rsid w:val="00E73F90"/>
    <w:rsid w:val="00E74E4A"/>
    <w:rsid w:val="00E75245"/>
    <w:rsid w:val="00E76FA9"/>
    <w:rsid w:val="00E76FAB"/>
    <w:rsid w:val="00E7710C"/>
    <w:rsid w:val="00E77508"/>
    <w:rsid w:val="00E803D5"/>
    <w:rsid w:val="00E804C5"/>
    <w:rsid w:val="00E808FC"/>
    <w:rsid w:val="00E80A43"/>
    <w:rsid w:val="00E80D8D"/>
    <w:rsid w:val="00E80DD2"/>
    <w:rsid w:val="00E82160"/>
    <w:rsid w:val="00E824B8"/>
    <w:rsid w:val="00E82EB1"/>
    <w:rsid w:val="00E83ECB"/>
    <w:rsid w:val="00E84406"/>
    <w:rsid w:val="00E84878"/>
    <w:rsid w:val="00E870BF"/>
    <w:rsid w:val="00E871F5"/>
    <w:rsid w:val="00E87D21"/>
    <w:rsid w:val="00E90347"/>
    <w:rsid w:val="00E907D8"/>
    <w:rsid w:val="00E9095C"/>
    <w:rsid w:val="00E90977"/>
    <w:rsid w:val="00E90A76"/>
    <w:rsid w:val="00E912DE"/>
    <w:rsid w:val="00E91309"/>
    <w:rsid w:val="00E91C92"/>
    <w:rsid w:val="00E92010"/>
    <w:rsid w:val="00E9248D"/>
    <w:rsid w:val="00E92F4C"/>
    <w:rsid w:val="00E945A6"/>
    <w:rsid w:val="00E95B3F"/>
    <w:rsid w:val="00E95B7B"/>
    <w:rsid w:val="00E95EA0"/>
    <w:rsid w:val="00E96D9D"/>
    <w:rsid w:val="00E97BAC"/>
    <w:rsid w:val="00EA1813"/>
    <w:rsid w:val="00EA24B2"/>
    <w:rsid w:val="00EA293D"/>
    <w:rsid w:val="00EA3448"/>
    <w:rsid w:val="00EA43C5"/>
    <w:rsid w:val="00EA43EB"/>
    <w:rsid w:val="00EA5EED"/>
    <w:rsid w:val="00EA6056"/>
    <w:rsid w:val="00EA6069"/>
    <w:rsid w:val="00EA6A52"/>
    <w:rsid w:val="00EA721D"/>
    <w:rsid w:val="00EA76F5"/>
    <w:rsid w:val="00EA7B3B"/>
    <w:rsid w:val="00EA7E3F"/>
    <w:rsid w:val="00EA7E81"/>
    <w:rsid w:val="00EB1576"/>
    <w:rsid w:val="00EB184D"/>
    <w:rsid w:val="00EB2082"/>
    <w:rsid w:val="00EB2230"/>
    <w:rsid w:val="00EB2536"/>
    <w:rsid w:val="00EB3E70"/>
    <w:rsid w:val="00EB4636"/>
    <w:rsid w:val="00EB4F77"/>
    <w:rsid w:val="00EB5733"/>
    <w:rsid w:val="00EB7272"/>
    <w:rsid w:val="00EC1934"/>
    <w:rsid w:val="00EC2719"/>
    <w:rsid w:val="00EC2C99"/>
    <w:rsid w:val="00EC5CFF"/>
    <w:rsid w:val="00ED06C9"/>
    <w:rsid w:val="00ED19EC"/>
    <w:rsid w:val="00ED29B3"/>
    <w:rsid w:val="00ED2E30"/>
    <w:rsid w:val="00ED395D"/>
    <w:rsid w:val="00ED45A0"/>
    <w:rsid w:val="00ED4C30"/>
    <w:rsid w:val="00ED5730"/>
    <w:rsid w:val="00ED6056"/>
    <w:rsid w:val="00ED63E0"/>
    <w:rsid w:val="00ED6998"/>
    <w:rsid w:val="00ED776B"/>
    <w:rsid w:val="00EE0486"/>
    <w:rsid w:val="00EE1547"/>
    <w:rsid w:val="00EE198F"/>
    <w:rsid w:val="00EE26C1"/>
    <w:rsid w:val="00EE28FD"/>
    <w:rsid w:val="00EE3140"/>
    <w:rsid w:val="00EE38A0"/>
    <w:rsid w:val="00EE5950"/>
    <w:rsid w:val="00EE7609"/>
    <w:rsid w:val="00EE7967"/>
    <w:rsid w:val="00EF0F32"/>
    <w:rsid w:val="00EF1508"/>
    <w:rsid w:val="00EF1F8B"/>
    <w:rsid w:val="00EF2C53"/>
    <w:rsid w:val="00EF4126"/>
    <w:rsid w:val="00EF42FF"/>
    <w:rsid w:val="00EF4F04"/>
    <w:rsid w:val="00EF5082"/>
    <w:rsid w:val="00EF6A3C"/>
    <w:rsid w:val="00EF6C9B"/>
    <w:rsid w:val="00EF732B"/>
    <w:rsid w:val="00F0019E"/>
    <w:rsid w:val="00F00200"/>
    <w:rsid w:val="00F0111E"/>
    <w:rsid w:val="00F01441"/>
    <w:rsid w:val="00F01862"/>
    <w:rsid w:val="00F02238"/>
    <w:rsid w:val="00F034F9"/>
    <w:rsid w:val="00F046F3"/>
    <w:rsid w:val="00F04C12"/>
    <w:rsid w:val="00F0573A"/>
    <w:rsid w:val="00F05B39"/>
    <w:rsid w:val="00F05BCC"/>
    <w:rsid w:val="00F05BE0"/>
    <w:rsid w:val="00F07772"/>
    <w:rsid w:val="00F0795E"/>
    <w:rsid w:val="00F07D13"/>
    <w:rsid w:val="00F10C20"/>
    <w:rsid w:val="00F10D8B"/>
    <w:rsid w:val="00F1123A"/>
    <w:rsid w:val="00F11436"/>
    <w:rsid w:val="00F11BC2"/>
    <w:rsid w:val="00F12215"/>
    <w:rsid w:val="00F12842"/>
    <w:rsid w:val="00F13968"/>
    <w:rsid w:val="00F13FDB"/>
    <w:rsid w:val="00F1408D"/>
    <w:rsid w:val="00F144C2"/>
    <w:rsid w:val="00F15540"/>
    <w:rsid w:val="00F16089"/>
    <w:rsid w:val="00F1641F"/>
    <w:rsid w:val="00F17022"/>
    <w:rsid w:val="00F209DF"/>
    <w:rsid w:val="00F20BA9"/>
    <w:rsid w:val="00F20F5B"/>
    <w:rsid w:val="00F23082"/>
    <w:rsid w:val="00F24200"/>
    <w:rsid w:val="00F24E4A"/>
    <w:rsid w:val="00F25B79"/>
    <w:rsid w:val="00F2619B"/>
    <w:rsid w:val="00F261FB"/>
    <w:rsid w:val="00F26BCA"/>
    <w:rsid w:val="00F27269"/>
    <w:rsid w:val="00F276C1"/>
    <w:rsid w:val="00F276EC"/>
    <w:rsid w:val="00F3012A"/>
    <w:rsid w:val="00F302BB"/>
    <w:rsid w:val="00F3059B"/>
    <w:rsid w:val="00F30808"/>
    <w:rsid w:val="00F30CDB"/>
    <w:rsid w:val="00F31402"/>
    <w:rsid w:val="00F3164A"/>
    <w:rsid w:val="00F31DAD"/>
    <w:rsid w:val="00F325D1"/>
    <w:rsid w:val="00F32E26"/>
    <w:rsid w:val="00F33078"/>
    <w:rsid w:val="00F33A2E"/>
    <w:rsid w:val="00F34341"/>
    <w:rsid w:val="00F34678"/>
    <w:rsid w:val="00F34AA0"/>
    <w:rsid w:val="00F3597D"/>
    <w:rsid w:val="00F3601A"/>
    <w:rsid w:val="00F36A79"/>
    <w:rsid w:val="00F3762E"/>
    <w:rsid w:val="00F400EB"/>
    <w:rsid w:val="00F40CC2"/>
    <w:rsid w:val="00F41856"/>
    <w:rsid w:val="00F41A0C"/>
    <w:rsid w:val="00F42612"/>
    <w:rsid w:val="00F42A0D"/>
    <w:rsid w:val="00F43343"/>
    <w:rsid w:val="00F439A8"/>
    <w:rsid w:val="00F44272"/>
    <w:rsid w:val="00F44924"/>
    <w:rsid w:val="00F44BA0"/>
    <w:rsid w:val="00F44EBB"/>
    <w:rsid w:val="00F45520"/>
    <w:rsid w:val="00F457D1"/>
    <w:rsid w:val="00F46497"/>
    <w:rsid w:val="00F47072"/>
    <w:rsid w:val="00F471C0"/>
    <w:rsid w:val="00F47662"/>
    <w:rsid w:val="00F479F0"/>
    <w:rsid w:val="00F501F8"/>
    <w:rsid w:val="00F505D7"/>
    <w:rsid w:val="00F50A7D"/>
    <w:rsid w:val="00F50CCB"/>
    <w:rsid w:val="00F52E12"/>
    <w:rsid w:val="00F5315B"/>
    <w:rsid w:val="00F541A4"/>
    <w:rsid w:val="00F54E90"/>
    <w:rsid w:val="00F5612E"/>
    <w:rsid w:val="00F57C87"/>
    <w:rsid w:val="00F57DA9"/>
    <w:rsid w:val="00F601E6"/>
    <w:rsid w:val="00F60659"/>
    <w:rsid w:val="00F6114C"/>
    <w:rsid w:val="00F61980"/>
    <w:rsid w:val="00F61BA1"/>
    <w:rsid w:val="00F622A9"/>
    <w:rsid w:val="00F63EAC"/>
    <w:rsid w:val="00F644BE"/>
    <w:rsid w:val="00F64CC7"/>
    <w:rsid w:val="00F64E41"/>
    <w:rsid w:val="00F6505E"/>
    <w:rsid w:val="00F659A1"/>
    <w:rsid w:val="00F6620E"/>
    <w:rsid w:val="00F66834"/>
    <w:rsid w:val="00F6776C"/>
    <w:rsid w:val="00F67D8B"/>
    <w:rsid w:val="00F70417"/>
    <w:rsid w:val="00F707B7"/>
    <w:rsid w:val="00F70858"/>
    <w:rsid w:val="00F70ADA"/>
    <w:rsid w:val="00F70C25"/>
    <w:rsid w:val="00F714F9"/>
    <w:rsid w:val="00F71914"/>
    <w:rsid w:val="00F72F6E"/>
    <w:rsid w:val="00F739F5"/>
    <w:rsid w:val="00F7429F"/>
    <w:rsid w:val="00F7470A"/>
    <w:rsid w:val="00F75001"/>
    <w:rsid w:val="00F755F9"/>
    <w:rsid w:val="00F75E65"/>
    <w:rsid w:val="00F76F32"/>
    <w:rsid w:val="00F77566"/>
    <w:rsid w:val="00F80280"/>
    <w:rsid w:val="00F802C0"/>
    <w:rsid w:val="00F80585"/>
    <w:rsid w:val="00F80707"/>
    <w:rsid w:val="00F80A8C"/>
    <w:rsid w:val="00F811CF"/>
    <w:rsid w:val="00F82A53"/>
    <w:rsid w:val="00F82CD4"/>
    <w:rsid w:val="00F83001"/>
    <w:rsid w:val="00F83CB7"/>
    <w:rsid w:val="00F84E8A"/>
    <w:rsid w:val="00F850B4"/>
    <w:rsid w:val="00F85399"/>
    <w:rsid w:val="00F85505"/>
    <w:rsid w:val="00F85E21"/>
    <w:rsid w:val="00F86C7E"/>
    <w:rsid w:val="00F86EA7"/>
    <w:rsid w:val="00F87123"/>
    <w:rsid w:val="00F902DF"/>
    <w:rsid w:val="00F90DD0"/>
    <w:rsid w:val="00F9105A"/>
    <w:rsid w:val="00F913E0"/>
    <w:rsid w:val="00F91C30"/>
    <w:rsid w:val="00F91C97"/>
    <w:rsid w:val="00F925EC"/>
    <w:rsid w:val="00F9301D"/>
    <w:rsid w:val="00F934D9"/>
    <w:rsid w:val="00F93650"/>
    <w:rsid w:val="00F9375A"/>
    <w:rsid w:val="00F944C6"/>
    <w:rsid w:val="00F947FA"/>
    <w:rsid w:val="00F95030"/>
    <w:rsid w:val="00F95436"/>
    <w:rsid w:val="00F95921"/>
    <w:rsid w:val="00F959A8"/>
    <w:rsid w:val="00F95E22"/>
    <w:rsid w:val="00F96476"/>
    <w:rsid w:val="00F9753F"/>
    <w:rsid w:val="00FA06C1"/>
    <w:rsid w:val="00FA0EE9"/>
    <w:rsid w:val="00FA1026"/>
    <w:rsid w:val="00FA12B5"/>
    <w:rsid w:val="00FA2DD4"/>
    <w:rsid w:val="00FA2EB7"/>
    <w:rsid w:val="00FA310E"/>
    <w:rsid w:val="00FA39D9"/>
    <w:rsid w:val="00FA44C2"/>
    <w:rsid w:val="00FA4709"/>
    <w:rsid w:val="00FA5440"/>
    <w:rsid w:val="00FA5A96"/>
    <w:rsid w:val="00FA6984"/>
    <w:rsid w:val="00FA6E78"/>
    <w:rsid w:val="00FA7C7D"/>
    <w:rsid w:val="00FB0136"/>
    <w:rsid w:val="00FB13DA"/>
    <w:rsid w:val="00FB1659"/>
    <w:rsid w:val="00FB1EB4"/>
    <w:rsid w:val="00FB1FA9"/>
    <w:rsid w:val="00FB3658"/>
    <w:rsid w:val="00FB3B0E"/>
    <w:rsid w:val="00FB59C9"/>
    <w:rsid w:val="00FB5BC2"/>
    <w:rsid w:val="00FB62CF"/>
    <w:rsid w:val="00FB68C5"/>
    <w:rsid w:val="00FB7035"/>
    <w:rsid w:val="00FB7A2C"/>
    <w:rsid w:val="00FB7A74"/>
    <w:rsid w:val="00FC11B3"/>
    <w:rsid w:val="00FC13F1"/>
    <w:rsid w:val="00FC1E7E"/>
    <w:rsid w:val="00FC2E4A"/>
    <w:rsid w:val="00FC3503"/>
    <w:rsid w:val="00FC362D"/>
    <w:rsid w:val="00FC36E4"/>
    <w:rsid w:val="00FC5486"/>
    <w:rsid w:val="00FC5FDD"/>
    <w:rsid w:val="00FC6773"/>
    <w:rsid w:val="00FC67C9"/>
    <w:rsid w:val="00FC6E59"/>
    <w:rsid w:val="00FC7C02"/>
    <w:rsid w:val="00FD03C2"/>
    <w:rsid w:val="00FD1158"/>
    <w:rsid w:val="00FD1732"/>
    <w:rsid w:val="00FD29B7"/>
    <w:rsid w:val="00FD2B0D"/>
    <w:rsid w:val="00FD2D2C"/>
    <w:rsid w:val="00FD4C8B"/>
    <w:rsid w:val="00FD63DF"/>
    <w:rsid w:val="00FD669F"/>
    <w:rsid w:val="00FD72A0"/>
    <w:rsid w:val="00FD78E0"/>
    <w:rsid w:val="00FD7939"/>
    <w:rsid w:val="00FD7ECD"/>
    <w:rsid w:val="00FE053F"/>
    <w:rsid w:val="00FE0A22"/>
    <w:rsid w:val="00FE0AA1"/>
    <w:rsid w:val="00FE1115"/>
    <w:rsid w:val="00FE138A"/>
    <w:rsid w:val="00FE167F"/>
    <w:rsid w:val="00FE1845"/>
    <w:rsid w:val="00FE3423"/>
    <w:rsid w:val="00FE37EA"/>
    <w:rsid w:val="00FE3DE0"/>
    <w:rsid w:val="00FE4117"/>
    <w:rsid w:val="00FE467B"/>
    <w:rsid w:val="00FE51FE"/>
    <w:rsid w:val="00FE6102"/>
    <w:rsid w:val="00FE626E"/>
    <w:rsid w:val="00FE7250"/>
    <w:rsid w:val="00FE7338"/>
    <w:rsid w:val="00FE7F17"/>
    <w:rsid w:val="00FF0947"/>
    <w:rsid w:val="00FF1A60"/>
    <w:rsid w:val="00FF1E17"/>
    <w:rsid w:val="00FF1EB4"/>
    <w:rsid w:val="00FF1F24"/>
    <w:rsid w:val="00FF30A4"/>
    <w:rsid w:val="00FF3B74"/>
    <w:rsid w:val="00FF3B77"/>
    <w:rsid w:val="00FF49CE"/>
    <w:rsid w:val="00FF52E3"/>
    <w:rsid w:val="00FF53CE"/>
    <w:rsid w:val="00FF65BD"/>
    <w:rsid w:val="00FF6772"/>
    <w:rsid w:val="00FF6FEB"/>
    <w:rsid w:val="00FF7004"/>
    <w:rsid w:val="00FF70F1"/>
    <w:rsid w:val="00FF73D9"/>
    <w:rsid w:val="00FF7843"/>
    <w:rsid w:val="00FF7FA9"/>
    <w:rsid w:val="028705FE"/>
    <w:rsid w:val="036B4971"/>
    <w:rsid w:val="04005FA1"/>
    <w:rsid w:val="054E514F"/>
    <w:rsid w:val="05A70A0D"/>
    <w:rsid w:val="05AC0574"/>
    <w:rsid w:val="05BC419D"/>
    <w:rsid w:val="06C61066"/>
    <w:rsid w:val="06D70337"/>
    <w:rsid w:val="06F227DE"/>
    <w:rsid w:val="08D11305"/>
    <w:rsid w:val="091A72AD"/>
    <w:rsid w:val="09E84E10"/>
    <w:rsid w:val="0A70684A"/>
    <w:rsid w:val="0A951F6E"/>
    <w:rsid w:val="0B6E1848"/>
    <w:rsid w:val="0BFA53E6"/>
    <w:rsid w:val="0C7F72BD"/>
    <w:rsid w:val="0D844120"/>
    <w:rsid w:val="0D9E60D7"/>
    <w:rsid w:val="0F3B2F67"/>
    <w:rsid w:val="0F9A500F"/>
    <w:rsid w:val="116077A0"/>
    <w:rsid w:val="11E25FD6"/>
    <w:rsid w:val="11FB3784"/>
    <w:rsid w:val="12427DF1"/>
    <w:rsid w:val="12BA5DE6"/>
    <w:rsid w:val="13FF2FB9"/>
    <w:rsid w:val="15E76A24"/>
    <w:rsid w:val="16CB43D6"/>
    <w:rsid w:val="1706734A"/>
    <w:rsid w:val="173F3753"/>
    <w:rsid w:val="174801F6"/>
    <w:rsid w:val="17827F02"/>
    <w:rsid w:val="17D841B8"/>
    <w:rsid w:val="182E7070"/>
    <w:rsid w:val="183F1D1A"/>
    <w:rsid w:val="19F97358"/>
    <w:rsid w:val="1A553748"/>
    <w:rsid w:val="1A6754AF"/>
    <w:rsid w:val="1AE3378E"/>
    <w:rsid w:val="1AFA6EBD"/>
    <w:rsid w:val="1C5D0427"/>
    <w:rsid w:val="1C7B3169"/>
    <w:rsid w:val="1C933E4A"/>
    <w:rsid w:val="206977D9"/>
    <w:rsid w:val="21A613C7"/>
    <w:rsid w:val="223733C1"/>
    <w:rsid w:val="224E294F"/>
    <w:rsid w:val="226C214F"/>
    <w:rsid w:val="22854FFE"/>
    <w:rsid w:val="22E31283"/>
    <w:rsid w:val="2348000B"/>
    <w:rsid w:val="257A2AD3"/>
    <w:rsid w:val="25AB26B2"/>
    <w:rsid w:val="25BB7DA5"/>
    <w:rsid w:val="2617522C"/>
    <w:rsid w:val="2CC827E0"/>
    <w:rsid w:val="2FAF694F"/>
    <w:rsid w:val="300D3295"/>
    <w:rsid w:val="30274823"/>
    <w:rsid w:val="30E67B79"/>
    <w:rsid w:val="313145D4"/>
    <w:rsid w:val="31955ADD"/>
    <w:rsid w:val="31C07988"/>
    <w:rsid w:val="34514DEA"/>
    <w:rsid w:val="34A5067E"/>
    <w:rsid w:val="34CC3D50"/>
    <w:rsid w:val="35645814"/>
    <w:rsid w:val="359441D9"/>
    <w:rsid w:val="36682807"/>
    <w:rsid w:val="3690005D"/>
    <w:rsid w:val="37F86297"/>
    <w:rsid w:val="38077A24"/>
    <w:rsid w:val="39822E25"/>
    <w:rsid w:val="39A33E38"/>
    <w:rsid w:val="39E30BB5"/>
    <w:rsid w:val="39F775D0"/>
    <w:rsid w:val="3AB70F8D"/>
    <w:rsid w:val="3BD261FC"/>
    <w:rsid w:val="3E265A58"/>
    <w:rsid w:val="3E546CEB"/>
    <w:rsid w:val="3F657D6E"/>
    <w:rsid w:val="401C19E8"/>
    <w:rsid w:val="418827F6"/>
    <w:rsid w:val="421440A0"/>
    <w:rsid w:val="427914F2"/>
    <w:rsid w:val="42926285"/>
    <w:rsid w:val="42A30D4F"/>
    <w:rsid w:val="42DA0C6E"/>
    <w:rsid w:val="43920409"/>
    <w:rsid w:val="43AA0DB5"/>
    <w:rsid w:val="43AB748D"/>
    <w:rsid w:val="44FA1BC9"/>
    <w:rsid w:val="450966EF"/>
    <w:rsid w:val="45412657"/>
    <w:rsid w:val="465877C4"/>
    <w:rsid w:val="476612EE"/>
    <w:rsid w:val="478B4272"/>
    <w:rsid w:val="47EA5B27"/>
    <w:rsid w:val="484771DF"/>
    <w:rsid w:val="48BD6E6E"/>
    <w:rsid w:val="48F15695"/>
    <w:rsid w:val="495F4D4E"/>
    <w:rsid w:val="49782573"/>
    <w:rsid w:val="4A1C5E76"/>
    <w:rsid w:val="4B396733"/>
    <w:rsid w:val="4B3A2F93"/>
    <w:rsid w:val="4CDF200B"/>
    <w:rsid w:val="4D8818A4"/>
    <w:rsid w:val="4FBF2B30"/>
    <w:rsid w:val="50070AD0"/>
    <w:rsid w:val="50A80B3B"/>
    <w:rsid w:val="51854483"/>
    <w:rsid w:val="524A1ECB"/>
    <w:rsid w:val="542A299E"/>
    <w:rsid w:val="54491131"/>
    <w:rsid w:val="54A5067F"/>
    <w:rsid w:val="54E831A5"/>
    <w:rsid w:val="5A4159A9"/>
    <w:rsid w:val="5A633C89"/>
    <w:rsid w:val="5AD02512"/>
    <w:rsid w:val="5B696393"/>
    <w:rsid w:val="5B7B1804"/>
    <w:rsid w:val="5B7D7635"/>
    <w:rsid w:val="5C475F9E"/>
    <w:rsid w:val="5D684457"/>
    <w:rsid w:val="5EAE747B"/>
    <w:rsid w:val="5F34520E"/>
    <w:rsid w:val="601445A3"/>
    <w:rsid w:val="601C5B46"/>
    <w:rsid w:val="606A15ED"/>
    <w:rsid w:val="64543DEB"/>
    <w:rsid w:val="65711400"/>
    <w:rsid w:val="65D90B98"/>
    <w:rsid w:val="66313589"/>
    <w:rsid w:val="676E702E"/>
    <w:rsid w:val="67F10FCD"/>
    <w:rsid w:val="69826A39"/>
    <w:rsid w:val="698B283C"/>
    <w:rsid w:val="6AFB752E"/>
    <w:rsid w:val="6C0A331C"/>
    <w:rsid w:val="6D0D797F"/>
    <w:rsid w:val="6D881C70"/>
    <w:rsid w:val="6E0C11B0"/>
    <w:rsid w:val="6E3C0C9C"/>
    <w:rsid w:val="6E446298"/>
    <w:rsid w:val="6E673F14"/>
    <w:rsid w:val="6E9523F1"/>
    <w:rsid w:val="6FDD6381"/>
    <w:rsid w:val="6FF81729"/>
    <w:rsid w:val="74AA237E"/>
    <w:rsid w:val="7750345B"/>
    <w:rsid w:val="7849732E"/>
    <w:rsid w:val="7B4A52E9"/>
    <w:rsid w:val="7D4D5A35"/>
    <w:rsid w:val="7DA75CF8"/>
    <w:rsid w:val="7DF37ED1"/>
    <w:rsid w:val="7E572F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nhideWhenUsed="0" w:uiPriority="39" w:semiHidden="0" w:name="toc 8"/>
    <w:lsdException w:qFormat="1" w:uiPriority="39" w:semiHidden="0" w:name="toc 9"/>
    <w:lsdException w:qFormat="1" w:unhideWhenUsed="0" w:uiPriority="0" w:semiHidden="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nhideWhenUsed="0"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3"/>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2"/>
    <w:link w:val="8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68"/>
    <w:qFormat/>
    <w:uiPriority w:val="0"/>
    <w:pPr>
      <w:keepNext/>
      <w:keepLines/>
      <w:spacing w:before="260" w:after="260" w:line="416" w:lineRule="auto"/>
      <w:outlineLvl w:val="2"/>
    </w:pPr>
    <w:rPr>
      <w:b/>
      <w:bCs/>
      <w:sz w:val="32"/>
      <w:szCs w:val="32"/>
    </w:rPr>
  </w:style>
  <w:style w:type="paragraph" w:styleId="6">
    <w:name w:val="heading 4"/>
    <w:basedOn w:val="1"/>
    <w:next w:val="1"/>
    <w:link w:val="53"/>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85"/>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2"/>
    <w:link w:val="86"/>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50"/>
    <w:qFormat/>
    <w:uiPriority w:val="0"/>
    <w:pPr>
      <w:keepNext/>
      <w:keepLines/>
      <w:spacing w:before="240" w:after="64" w:line="320" w:lineRule="auto"/>
      <w:outlineLvl w:val="6"/>
    </w:pPr>
    <w:rPr>
      <w:b/>
      <w:sz w:val="24"/>
      <w:szCs w:val="20"/>
    </w:rPr>
  </w:style>
  <w:style w:type="paragraph" w:styleId="10">
    <w:name w:val="heading 8"/>
    <w:basedOn w:val="1"/>
    <w:next w:val="2"/>
    <w:link w:val="8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51"/>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55"/>
    <w:qFormat/>
    <w:uiPriority w:val="0"/>
    <w:pPr>
      <w:ind w:firstLine="420"/>
    </w:pPr>
    <w:rPr>
      <w:szCs w:val="20"/>
    </w:rPr>
  </w:style>
  <w:style w:type="paragraph" w:styleId="12">
    <w:name w:val="toc 7"/>
    <w:basedOn w:val="1"/>
    <w:next w:val="1"/>
    <w:unhideWhenUsed/>
    <w:qFormat/>
    <w:uiPriority w:val="39"/>
    <w:pPr>
      <w:ind w:left="1260"/>
      <w:jc w:val="left"/>
    </w:pPr>
    <w:rPr>
      <w:rFonts w:ascii="Calibri" w:hAnsi="Calibri"/>
      <w:sz w:val="18"/>
      <w:szCs w:val="18"/>
    </w:rPr>
  </w:style>
  <w:style w:type="paragraph" w:styleId="13">
    <w:name w:val="caption"/>
    <w:basedOn w:val="1"/>
    <w:next w:val="1"/>
    <w:link w:val="74"/>
    <w:qFormat/>
    <w:uiPriority w:val="0"/>
    <w:rPr>
      <w:rFonts w:ascii="Arial" w:hAnsi="Arial" w:eastAsia="黑体"/>
      <w:sz w:val="20"/>
      <w:szCs w:val="20"/>
    </w:rPr>
  </w:style>
  <w:style w:type="paragraph" w:styleId="14">
    <w:name w:val="Document Map"/>
    <w:basedOn w:val="1"/>
    <w:semiHidden/>
    <w:qFormat/>
    <w:uiPriority w:val="0"/>
    <w:pPr>
      <w:shd w:val="clear" w:color="auto" w:fill="000080"/>
    </w:pPr>
  </w:style>
  <w:style w:type="paragraph" w:styleId="15">
    <w:name w:val="toa heading"/>
    <w:basedOn w:val="1"/>
    <w:next w:val="1"/>
    <w:semiHidden/>
    <w:qFormat/>
    <w:uiPriority w:val="0"/>
    <w:pPr>
      <w:spacing w:before="120"/>
    </w:pPr>
    <w:rPr>
      <w:rFonts w:ascii="Arial" w:hAnsi="Arial"/>
      <w:sz w:val="24"/>
      <w:szCs w:val="20"/>
    </w:rPr>
  </w:style>
  <w:style w:type="paragraph" w:styleId="16">
    <w:name w:val="annotation text"/>
    <w:basedOn w:val="1"/>
    <w:link w:val="67"/>
    <w:semiHidden/>
    <w:qFormat/>
    <w:uiPriority w:val="99"/>
    <w:pPr>
      <w:jc w:val="left"/>
    </w:pPr>
  </w:style>
  <w:style w:type="paragraph" w:styleId="17">
    <w:name w:val="Body Text 3"/>
    <w:basedOn w:val="1"/>
    <w:qFormat/>
    <w:uiPriority w:val="0"/>
    <w:pPr>
      <w:spacing w:after="120"/>
    </w:pPr>
    <w:rPr>
      <w:sz w:val="16"/>
      <w:szCs w:val="16"/>
    </w:rPr>
  </w:style>
  <w:style w:type="paragraph" w:styleId="18">
    <w:name w:val="Body Text"/>
    <w:basedOn w:val="1"/>
    <w:qFormat/>
    <w:uiPriority w:val="0"/>
    <w:pPr>
      <w:spacing w:line="360" w:lineRule="auto"/>
    </w:pPr>
    <w:rPr>
      <w:szCs w:val="20"/>
    </w:rPr>
  </w:style>
  <w:style w:type="paragraph" w:styleId="19">
    <w:name w:val="Body Text Indent"/>
    <w:basedOn w:val="1"/>
    <w:link w:val="60"/>
    <w:qFormat/>
    <w:uiPriority w:val="99"/>
    <w:pPr>
      <w:ind w:firstLine="830" w:firstLineChars="352"/>
    </w:pPr>
    <w:rPr>
      <w:rFonts w:ascii="仿宋_GB2312" w:eastAsia="仿宋_GB2312"/>
      <w:sz w:val="32"/>
      <w:szCs w:val="20"/>
    </w:rPr>
  </w:style>
  <w:style w:type="paragraph" w:styleId="20">
    <w:name w:val="toc 5"/>
    <w:basedOn w:val="1"/>
    <w:next w:val="1"/>
    <w:unhideWhenUsed/>
    <w:qFormat/>
    <w:uiPriority w:val="39"/>
    <w:pPr>
      <w:ind w:left="840"/>
      <w:jc w:val="left"/>
    </w:pPr>
    <w:rPr>
      <w:rFonts w:ascii="Calibri" w:hAnsi="Calibri"/>
      <w:sz w:val="18"/>
      <w:szCs w:val="18"/>
    </w:rPr>
  </w:style>
  <w:style w:type="paragraph" w:styleId="21">
    <w:name w:val="toc 3"/>
    <w:basedOn w:val="1"/>
    <w:next w:val="1"/>
    <w:qFormat/>
    <w:uiPriority w:val="39"/>
    <w:pPr>
      <w:tabs>
        <w:tab w:val="left" w:pos="900"/>
        <w:tab w:val="left" w:pos="1080"/>
      </w:tabs>
      <w:ind w:left="100" w:leftChars="100"/>
    </w:pPr>
    <w:rPr>
      <w:rFonts w:ascii="宋体" w:hAnsi="宋体"/>
      <w:iCs/>
    </w:rPr>
  </w:style>
  <w:style w:type="paragraph" w:styleId="22">
    <w:name w:val="Plain Text"/>
    <w:basedOn w:val="1"/>
    <w:link w:val="64"/>
    <w:qFormat/>
    <w:uiPriority w:val="0"/>
    <w:rPr>
      <w:rFonts w:ascii="宋体" w:hAnsi="Courier New" w:cs="Courier New"/>
      <w:szCs w:val="21"/>
    </w:rPr>
  </w:style>
  <w:style w:type="paragraph" w:styleId="23">
    <w:name w:val="toc 8"/>
    <w:basedOn w:val="1"/>
    <w:next w:val="1"/>
    <w:qFormat/>
    <w:uiPriority w:val="39"/>
    <w:pPr>
      <w:ind w:left="1470"/>
      <w:jc w:val="left"/>
    </w:pPr>
    <w:rPr>
      <w:rFonts w:ascii="Calibri" w:hAnsi="Calibri"/>
      <w:sz w:val="18"/>
      <w:szCs w:val="18"/>
    </w:rPr>
  </w:style>
  <w:style w:type="paragraph" w:styleId="24">
    <w:name w:val="index 3"/>
    <w:basedOn w:val="1"/>
    <w:next w:val="1"/>
    <w:semiHidden/>
    <w:qFormat/>
    <w:uiPriority w:val="0"/>
    <w:pPr>
      <w:ind w:left="400" w:leftChars="400"/>
    </w:pPr>
  </w:style>
  <w:style w:type="paragraph" w:styleId="25">
    <w:name w:val="Date"/>
    <w:basedOn w:val="1"/>
    <w:next w:val="1"/>
    <w:qFormat/>
    <w:uiPriority w:val="0"/>
    <w:rPr>
      <w:rFonts w:ascii="宋体" w:hAnsi="Courier New"/>
      <w:b/>
      <w:sz w:val="48"/>
      <w:szCs w:val="20"/>
    </w:rPr>
  </w:style>
  <w:style w:type="paragraph" w:styleId="26">
    <w:name w:val="Body Text Indent 2"/>
    <w:basedOn w:val="1"/>
    <w:link w:val="89"/>
    <w:qFormat/>
    <w:uiPriority w:val="0"/>
    <w:pPr>
      <w:spacing w:after="120" w:line="480" w:lineRule="auto"/>
      <w:ind w:left="420" w:leftChars="200"/>
    </w:pPr>
  </w:style>
  <w:style w:type="paragraph" w:styleId="27">
    <w:name w:val="Balloon Text"/>
    <w:basedOn w:val="1"/>
    <w:link w:val="59"/>
    <w:semiHidden/>
    <w:qFormat/>
    <w:uiPriority w:val="0"/>
    <w:rPr>
      <w:sz w:val="18"/>
      <w:szCs w:val="18"/>
    </w:rPr>
  </w:style>
  <w:style w:type="paragraph" w:styleId="28">
    <w:name w:val="footer"/>
    <w:basedOn w:val="1"/>
    <w:link w:val="77"/>
    <w:qFormat/>
    <w:uiPriority w:val="0"/>
    <w:pPr>
      <w:tabs>
        <w:tab w:val="center" w:pos="4153"/>
        <w:tab w:val="right" w:pos="8306"/>
      </w:tabs>
      <w:snapToGrid w:val="0"/>
      <w:jc w:val="left"/>
    </w:pPr>
    <w:rPr>
      <w:sz w:val="18"/>
      <w:szCs w:val="18"/>
    </w:rPr>
  </w:style>
  <w:style w:type="paragraph" w:styleId="29">
    <w:name w:val="header"/>
    <w:basedOn w:val="1"/>
    <w:link w:val="56"/>
    <w:qFormat/>
    <w:uiPriority w:val="0"/>
    <w:pPr>
      <w:pBdr>
        <w:bottom w:val="single" w:color="auto" w:sz="6" w:space="1"/>
      </w:pBdr>
      <w:tabs>
        <w:tab w:val="center" w:pos="4153"/>
        <w:tab w:val="right" w:pos="8306"/>
      </w:tabs>
      <w:snapToGrid w:val="0"/>
      <w:jc w:val="center"/>
    </w:pPr>
    <w:rPr>
      <w:rFonts w:hAnsi="宋体"/>
      <w:color w:val="000000"/>
      <w:sz w:val="18"/>
      <w:szCs w:val="18"/>
    </w:rPr>
  </w:style>
  <w:style w:type="paragraph" w:styleId="30">
    <w:name w:val="toc 1"/>
    <w:basedOn w:val="1"/>
    <w:next w:val="1"/>
    <w:qFormat/>
    <w:uiPriority w:val="39"/>
    <w:pPr>
      <w:tabs>
        <w:tab w:val="right" w:leader="dot" w:pos="8280"/>
      </w:tabs>
      <w:spacing w:line="360" w:lineRule="auto"/>
    </w:pPr>
    <w:rPr>
      <w:rFonts w:ascii="宋体" w:hAnsi="宋体"/>
      <w:b/>
      <w:sz w:val="22"/>
      <w:szCs w:val="21"/>
    </w:rPr>
  </w:style>
  <w:style w:type="paragraph" w:styleId="31">
    <w:name w:val="toc 4"/>
    <w:basedOn w:val="1"/>
    <w:next w:val="1"/>
    <w:unhideWhenUsed/>
    <w:qFormat/>
    <w:uiPriority w:val="39"/>
    <w:pPr>
      <w:ind w:left="630"/>
      <w:jc w:val="left"/>
    </w:pPr>
    <w:rPr>
      <w:rFonts w:ascii="Calibri" w:hAnsi="Calibri"/>
      <w:sz w:val="18"/>
      <w:szCs w:val="18"/>
    </w:rPr>
  </w:style>
  <w:style w:type="paragraph" w:styleId="32">
    <w:name w:val="index heading"/>
    <w:basedOn w:val="1"/>
    <w:next w:val="33"/>
    <w:semiHidden/>
    <w:qFormat/>
    <w:uiPriority w:val="0"/>
    <w:rPr>
      <w:szCs w:val="20"/>
    </w:rPr>
  </w:style>
  <w:style w:type="paragraph" w:styleId="33">
    <w:name w:val="index 1"/>
    <w:basedOn w:val="1"/>
    <w:next w:val="1"/>
    <w:semiHidden/>
    <w:qFormat/>
    <w:uiPriority w:val="0"/>
    <w:pPr>
      <w:tabs>
        <w:tab w:val="left" w:pos="7740"/>
      </w:tabs>
      <w:jc w:val="center"/>
    </w:pPr>
    <w:rPr>
      <w:rFonts w:ascii="仿宋" w:hAnsi="仿宋" w:eastAsia="仿宋"/>
      <w:b/>
      <w:sz w:val="28"/>
      <w:szCs w:val="28"/>
    </w:rPr>
  </w:style>
  <w:style w:type="paragraph" w:styleId="34">
    <w:name w:val="toc 6"/>
    <w:basedOn w:val="1"/>
    <w:next w:val="1"/>
    <w:unhideWhenUsed/>
    <w:qFormat/>
    <w:uiPriority w:val="39"/>
    <w:pPr>
      <w:ind w:left="1050"/>
      <w:jc w:val="left"/>
    </w:pPr>
    <w:rPr>
      <w:rFonts w:ascii="Calibri" w:hAnsi="Calibri"/>
      <w:sz w:val="18"/>
      <w:szCs w:val="18"/>
    </w:rPr>
  </w:style>
  <w:style w:type="paragraph" w:styleId="35">
    <w:name w:val="Body Text Indent 3"/>
    <w:basedOn w:val="1"/>
    <w:qFormat/>
    <w:uiPriority w:val="0"/>
    <w:pPr>
      <w:spacing w:line="360" w:lineRule="auto"/>
      <w:ind w:firstLine="420" w:firstLineChars="200"/>
    </w:pPr>
    <w:rPr>
      <w:szCs w:val="20"/>
    </w:rPr>
  </w:style>
  <w:style w:type="paragraph" w:styleId="36">
    <w:name w:val="toc 2"/>
    <w:basedOn w:val="1"/>
    <w:next w:val="1"/>
    <w:qFormat/>
    <w:uiPriority w:val="39"/>
    <w:pPr>
      <w:tabs>
        <w:tab w:val="left" w:pos="840"/>
        <w:tab w:val="right" w:leader="dot" w:pos="8302"/>
      </w:tabs>
      <w:spacing w:line="360" w:lineRule="auto"/>
      <w:ind w:left="210" w:leftChars="100"/>
      <w:jc w:val="left"/>
    </w:pPr>
    <w:rPr>
      <w:rFonts w:ascii="黑体" w:hAnsi="宋体"/>
      <w:smallCaps/>
      <w:kern w:val="44"/>
      <w:szCs w:val="21"/>
    </w:rPr>
  </w:style>
  <w:style w:type="paragraph" w:styleId="37">
    <w:name w:val="toc 9"/>
    <w:basedOn w:val="1"/>
    <w:next w:val="1"/>
    <w:unhideWhenUsed/>
    <w:qFormat/>
    <w:uiPriority w:val="39"/>
    <w:pPr>
      <w:ind w:left="1680"/>
      <w:jc w:val="left"/>
    </w:pPr>
    <w:rPr>
      <w:rFonts w:ascii="Calibri" w:hAnsi="Calibri"/>
      <w:sz w:val="18"/>
      <w:szCs w:val="18"/>
    </w:rPr>
  </w:style>
  <w:style w:type="paragraph" w:styleId="38">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9">
    <w:name w:val="Title"/>
    <w:basedOn w:val="1"/>
    <w:link w:val="88"/>
    <w:qFormat/>
    <w:uiPriority w:val="0"/>
    <w:pPr>
      <w:spacing w:before="240" w:after="60"/>
      <w:jc w:val="center"/>
      <w:outlineLvl w:val="0"/>
    </w:pPr>
    <w:rPr>
      <w:rFonts w:ascii="Arial" w:hAnsi="Arial"/>
      <w:b/>
      <w:bCs/>
      <w:sz w:val="32"/>
      <w:szCs w:val="32"/>
    </w:rPr>
  </w:style>
  <w:style w:type="paragraph" w:styleId="40">
    <w:name w:val="annotation subject"/>
    <w:basedOn w:val="16"/>
    <w:next w:val="16"/>
    <w:semiHidden/>
    <w:qFormat/>
    <w:uiPriority w:val="0"/>
    <w:rPr>
      <w:b/>
      <w:bCs/>
    </w:rPr>
  </w:style>
  <w:style w:type="paragraph" w:styleId="41">
    <w:name w:val="Body Text First Indent"/>
    <w:basedOn w:val="18"/>
    <w:qFormat/>
    <w:uiPriority w:val="0"/>
    <w:pPr>
      <w:spacing w:after="120" w:line="240" w:lineRule="auto"/>
      <w:ind w:firstLine="420" w:firstLineChars="100"/>
    </w:pPr>
    <w:rPr>
      <w:szCs w:val="24"/>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qFormat/>
    <w:uiPriority w:val="0"/>
    <w:rPr>
      <w:rFonts w:ascii="Tahoma" w:hAnsi="Tahoma" w:eastAsia="宋体"/>
      <w:b/>
      <w:bCs/>
      <w:spacing w:val="10"/>
      <w:sz w:val="24"/>
      <w:lang w:val="en-US" w:eastAsia="zh-CN" w:bidi="ar-SA"/>
    </w:rPr>
  </w:style>
  <w:style w:type="character" w:styleId="46">
    <w:name w:val="page number"/>
    <w:basedOn w:val="44"/>
    <w:qFormat/>
    <w:uiPriority w:val="0"/>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customStyle="1" w:styleId="49">
    <w:name w:val="已访问的超链接1"/>
    <w:qFormat/>
    <w:uiPriority w:val="0"/>
    <w:rPr>
      <w:color w:val="800080"/>
      <w:u w:val="single"/>
    </w:rPr>
  </w:style>
  <w:style w:type="character" w:customStyle="1" w:styleId="50">
    <w:name w:val="标题 7 Char"/>
    <w:link w:val="9"/>
    <w:qFormat/>
    <w:locked/>
    <w:uiPriority w:val="0"/>
    <w:rPr>
      <w:b/>
      <w:kern w:val="2"/>
      <w:sz w:val="24"/>
    </w:rPr>
  </w:style>
  <w:style w:type="character" w:customStyle="1" w:styleId="51">
    <w:name w:val="标题 9 Char"/>
    <w:link w:val="11"/>
    <w:qFormat/>
    <w:locked/>
    <w:uiPriority w:val="0"/>
    <w:rPr>
      <w:rFonts w:ascii="Arial" w:hAnsi="Arial" w:eastAsia="黑体"/>
      <w:kern w:val="2"/>
      <w:sz w:val="21"/>
    </w:rPr>
  </w:style>
  <w:style w:type="character" w:customStyle="1" w:styleId="52">
    <w:name w:val="标题 3 Char1"/>
    <w:qFormat/>
    <w:locked/>
    <w:uiPriority w:val="0"/>
    <w:rPr>
      <w:rFonts w:ascii="宋体" w:hAnsi="Times New Roman"/>
    </w:rPr>
  </w:style>
  <w:style w:type="character" w:customStyle="1" w:styleId="53">
    <w:name w:val="标题 4 Char"/>
    <w:link w:val="6"/>
    <w:qFormat/>
    <w:locked/>
    <w:uiPriority w:val="0"/>
    <w:rPr>
      <w:rFonts w:ascii="Arial" w:hAnsi="Arial" w:eastAsia="黑体"/>
      <w:b/>
      <w:bCs/>
      <w:kern w:val="2"/>
      <w:sz w:val="28"/>
      <w:szCs w:val="28"/>
    </w:rPr>
  </w:style>
  <w:style w:type="character" w:customStyle="1" w:styleId="54">
    <w:name w:val="Char Char8"/>
    <w:qFormat/>
    <w:uiPriority w:val="0"/>
    <w:rPr>
      <w:rFonts w:ascii="宋体" w:hAnsi="Courier New" w:eastAsia="宋体"/>
      <w:kern w:val="2"/>
      <w:sz w:val="21"/>
      <w:lang w:val="en-US" w:eastAsia="zh-CN" w:bidi="ar-SA"/>
    </w:rPr>
  </w:style>
  <w:style w:type="character" w:customStyle="1" w:styleId="55">
    <w:name w:val="正文缩进 Char"/>
    <w:link w:val="2"/>
    <w:qFormat/>
    <w:uiPriority w:val="0"/>
    <w:rPr>
      <w:rFonts w:eastAsia="宋体"/>
      <w:kern w:val="2"/>
      <w:sz w:val="21"/>
      <w:lang w:val="en-US" w:eastAsia="zh-CN" w:bidi="ar-SA"/>
    </w:rPr>
  </w:style>
  <w:style w:type="character" w:customStyle="1" w:styleId="56">
    <w:name w:val="页眉 Char"/>
    <w:link w:val="29"/>
    <w:qFormat/>
    <w:uiPriority w:val="0"/>
    <w:rPr>
      <w:rFonts w:hAnsi="宋体"/>
      <w:color w:val="000000"/>
      <w:kern w:val="2"/>
      <w:sz w:val="18"/>
      <w:szCs w:val="18"/>
    </w:rPr>
  </w:style>
  <w:style w:type="character" w:customStyle="1" w:styleId="57">
    <w:name w:val="正文 A Char Char"/>
    <w:link w:val="58"/>
    <w:qFormat/>
    <w:uiPriority w:val="0"/>
    <w:rPr>
      <w:rFonts w:ascii="仿宋_GB2312" w:hAnsi="Heiti SC Light" w:eastAsia="仿宋_GB2312"/>
      <w:kern w:val="2"/>
      <w:sz w:val="24"/>
      <w:lang w:val="en-US" w:eastAsia="zh-CN" w:bidi="ar-SA"/>
    </w:rPr>
  </w:style>
  <w:style w:type="paragraph" w:customStyle="1" w:styleId="58">
    <w:name w:val="正文 A"/>
    <w:link w:val="57"/>
    <w:qFormat/>
    <w:uiPriority w:val="0"/>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spacing w:line="360" w:lineRule="auto"/>
      <w:ind w:firstLine="480"/>
    </w:pPr>
    <w:rPr>
      <w:rFonts w:ascii="仿宋_GB2312" w:hAnsi="Heiti SC Light" w:eastAsia="仿宋_GB2312" w:cs="Times New Roman"/>
      <w:kern w:val="2"/>
      <w:sz w:val="24"/>
      <w:lang w:val="en-US" w:eastAsia="zh-CN" w:bidi="ar-SA"/>
    </w:rPr>
  </w:style>
  <w:style w:type="character" w:customStyle="1" w:styleId="59">
    <w:name w:val="批注框文本 Char"/>
    <w:link w:val="27"/>
    <w:semiHidden/>
    <w:qFormat/>
    <w:locked/>
    <w:uiPriority w:val="0"/>
    <w:rPr>
      <w:kern w:val="2"/>
      <w:sz w:val="18"/>
      <w:szCs w:val="18"/>
    </w:rPr>
  </w:style>
  <w:style w:type="character" w:customStyle="1" w:styleId="60">
    <w:name w:val="正文文本缩进 Char"/>
    <w:link w:val="19"/>
    <w:qFormat/>
    <w:uiPriority w:val="99"/>
    <w:rPr>
      <w:rFonts w:ascii="仿宋_GB2312" w:eastAsia="仿宋_GB2312"/>
      <w:kern w:val="2"/>
      <w:sz w:val="32"/>
    </w:rPr>
  </w:style>
  <w:style w:type="character" w:customStyle="1" w:styleId="61">
    <w:name w:val="xl25 Char"/>
    <w:link w:val="62"/>
    <w:qFormat/>
    <w:uiPriority w:val="0"/>
    <w:rPr>
      <w:rFonts w:ascii="宋体" w:hAnsi="宋体" w:eastAsia="宋体"/>
      <w:sz w:val="21"/>
      <w:szCs w:val="21"/>
      <w:lang w:val="en-US" w:eastAsia="zh-CN" w:bidi="ar-SA"/>
    </w:rPr>
  </w:style>
  <w:style w:type="paragraph" w:customStyle="1" w:styleId="62">
    <w:name w:val="xl25"/>
    <w:basedOn w:val="1"/>
    <w:link w:val="6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63">
    <w:name w:val="font1"/>
    <w:qFormat/>
    <w:uiPriority w:val="0"/>
    <w:rPr>
      <w:sz w:val="18"/>
      <w:szCs w:val="18"/>
      <w:u w:val="none"/>
    </w:rPr>
  </w:style>
  <w:style w:type="character" w:customStyle="1" w:styleId="64">
    <w:name w:val="纯文本 Char"/>
    <w:link w:val="22"/>
    <w:qFormat/>
    <w:uiPriority w:val="0"/>
    <w:rPr>
      <w:rFonts w:ascii="宋体" w:hAnsi="Courier New" w:eastAsia="宋体" w:cs="Courier New"/>
      <w:kern w:val="2"/>
      <w:sz w:val="21"/>
      <w:szCs w:val="21"/>
      <w:lang w:val="en-US" w:eastAsia="zh-CN" w:bidi="ar-SA"/>
    </w:rPr>
  </w:style>
  <w:style w:type="character" w:customStyle="1" w:styleId="65">
    <w:name w:val="标题 2 Char"/>
    <w:qFormat/>
    <w:uiPriority w:val="0"/>
    <w:rPr>
      <w:rFonts w:ascii="Arial" w:hAnsi="Arial" w:eastAsia="黑体"/>
      <w:b/>
      <w:bCs/>
      <w:kern w:val="2"/>
      <w:sz w:val="32"/>
      <w:szCs w:val="32"/>
      <w:lang w:val="en-US" w:eastAsia="zh-CN" w:bidi="ar-SA"/>
    </w:rPr>
  </w:style>
  <w:style w:type="character" w:customStyle="1" w:styleId="66">
    <w:name w:val="纯文本 Char1"/>
    <w:qFormat/>
    <w:uiPriority w:val="0"/>
    <w:rPr>
      <w:rFonts w:ascii="宋体" w:hAnsi="Courier New" w:eastAsia="宋体" w:cs="Times New Roman"/>
      <w:kern w:val="0"/>
      <w:sz w:val="20"/>
      <w:szCs w:val="20"/>
    </w:rPr>
  </w:style>
  <w:style w:type="character" w:customStyle="1" w:styleId="67">
    <w:name w:val="批注文字 Char"/>
    <w:link w:val="16"/>
    <w:semiHidden/>
    <w:qFormat/>
    <w:uiPriority w:val="99"/>
    <w:rPr>
      <w:kern w:val="2"/>
      <w:sz w:val="21"/>
      <w:szCs w:val="24"/>
    </w:rPr>
  </w:style>
  <w:style w:type="character" w:customStyle="1" w:styleId="68">
    <w:name w:val="标题 3 Char"/>
    <w:link w:val="5"/>
    <w:qFormat/>
    <w:uiPriority w:val="0"/>
    <w:rPr>
      <w:rFonts w:eastAsia="宋体"/>
      <w:b/>
      <w:bCs/>
      <w:kern w:val="2"/>
      <w:sz w:val="32"/>
      <w:szCs w:val="32"/>
      <w:lang w:val="en-US" w:eastAsia="zh-CN" w:bidi="ar-SA"/>
    </w:rPr>
  </w:style>
  <w:style w:type="character" w:customStyle="1" w:styleId="69">
    <w:name w:val="mark8"/>
    <w:qFormat/>
    <w:uiPriority w:val="0"/>
    <w:rPr>
      <w:b/>
      <w:bCs/>
      <w:sz w:val="21"/>
      <w:szCs w:val="21"/>
    </w:rPr>
  </w:style>
  <w:style w:type="character" w:customStyle="1" w:styleId="70">
    <w:name w:val="列出段落 Char"/>
    <w:link w:val="71"/>
    <w:qFormat/>
    <w:uiPriority w:val="0"/>
    <w:rPr>
      <w:rFonts w:ascii="Calibri" w:hAnsi="Calibri"/>
      <w:kern w:val="2"/>
      <w:sz w:val="21"/>
      <w:szCs w:val="22"/>
    </w:rPr>
  </w:style>
  <w:style w:type="paragraph" w:styleId="71">
    <w:name w:val="List Paragraph"/>
    <w:basedOn w:val="1"/>
    <w:link w:val="70"/>
    <w:qFormat/>
    <w:uiPriority w:val="0"/>
    <w:pPr>
      <w:ind w:firstLine="420" w:firstLineChars="200"/>
    </w:pPr>
    <w:rPr>
      <w:rFonts w:ascii="Calibri" w:hAnsi="Calibri"/>
      <w:szCs w:val="22"/>
    </w:rPr>
  </w:style>
  <w:style w:type="character" w:customStyle="1" w:styleId="72">
    <w:name w:val="Char Char10"/>
    <w:qFormat/>
    <w:uiPriority w:val="0"/>
    <w:rPr>
      <w:rFonts w:eastAsia="宋体"/>
      <w:kern w:val="2"/>
      <w:sz w:val="18"/>
      <w:szCs w:val="18"/>
      <w:lang w:val="en-US" w:eastAsia="zh-CN" w:bidi="ar-SA"/>
    </w:rPr>
  </w:style>
  <w:style w:type="character" w:customStyle="1" w:styleId="73">
    <w:name w:val="nine-11"/>
    <w:qFormat/>
    <w:uiPriority w:val="0"/>
    <w:rPr>
      <w:rFonts w:hint="default"/>
      <w:sz w:val="18"/>
      <w:szCs w:val="18"/>
    </w:rPr>
  </w:style>
  <w:style w:type="character" w:customStyle="1" w:styleId="74">
    <w:name w:val="题注 Char"/>
    <w:link w:val="13"/>
    <w:qFormat/>
    <w:uiPriority w:val="0"/>
    <w:rPr>
      <w:rFonts w:ascii="Arial" w:hAnsi="Arial" w:eastAsia="黑体" w:cs="Arial"/>
      <w:kern w:val="2"/>
    </w:rPr>
  </w:style>
  <w:style w:type="character" w:customStyle="1" w:styleId="75">
    <w:name w:val="mark"/>
    <w:basedOn w:val="44"/>
    <w:qFormat/>
    <w:uiPriority w:val="0"/>
  </w:style>
  <w:style w:type="character" w:customStyle="1" w:styleId="76">
    <w:name w:val="Char Char3"/>
    <w:qFormat/>
    <w:uiPriority w:val="0"/>
    <w:rPr>
      <w:rFonts w:eastAsia="宋体"/>
      <w:kern w:val="2"/>
      <w:sz w:val="18"/>
      <w:lang w:val="en-US" w:eastAsia="zh-CN" w:bidi="ar-SA"/>
    </w:rPr>
  </w:style>
  <w:style w:type="character" w:customStyle="1" w:styleId="77">
    <w:name w:val="页脚 Char"/>
    <w:link w:val="28"/>
    <w:qFormat/>
    <w:uiPriority w:val="0"/>
    <w:rPr>
      <w:rFonts w:eastAsia="宋体"/>
      <w:kern w:val="2"/>
      <w:sz w:val="18"/>
      <w:szCs w:val="18"/>
      <w:lang w:val="en-US" w:eastAsia="zh-CN" w:bidi="ar-SA"/>
    </w:rPr>
  </w:style>
  <w:style w:type="character" w:customStyle="1" w:styleId="78">
    <w:name w:val="font31"/>
    <w:qFormat/>
    <w:uiPriority w:val="0"/>
    <w:rPr>
      <w:rFonts w:hint="eastAsia" w:ascii="宋体" w:hAnsi="宋体" w:eastAsia="宋体" w:cs="宋体"/>
      <w:color w:val="000000"/>
      <w:sz w:val="20"/>
      <w:szCs w:val="20"/>
      <w:u w:val="none"/>
    </w:rPr>
  </w:style>
  <w:style w:type="character" w:customStyle="1" w:styleId="79">
    <w:name w:val="Font Style17"/>
    <w:qFormat/>
    <w:uiPriority w:val="0"/>
    <w:rPr>
      <w:rFonts w:ascii="黑体" w:eastAsia="黑体" w:cs="黑体"/>
      <w:sz w:val="28"/>
      <w:szCs w:val="28"/>
    </w:rPr>
  </w:style>
  <w:style w:type="character" w:customStyle="1" w:styleId="80">
    <w:name w:val="标题 1 Char"/>
    <w:qFormat/>
    <w:uiPriority w:val="0"/>
    <w:rPr>
      <w:rFonts w:ascii="Times New Roman" w:hAnsi="Times New Roman" w:eastAsia="宋体" w:cs="Times New Roman"/>
      <w:b/>
      <w:bCs/>
      <w:kern w:val="44"/>
      <w:sz w:val="44"/>
      <w:szCs w:val="44"/>
    </w:rPr>
  </w:style>
  <w:style w:type="character" w:customStyle="1" w:styleId="81">
    <w:name w:val="List Paragraph Char"/>
    <w:link w:val="82"/>
    <w:qFormat/>
    <w:locked/>
    <w:uiPriority w:val="0"/>
    <w:rPr>
      <w:rFonts w:ascii="Calibri" w:hAnsi="Calibri"/>
      <w:kern w:val="2"/>
      <w:sz w:val="21"/>
      <w:szCs w:val="22"/>
    </w:rPr>
  </w:style>
  <w:style w:type="paragraph" w:customStyle="1" w:styleId="82">
    <w:name w:val="列出段落2"/>
    <w:basedOn w:val="1"/>
    <w:link w:val="81"/>
    <w:qFormat/>
    <w:uiPriority w:val="0"/>
    <w:pPr>
      <w:ind w:firstLine="420" w:firstLineChars="200"/>
    </w:pPr>
    <w:rPr>
      <w:rFonts w:ascii="Calibri" w:hAnsi="Calibri"/>
      <w:szCs w:val="22"/>
    </w:rPr>
  </w:style>
  <w:style w:type="character" w:customStyle="1" w:styleId="83">
    <w:name w:val="标题 1 Char1"/>
    <w:link w:val="3"/>
    <w:qFormat/>
    <w:locked/>
    <w:uiPriority w:val="0"/>
    <w:rPr>
      <w:b/>
      <w:bCs/>
      <w:kern w:val="44"/>
      <w:sz w:val="44"/>
      <w:szCs w:val="44"/>
    </w:rPr>
  </w:style>
  <w:style w:type="character" w:customStyle="1" w:styleId="84">
    <w:name w:val="标题 2 Char1"/>
    <w:link w:val="4"/>
    <w:qFormat/>
    <w:locked/>
    <w:uiPriority w:val="0"/>
    <w:rPr>
      <w:rFonts w:ascii="Arial" w:hAnsi="Arial" w:eastAsia="黑体"/>
      <w:b/>
      <w:bCs/>
      <w:kern w:val="2"/>
      <w:sz w:val="32"/>
      <w:szCs w:val="32"/>
    </w:rPr>
  </w:style>
  <w:style w:type="character" w:customStyle="1" w:styleId="85">
    <w:name w:val="标题 5 Char"/>
    <w:link w:val="7"/>
    <w:qFormat/>
    <w:locked/>
    <w:uiPriority w:val="0"/>
    <w:rPr>
      <w:b/>
      <w:sz w:val="28"/>
    </w:rPr>
  </w:style>
  <w:style w:type="character" w:customStyle="1" w:styleId="86">
    <w:name w:val="标题 6 Char"/>
    <w:link w:val="8"/>
    <w:qFormat/>
    <w:locked/>
    <w:uiPriority w:val="0"/>
    <w:rPr>
      <w:rFonts w:ascii="Arial" w:hAnsi="Arial" w:eastAsia="黑体"/>
      <w:b/>
      <w:kern w:val="2"/>
      <w:sz w:val="24"/>
    </w:rPr>
  </w:style>
  <w:style w:type="character" w:customStyle="1" w:styleId="87">
    <w:name w:val="标题 8 Char"/>
    <w:link w:val="10"/>
    <w:qFormat/>
    <w:locked/>
    <w:uiPriority w:val="0"/>
    <w:rPr>
      <w:rFonts w:ascii="Arial" w:hAnsi="Arial" w:eastAsia="黑体"/>
      <w:kern w:val="2"/>
      <w:sz w:val="24"/>
    </w:rPr>
  </w:style>
  <w:style w:type="character" w:customStyle="1" w:styleId="88">
    <w:name w:val="标题 Char"/>
    <w:link w:val="39"/>
    <w:qFormat/>
    <w:uiPriority w:val="0"/>
    <w:rPr>
      <w:rFonts w:ascii="Arial" w:hAnsi="Arial" w:cs="Arial"/>
      <w:b/>
      <w:bCs/>
      <w:kern w:val="2"/>
      <w:sz w:val="32"/>
      <w:szCs w:val="32"/>
    </w:rPr>
  </w:style>
  <w:style w:type="character" w:customStyle="1" w:styleId="89">
    <w:name w:val="正文文本缩进 2 Char"/>
    <w:link w:val="26"/>
    <w:qFormat/>
    <w:uiPriority w:val="0"/>
    <w:rPr>
      <w:kern w:val="2"/>
      <w:sz w:val="21"/>
      <w:szCs w:val="24"/>
    </w:rPr>
  </w:style>
  <w:style w:type="character" w:customStyle="1" w:styleId="90">
    <w:name w:val="表标题 Char Char"/>
    <w:link w:val="91"/>
    <w:qFormat/>
    <w:uiPriority w:val="0"/>
    <w:rPr>
      <w:b/>
    </w:rPr>
  </w:style>
  <w:style w:type="paragraph" w:customStyle="1" w:styleId="91">
    <w:name w:val="表标题"/>
    <w:basedOn w:val="2"/>
    <w:link w:val="90"/>
    <w:qFormat/>
    <w:uiPriority w:val="0"/>
    <w:pPr>
      <w:adjustRightInd w:val="0"/>
      <w:snapToGrid w:val="0"/>
      <w:spacing w:before="62" w:after="62"/>
      <w:ind w:firstLine="0"/>
      <w:jc w:val="center"/>
    </w:pPr>
    <w:rPr>
      <w:b/>
      <w:kern w:val="0"/>
      <w:sz w:val="20"/>
    </w:rPr>
  </w:style>
  <w:style w:type="paragraph" w:customStyle="1" w:styleId="9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3">
    <w:name w:val="_Style 4"/>
    <w:basedOn w:val="1"/>
    <w:qFormat/>
    <w:uiPriority w:val="0"/>
    <w:pPr>
      <w:spacing w:beforeLines="50" w:afterLines="50"/>
    </w:pPr>
  </w:style>
  <w:style w:type="paragraph" w:customStyle="1" w:styleId="94">
    <w:name w:val="xl35"/>
    <w:basedOn w:val="1"/>
    <w:qFormat/>
    <w:uiPriority w:val="0"/>
    <w:pPr>
      <w:widowControl/>
      <w:pBdr>
        <w:top w:val="single" w:color="auto" w:sz="4" w:space="0"/>
        <w:left w:val="single" w:color="auto" w:sz="4" w:space="0"/>
        <w:bottom w:val="single" w:color="auto" w:sz="4" w:space="0"/>
        <w:right w:val="single" w:color="auto" w:sz="4" w:space="0"/>
      </w:pBdr>
      <w:shd w:val="clear" w:color="auto" w:fill="99CCFF"/>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rPr>
  </w:style>
  <w:style w:type="paragraph" w:customStyle="1" w:styleId="96">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97">
    <w:name w:val="办公自动化专用标题"/>
    <w:basedOn w:val="39"/>
    <w:qFormat/>
    <w:uiPriority w:val="0"/>
    <w:pPr>
      <w:spacing w:line="560" w:lineRule="atLeast"/>
    </w:pPr>
    <w:rPr>
      <w:rFonts w:ascii="宋体"/>
      <w:bCs w:val="0"/>
      <w:sz w:val="44"/>
      <w:szCs w:val="20"/>
    </w:rPr>
  </w:style>
  <w:style w:type="paragraph" w:customStyle="1" w:styleId="98">
    <w:name w:val="Char3"/>
    <w:basedOn w:val="1"/>
    <w:qFormat/>
    <w:uiPriority w:val="0"/>
  </w:style>
  <w:style w:type="paragraph" w:customStyle="1" w:styleId="99">
    <w:name w:val="表格"/>
    <w:basedOn w:val="1"/>
    <w:qFormat/>
    <w:uiPriority w:val="0"/>
    <w:pPr>
      <w:jc w:val="center"/>
    </w:pPr>
    <w:rPr>
      <w:rFonts w:ascii="宋体"/>
      <w:b/>
      <w:szCs w:val="20"/>
    </w:rPr>
  </w:style>
  <w:style w:type="paragraph" w:customStyle="1" w:styleId="100">
    <w:name w:val="Char Char3 Char Char"/>
    <w:basedOn w:val="1"/>
    <w:qFormat/>
    <w:uiPriority w:val="0"/>
    <w:pPr>
      <w:spacing w:line="360" w:lineRule="auto"/>
      <w:ind w:firstLine="200" w:firstLineChars="200"/>
    </w:pPr>
    <w:rPr>
      <w:rFonts w:ascii="宋体" w:hAnsi="宋体" w:cs="宋体"/>
      <w:sz w:val="24"/>
    </w:rPr>
  </w:style>
  <w:style w:type="paragraph" w:customStyle="1" w:styleId="101">
    <w:name w:val="font5"/>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02">
    <w:name w:val="p0"/>
    <w:basedOn w:val="1"/>
    <w:qFormat/>
    <w:uiPriority w:val="0"/>
    <w:pPr>
      <w:widowControl/>
    </w:pPr>
    <w:rPr>
      <w:kern w:val="0"/>
      <w:szCs w:val="21"/>
    </w:rPr>
  </w:style>
  <w:style w:type="paragraph" w:customStyle="1" w:styleId="103">
    <w:name w:val="图框内的文字"/>
    <w:basedOn w:val="1"/>
    <w:qFormat/>
    <w:uiPriority w:val="0"/>
    <w:pPr>
      <w:jc w:val="center"/>
    </w:pPr>
    <w:rPr>
      <w:position w:val="6"/>
      <w:szCs w:val="20"/>
    </w:rPr>
  </w:style>
  <w:style w:type="paragraph" w:customStyle="1" w:styleId="104">
    <w:name w:val="默认段落字体 Para Char"/>
    <w:basedOn w:val="1"/>
    <w:qFormat/>
    <w:uiPriority w:val="0"/>
    <w:rPr>
      <w:rFonts w:ascii="宋体" w:hAnsi="宋体"/>
      <w:b/>
      <w:sz w:val="28"/>
      <w:szCs w:val="28"/>
    </w:rPr>
  </w:style>
  <w:style w:type="paragraph" w:customStyle="1" w:styleId="105">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06">
    <w:name w:val="font12"/>
    <w:basedOn w:val="1"/>
    <w:qFormat/>
    <w:uiPriority w:val="0"/>
    <w:pPr>
      <w:widowControl/>
      <w:spacing w:before="100" w:beforeAutospacing="1" w:after="100" w:afterAutospacing="1"/>
      <w:jc w:val="left"/>
    </w:pPr>
    <w:rPr>
      <w:rFonts w:eastAsia="Arial Unicode MS"/>
      <w:kern w:val="0"/>
      <w:sz w:val="28"/>
      <w:szCs w:val="28"/>
    </w:rPr>
  </w:style>
  <w:style w:type="paragraph" w:customStyle="1" w:styleId="107">
    <w:name w:val="字元 字元"/>
    <w:basedOn w:val="1"/>
    <w:qFormat/>
    <w:uiPriority w:val="0"/>
    <w:pPr>
      <w:spacing w:line="360" w:lineRule="auto"/>
      <w:ind w:firstLine="200" w:firstLineChars="200"/>
    </w:pPr>
    <w:rPr>
      <w:rFonts w:ascii="宋体" w:hAnsi="宋体" w:cs="宋体"/>
      <w:sz w:val="24"/>
    </w:rPr>
  </w:style>
  <w:style w:type="paragraph" w:customStyle="1" w:styleId="108">
    <w:name w:val="正文段落"/>
    <w:basedOn w:val="1"/>
    <w:qFormat/>
    <w:uiPriority w:val="0"/>
    <w:pPr>
      <w:widowControl/>
      <w:spacing w:after="40" w:line="360" w:lineRule="auto"/>
      <w:ind w:firstLine="200" w:firstLineChars="200"/>
    </w:pPr>
    <w:rPr>
      <w:kern w:val="0"/>
      <w:sz w:val="24"/>
    </w:rPr>
  </w:style>
  <w:style w:type="paragraph" w:customStyle="1" w:styleId="109">
    <w:name w:val="font0"/>
    <w:basedOn w:val="1"/>
    <w:qFormat/>
    <w:uiPriority w:val="0"/>
    <w:pPr>
      <w:widowControl/>
      <w:spacing w:before="100" w:beforeAutospacing="1" w:after="100" w:afterAutospacing="1"/>
      <w:jc w:val="left"/>
    </w:pPr>
    <w:rPr>
      <w:rFonts w:hint="eastAsia" w:ascii="宋体" w:hAnsi="宋体" w:cs="Arial Unicode MS"/>
      <w:kern w:val="0"/>
      <w:sz w:val="24"/>
    </w:rPr>
  </w:style>
  <w:style w:type="paragraph" w:customStyle="1" w:styleId="110">
    <w:name w:val="Char Char2 Char"/>
    <w:basedOn w:val="1"/>
    <w:qFormat/>
    <w:uiPriority w:val="0"/>
    <w:rPr>
      <w:rFonts w:ascii="宋体" w:hAnsi="宋体"/>
      <w:b/>
      <w:sz w:val="28"/>
      <w:szCs w:val="28"/>
    </w:rPr>
  </w:style>
  <w:style w:type="paragraph" w:customStyle="1" w:styleId="11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112">
    <w:name w:val="Char Char"/>
    <w:basedOn w:val="1"/>
    <w:qFormat/>
    <w:uiPriority w:val="0"/>
    <w:rPr>
      <w:rFonts w:ascii="宋体" w:hAnsi="宋体"/>
      <w:b/>
      <w:sz w:val="28"/>
      <w:szCs w:val="28"/>
    </w:rPr>
  </w:style>
  <w:style w:type="paragraph" w:customStyle="1" w:styleId="113">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14">
    <w:name w:val="题注5"/>
    <w:basedOn w:val="1"/>
    <w:next w:val="13"/>
    <w:qFormat/>
    <w:uiPriority w:val="0"/>
    <w:pPr>
      <w:jc w:val="center"/>
    </w:pPr>
    <w:rPr>
      <w:b/>
      <w:color w:val="000000"/>
      <w:sz w:val="24"/>
      <w:szCs w:val="21"/>
    </w:rPr>
  </w:style>
  <w:style w:type="paragraph" w:customStyle="1" w:styleId="1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eastAsia="Arial Unicode MS"/>
      <w:color w:val="000000"/>
      <w:kern w:val="0"/>
      <w:sz w:val="24"/>
    </w:rPr>
  </w:style>
  <w:style w:type="paragraph" w:customStyle="1" w:styleId="116">
    <w:name w:val="题注4"/>
    <w:basedOn w:val="1"/>
    <w:next w:val="13"/>
    <w:qFormat/>
    <w:uiPriority w:val="0"/>
    <w:pPr>
      <w:ind w:left="-132" w:leftChars="-64" w:right="-105" w:rightChars="-50" w:hanging="2"/>
      <w:jc w:val="center"/>
    </w:pPr>
    <w:rPr>
      <w:b/>
      <w:color w:val="FF0000"/>
      <w:szCs w:val="21"/>
      <w:lang w:val="en-GB"/>
    </w:rPr>
  </w:style>
  <w:style w:type="paragraph" w:customStyle="1" w:styleId="117">
    <w:name w:val="表格文字"/>
    <w:basedOn w:val="1"/>
    <w:qFormat/>
    <w:uiPriority w:val="0"/>
    <w:pPr>
      <w:spacing w:before="25" w:after="25"/>
      <w:jc w:val="left"/>
    </w:pPr>
    <w:rPr>
      <w:bCs/>
      <w:spacing w:val="10"/>
      <w:kern w:val="0"/>
      <w:sz w:val="24"/>
      <w:szCs w:val="20"/>
    </w:rPr>
  </w:style>
  <w:style w:type="paragraph" w:customStyle="1" w:styleId="118">
    <w:name w:val="文档正文"/>
    <w:basedOn w:val="1"/>
    <w:qFormat/>
    <w:uiPriority w:val="0"/>
    <w:pPr>
      <w:adjustRightInd w:val="0"/>
      <w:spacing w:line="312" w:lineRule="atLeast"/>
      <w:ind w:firstLine="567"/>
      <w:textAlignment w:val="baseline"/>
    </w:pPr>
    <w:rPr>
      <w:rFonts w:ascii="长城仿宋" w:eastAsia="长城仿宋"/>
      <w:kern w:val="0"/>
      <w:sz w:val="28"/>
      <w:szCs w:val="20"/>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kern w:val="0"/>
      <w:sz w:val="24"/>
    </w:rPr>
  </w:style>
  <w:style w:type="paragraph" w:customStyle="1" w:styleId="120">
    <w:name w:val="列出段落1"/>
    <w:basedOn w:val="1"/>
    <w:qFormat/>
    <w:uiPriority w:val="0"/>
    <w:pPr>
      <w:widowControl/>
      <w:spacing w:after="200" w:line="276" w:lineRule="auto"/>
      <w:ind w:left="720"/>
      <w:contextualSpacing/>
      <w:jc w:val="left"/>
    </w:pPr>
    <w:rPr>
      <w:rFonts w:ascii="Calibri" w:hAnsi="Calibri"/>
      <w:kern w:val="0"/>
      <w:sz w:val="22"/>
      <w:szCs w:val="22"/>
    </w:rPr>
  </w:style>
  <w:style w:type="paragraph" w:customStyle="1" w:styleId="121">
    <w:name w:val="font6"/>
    <w:basedOn w:val="1"/>
    <w:qFormat/>
    <w:uiPriority w:val="0"/>
    <w:pPr>
      <w:widowControl/>
      <w:spacing w:before="100" w:beforeAutospacing="1" w:after="100" w:afterAutospacing="1"/>
      <w:jc w:val="left"/>
    </w:pPr>
    <w:rPr>
      <w:rFonts w:eastAsia="Arial Unicode MS"/>
      <w:kern w:val="0"/>
      <w:sz w:val="24"/>
    </w:rPr>
  </w:style>
  <w:style w:type="paragraph" w:customStyle="1" w:styleId="122">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color w:val="000000"/>
      <w:kern w:val="0"/>
      <w:sz w:val="24"/>
    </w:rPr>
  </w:style>
  <w:style w:type="paragraph" w:customStyle="1" w:styleId="124">
    <w:name w:val="Char Char Char Char Char Char Char Char Char"/>
    <w:basedOn w:val="1"/>
    <w:qFormat/>
    <w:uiPriority w:val="0"/>
    <w:rPr>
      <w:sz w:val="28"/>
    </w:rPr>
  </w:style>
  <w:style w:type="paragraph" w:customStyle="1" w:styleId="125">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6">
    <w:name w:val="Char Char Char Char Char Char Char"/>
    <w:basedOn w:val="1"/>
    <w:qFormat/>
    <w:uiPriority w:val="0"/>
    <w:pPr>
      <w:tabs>
        <w:tab w:val="left" w:pos="425"/>
      </w:tabs>
      <w:ind w:left="425" w:hanging="425"/>
    </w:pPr>
    <w:rPr>
      <w:rFonts w:eastAsia="仿宋_GB2312"/>
      <w:kern w:val="24"/>
      <w:sz w:val="24"/>
    </w:rPr>
  </w:style>
  <w:style w:type="paragraph" w:customStyle="1" w:styleId="127">
    <w:name w:val="font9"/>
    <w:basedOn w:val="1"/>
    <w:qFormat/>
    <w:uiPriority w:val="0"/>
    <w:pPr>
      <w:widowControl/>
      <w:spacing w:before="100" w:beforeAutospacing="1" w:after="100" w:afterAutospacing="1"/>
      <w:jc w:val="left"/>
    </w:pPr>
    <w:rPr>
      <w:rFonts w:hint="eastAsia" w:ascii="宋体" w:hAnsi="宋体" w:cs="Arial Unicode MS"/>
      <w:color w:val="000000"/>
      <w:kern w:val="0"/>
      <w:sz w:val="24"/>
    </w:rPr>
  </w:style>
  <w:style w:type="paragraph" w:customStyle="1" w:styleId="128">
    <w:name w:val="font11"/>
    <w:basedOn w:val="1"/>
    <w:qFormat/>
    <w:uiPriority w:val="0"/>
    <w:pPr>
      <w:widowControl/>
      <w:spacing w:before="100" w:beforeAutospacing="1" w:after="100" w:afterAutospacing="1"/>
      <w:jc w:val="left"/>
    </w:pPr>
    <w:rPr>
      <w:rFonts w:eastAsia="Arial Unicode MS"/>
      <w:color w:val="000000"/>
      <w:kern w:val="0"/>
      <w:szCs w:val="21"/>
    </w:rPr>
  </w:style>
  <w:style w:type="paragraph" w:customStyle="1" w:styleId="12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30">
    <w:name w:val="样式1"/>
    <w:basedOn w:val="6"/>
    <w:qFormat/>
    <w:uiPriority w:val="0"/>
    <w:pPr>
      <w:spacing w:line="416" w:lineRule="auto"/>
      <w:ind w:left="560" w:leftChars="200"/>
    </w:pPr>
    <w:rPr>
      <w:rFonts w:ascii="宋体"/>
      <w:bCs w:val="0"/>
      <w:color w:val="FF0000"/>
    </w:rPr>
  </w:style>
  <w:style w:type="paragraph" w:customStyle="1" w:styleId="131">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132">
    <w:name w:val="Char1 Char Char Char"/>
    <w:basedOn w:val="1"/>
    <w:qFormat/>
    <w:uiPriority w:val="0"/>
    <w:pPr>
      <w:numPr>
        <w:ilvl w:val="0"/>
        <w:numId w:val="2"/>
      </w:numPr>
    </w:pPr>
    <w:rPr>
      <w:sz w:val="24"/>
    </w:rPr>
  </w:style>
  <w:style w:type="paragraph" w:customStyle="1" w:styleId="133">
    <w:name w:val="正文1"/>
    <w:qFormat/>
    <w:uiPriority w:val="0"/>
    <w:pPr>
      <w:widowControl w:val="0"/>
      <w:jc w:val="both"/>
    </w:pPr>
    <w:rPr>
      <w:rFonts w:ascii="Times New Roman" w:hAnsi="Times New Roman" w:eastAsia="宋体" w:cs="Times New Roman"/>
      <w:lang w:val="en-US" w:eastAsia="zh-CN" w:bidi="ar-SA"/>
    </w:rPr>
  </w:style>
  <w:style w:type="paragraph" w:customStyle="1" w:styleId="134">
    <w:name w:val="font8"/>
    <w:basedOn w:val="1"/>
    <w:qFormat/>
    <w:uiPriority w:val="0"/>
    <w:pPr>
      <w:widowControl/>
      <w:spacing w:before="100" w:beforeAutospacing="1" w:after="100" w:afterAutospacing="1"/>
      <w:jc w:val="left"/>
    </w:pPr>
    <w:rPr>
      <w:rFonts w:hint="eastAsia" w:ascii="宋体" w:hAnsi="宋体" w:cs="Arial Unicode MS"/>
      <w:kern w:val="0"/>
      <w:sz w:val="28"/>
      <w:szCs w:val="28"/>
    </w:rPr>
  </w:style>
  <w:style w:type="paragraph" w:customStyle="1" w:styleId="135">
    <w:name w:val="xl33"/>
    <w:basedOn w:val="1"/>
    <w:qFormat/>
    <w:uiPriority w:val="0"/>
    <w:pPr>
      <w:widowControl/>
      <w:spacing w:before="100" w:beforeAutospacing="1" w:after="100" w:afterAutospacing="1"/>
      <w:jc w:val="center"/>
      <w:textAlignment w:val="center"/>
    </w:pPr>
    <w:rPr>
      <w:rFonts w:hint="eastAsia" w:ascii="黑体" w:hAnsi="Arial Unicode MS" w:eastAsia="黑体" w:cs="Arial Unicode MS"/>
      <w:kern w:val="0"/>
      <w:sz w:val="24"/>
    </w:rPr>
  </w:style>
  <w:style w:type="paragraph" w:customStyle="1" w:styleId="136">
    <w:name w:val="font10"/>
    <w:basedOn w:val="1"/>
    <w:qFormat/>
    <w:uiPriority w:val="0"/>
    <w:pPr>
      <w:widowControl/>
      <w:spacing w:before="100" w:beforeAutospacing="1" w:after="100" w:afterAutospacing="1"/>
      <w:jc w:val="left"/>
    </w:pPr>
    <w:rPr>
      <w:rFonts w:eastAsia="Arial Unicode MS"/>
      <w:color w:val="000000"/>
      <w:kern w:val="0"/>
      <w:sz w:val="24"/>
    </w:rPr>
  </w:style>
  <w:style w:type="paragraph" w:customStyle="1" w:styleId="13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color w:val="000000"/>
      <w:kern w:val="0"/>
      <w:sz w:val="24"/>
    </w:rPr>
  </w:style>
  <w:style w:type="paragraph" w:customStyle="1" w:styleId="13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eastAsia="Arial Unicode MS"/>
      <w:color w:val="000000"/>
      <w:kern w:val="0"/>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Unicode MS" w:hAnsi="Arial Unicode MS" w:eastAsia="Arial Unicode MS" w:cs="Arial Unicode MS"/>
      <w:color w:val="000000"/>
      <w:kern w:val="0"/>
      <w:sz w:val="24"/>
    </w:rPr>
  </w:style>
  <w:style w:type="paragraph" w:customStyle="1" w:styleId="140">
    <w:name w:val="List Paragraph1"/>
    <w:basedOn w:val="1"/>
    <w:qFormat/>
    <w:uiPriority w:val="0"/>
    <w:pPr>
      <w:ind w:firstLine="420" w:firstLineChars="200"/>
    </w:pPr>
    <w:rPr>
      <w:rFonts w:ascii="Calibri" w:hAnsi="Calibri" w:cs="黑体"/>
      <w:szCs w:val="22"/>
    </w:rPr>
  </w:style>
  <w:style w:type="paragraph" w:customStyle="1" w:styleId="14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cs="Arial Unicode MS"/>
      <w:color w:val="000000"/>
      <w:kern w:val="0"/>
      <w:sz w:val="24"/>
    </w:rPr>
  </w:style>
  <w:style w:type="paragraph" w:customStyle="1" w:styleId="142">
    <w:name w:val="正文 + 宋体"/>
    <w:basedOn w:val="1"/>
    <w:qFormat/>
    <w:uiPriority w:val="0"/>
    <w:pPr>
      <w:numPr>
        <w:ilvl w:val="0"/>
        <w:numId w:val="3"/>
      </w:numPr>
      <w:autoSpaceDE w:val="0"/>
      <w:autoSpaceDN w:val="0"/>
      <w:spacing w:line="360" w:lineRule="auto"/>
    </w:pPr>
    <w:rPr>
      <w:rFonts w:ascii="宋体" w:hAnsi="宋体"/>
      <w:szCs w:val="21"/>
    </w:rPr>
  </w:style>
  <w:style w:type="paragraph" w:customStyle="1" w:styleId="143">
    <w:name w:val="Char Char Char1 Char Char Char Char Char Char Char"/>
    <w:basedOn w:val="1"/>
    <w:qFormat/>
    <w:uiPriority w:val="0"/>
    <w:rPr>
      <w:rFonts w:ascii="Arial" w:hAnsi="Arial" w:cs="Arial"/>
      <w:sz w:val="20"/>
      <w:szCs w:val="20"/>
    </w:rPr>
  </w:style>
  <w:style w:type="paragraph" w:customStyle="1" w:styleId="144">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45">
    <w:name w:val="_Style 2"/>
    <w:basedOn w:val="1"/>
    <w:qFormat/>
    <w:uiPriority w:val="34"/>
    <w:pPr>
      <w:ind w:firstLine="420" w:firstLineChars="200"/>
    </w:pPr>
  </w:style>
  <w:style w:type="paragraph" w:customStyle="1" w:styleId="146">
    <w:name w:val="Normal_2"/>
    <w:qFormat/>
    <w:uiPriority w:val="0"/>
    <w:pPr>
      <w:spacing w:before="120" w:after="240"/>
      <w:jc w:val="both"/>
    </w:pPr>
    <w:rPr>
      <w:rFonts w:ascii="Calibri" w:hAnsi="Calibri" w:eastAsia="Calibri" w:cs="Times New Roman"/>
      <w:sz w:val="22"/>
      <w:szCs w:val="22"/>
      <w:lang w:val="ru-RU" w:eastAsia="en-US" w:bidi="ar-SA"/>
    </w:rPr>
  </w:style>
  <w:style w:type="paragraph" w:customStyle="1" w:styleId="147">
    <w:name w:val="列举"/>
    <w:basedOn w:val="1"/>
    <w:qFormat/>
    <w:uiPriority w:val="0"/>
    <w:pPr>
      <w:numPr>
        <w:ilvl w:val="0"/>
        <w:numId w:val="4"/>
      </w:numPr>
      <w:spacing w:line="360" w:lineRule="auto"/>
    </w:pPr>
    <w:rPr>
      <w:rFonts w:ascii="宋体"/>
    </w:rPr>
  </w:style>
  <w:style w:type="table" w:customStyle="1" w:styleId="148">
    <w:name w:val="网格型1"/>
    <w:basedOn w:val="4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9">
    <w:name w:val="Placeholder Text"/>
    <w:semiHidden/>
    <w:qFormat/>
    <w:uiPriority w:val="99"/>
    <w:rPr>
      <w:color w:val="808080"/>
    </w:rPr>
  </w:style>
  <w:style w:type="paragraph" w:customStyle="1" w:styleId="150">
    <w:name w:val="样式 样式 标题 4Alt+41.1.1.1 Heading 4bulletblbbH44h4H41h41H42... + 自动..."/>
    <w:basedOn w:val="1"/>
    <w:qFormat/>
    <w:uiPriority w:val="0"/>
    <w:pPr>
      <w:keepNext/>
      <w:keepLines/>
      <w:numPr>
        <w:ilvl w:val="3"/>
        <w:numId w:val="5"/>
      </w:numPr>
      <w:spacing w:before="120" w:after="120" w:line="376" w:lineRule="auto"/>
      <w:outlineLvl w:val="3"/>
    </w:pPr>
    <w:rPr>
      <w:rFonts w:ascii="宋体" w:hAnsi="宋体" w:eastAsia="黑体"/>
      <w:b/>
      <w:bCs/>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DE51DB-101A-4BFA-B8A2-A91F8A5E5B9D}">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45</Pages>
  <Words>4145</Words>
  <Characters>23631</Characters>
  <Lines>196</Lines>
  <Paragraphs>55</Paragraphs>
  <TotalTime>12</TotalTime>
  <ScaleCrop>false</ScaleCrop>
  <LinksUpToDate>false</LinksUpToDate>
  <CharactersWithSpaces>27721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2017-11-24T01:24:00Z</dcterms:created>
  <dc:creator>ibm</dc:creator>
  <cp:lastModifiedBy>Administrator</cp:lastModifiedBy>
  <cp:lastPrinted>2016-12-28T09:38:00Z</cp:lastPrinted>
  <dcterms:modified xsi:type="dcterms:W3CDTF">2022-03-17T09:29:20Z</dcterms:modified>
  <dc:title>第三部分  政府采购规范文本</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958561446096443CA77D9A05DD725A50</vt:lpwstr>
  </property>
</Properties>
</file>