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widowControl/>
        <w:adjustRightInd w:val="0"/>
        <w:snapToGrid w:val="0"/>
        <w:spacing w:line="360" w:lineRule="auto"/>
        <w:jc w:val="left"/>
        <w:rPr>
          <w:rFonts w:ascii="黑体" w:eastAsia="黑体"/>
          <w:bCs/>
          <w:color w:val="000000" w:themeColor="text1"/>
          <w:sz w:val="32"/>
          <w:highlight w:val="none"/>
        </w:rPr>
      </w:pPr>
      <w:r>
        <w:rPr>
          <w:rFonts w:hint="eastAsia" w:ascii="黑体" w:eastAsia="黑体"/>
          <w:bCs/>
          <w:color w:val="000000" w:themeColor="text1"/>
          <w:sz w:val="32"/>
          <w:highlight w:val="none"/>
        </w:rPr>
        <w:drawing>
          <wp:inline distT="0" distB="0" distL="0" distR="0">
            <wp:extent cx="2324100" cy="371475"/>
            <wp:effectExtent l="1905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5" cstate="print"/>
                    <a:srcRect/>
                    <a:stretch>
                      <a:fillRect/>
                    </a:stretch>
                  </pic:blipFill>
                  <pic:spPr>
                    <a:xfrm>
                      <a:off x="0" y="0"/>
                      <a:ext cx="2324100" cy="371475"/>
                    </a:xfrm>
                    <a:prstGeom prst="rect">
                      <a:avLst/>
                    </a:prstGeom>
                    <a:noFill/>
                    <a:ln w="9525">
                      <a:noFill/>
                      <a:miter lim="800000"/>
                      <a:headEnd/>
                      <a:tailEnd/>
                    </a:ln>
                  </pic:spPr>
                </pic:pic>
              </a:graphicData>
            </a:graphic>
          </wp:inline>
        </w:drawing>
      </w:r>
    </w:p>
    <w:p>
      <w:pPr>
        <w:pStyle w:val="24"/>
        <w:widowControl/>
        <w:adjustRightInd w:val="0"/>
        <w:snapToGrid w:val="0"/>
        <w:spacing w:line="360" w:lineRule="auto"/>
        <w:jc w:val="center"/>
        <w:rPr>
          <w:rFonts w:ascii="黑体" w:eastAsia="黑体"/>
          <w:bCs/>
          <w:color w:val="000000" w:themeColor="text1"/>
          <w:sz w:val="52"/>
          <w:szCs w:val="52"/>
          <w:highlight w:val="none"/>
        </w:rPr>
      </w:pPr>
    </w:p>
    <w:p>
      <w:pPr>
        <w:pStyle w:val="24"/>
        <w:widowControl/>
        <w:adjustRightInd w:val="0"/>
        <w:snapToGrid w:val="0"/>
        <w:spacing w:line="360" w:lineRule="auto"/>
        <w:jc w:val="center"/>
        <w:rPr>
          <w:rFonts w:ascii="黑体" w:eastAsia="黑体"/>
          <w:bCs/>
          <w:color w:val="000000" w:themeColor="text1"/>
          <w:sz w:val="52"/>
          <w:szCs w:val="52"/>
          <w:highlight w:val="none"/>
        </w:rPr>
      </w:pPr>
      <w:r>
        <w:rPr>
          <w:rFonts w:hint="eastAsia" w:ascii="黑体" w:eastAsia="黑体"/>
          <w:bCs/>
          <w:color w:val="000000" w:themeColor="text1"/>
          <w:sz w:val="52"/>
          <w:szCs w:val="52"/>
          <w:highlight w:val="none"/>
        </w:rPr>
        <w:t>单一来源</w:t>
      </w:r>
    </w:p>
    <w:p>
      <w:pPr>
        <w:pStyle w:val="24"/>
        <w:widowControl/>
        <w:adjustRightInd w:val="0"/>
        <w:snapToGrid w:val="0"/>
        <w:spacing w:line="360" w:lineRule="auto"/>
        <w:jc w:val="center"/>
        <w:rPr>
          <w:rFonts w:ascii="黑体" w:eastAsia="黑体"/>
          <w:bCs/>
          <w:color w:val="000000" w:themeColor="text1"/>
          <w:sz w:val="52"/>
          <w:szCs w:val="52"/>
          <w:highlight w:val="none"/>
        </w:rPr>
      </w:pPr>
    </w:p>
    <w:p>
      <w:pPr>
        <w:pStyle w:val="24"/>
        <w:widowControl/>
        <w:adjustRightInd w:val="0"/>
        <w:snapToGrid w:val="0"/>
        <w:spacing w:line="360" w:lineRule="auto"/>
        <w:jc w:val="center"/>
        <w:rPr>
          <w:rFonts w:ascii="黑体" w:eastAsia="黑体"/>
          <w:bCs/>
          <w:color w:val="000000" w:themeColor="text1"/>
          <w:sz w:val="36"/>
          <w:highlight w:val="none"/>
        </w:rPr>
      </w:pPr>
      <w:r>
        <w:rPr>
          <w:rFonts w:hint="eastAsia" w:ascii="黑体" w:eastAsia="黑体"/>
          <w:bCs/>
          <w:color w:val="000000" w:themeColor="text1"/>
          <w:sz w:val="72"/>
          <w:highlight w:val="none"/>
        </w:rPr>
        <w:t>谈  判  文  件</w:t>
      </w:r>
    </w:p>
    <w:p>
      <w:pPr>
        <w:pStyle w:val="24"/>
        <w:widowControl/>
        <w:adjustRightInd w:val="0"/>
        <w:snapToGrid w:val="0"/>
        <w:spacing w:line="360" w:lineRule="auto"/>
        <w:jc w:val="center"/>
        <w:rPr>
          <w:rFonts w:ascii="黑体" w:eastAsia="黑体"/>
          <w:bCs/>
          <w:color w:val="000000" w:themeColor="text1"/>
          <w:sz w:val="52"/>
          <w:szCs w:val="52"/>
          <w:highlight w:val="none"/>
        </w:rPr>
      </w:pPr>
    </w:p>
    <w:p>
      <w:pPr>
        <w:pStyle w:val="24"/>
        <w:widowControl/>
        <w:adjustRightInd w:val="0"/>
        <w:snapToGrid w:val="0"/>
        <w:spacing w:line="360" w:lineRule="auto"/>
        <w:jc w:val="center"/>
        <w:rPr>
          <w:rFonts w:ascii="黑体" w:eastAsia="黑体"/>
          <w:bCs/>
          <w:color w:val="000000" w:themeColor="text1"/>
          <w:sz w:val="52"/>
          <w:szCs w:val="52"/>
          <w:highlight w:val="none"/>
        </w:rPr>
      </w:pPr>
      <w:bookmarkStart w:id="259" w:name="_GoBack"/>
      <w:bookmarkEnd w:id="259"/>
    </w:p>
    <w:p>
      <w:pPr>
        <w:pStyle w:val="24"/>
        <w:widowControl/>
        <w:adjustRightInd w:val="0"/>
        <w:snapToGrid w:val="0"/>
        <w:spacing w:line="360" w:lineRule="auto"/>
        <w:jc w:val="center"/>
        <w:rPr>
          <w:rFonts w:ascii="黑体" w:eastAsia="黑体"/>
          <w:bCs/>
          <w:color w:val="000000" w:themeColor="text1"/>
          <w:sz w:val="52"/>
          <w:szCs w:val="52"/>
          <w:highlight w:val="none"/>
        </w:rPr>
      </w:pPr>
    </w:p>
    <w:p>
      <w:pPr>
        <w:pStyle w:val="24"/>
        <w:widowControl/>
        <w:adjustRightInd w:val="0"/>
        <w:snapToGrid w:val="0"/>
        <w:spacing w:line="360" w:lineRule="auto"/>
        <w:rPr>
          <w:rFonts w:ascii="黑体" w:eastAsia="黑体"/>
          <w:bCs/>
          <w:color w:val="000000" w:themeColor="text1"/>
          <w:sz w:val="52"/>
          <w:szCs w:val="52"/>
          <w:highlight w:val="none"/>
        </w:rPr>
      </w:pPr>
    </w:p>
    <w:p>
      <w:pPr>
        <w:pStyle w:val="24"/>
        <w:widowControl/>
        <w:adjustRightInd w:val="0"/>
        <w:snapToGrid w:val="0"/>
        <w:spacing w:line="360" w:lineRule="auto"/>
        <w:rPr>
          <w:rFonts w:ascii="黑体" w:eastAsia="黑体"/>
          <w:bCs/>
          <w:color w:val="000000" w:themeColor="text1"/>
          <w:sz w:val="52"/>
          <w:szCs w:val="52"/>
          <w:highlight w:val="none"/>
        </w:rPr>
      </w:pPr>
    </w:p>
    <w:tbl>
      <w:tblPr>
        <w:tblStyle w:val="45"/>
        <w:tblpPr w:leftFromText="180" w:rightFromText="180" w:vertAnchor="text" w:tblpXSpec="center" w:tblpY="1"/>
        <w:tblOverlap w:val="never"/>
        <w:tblW w:w="8510" w:type="dxa"/>
        <w:jc w:val="center"/>
        <w:tblLayout w:type="fixed"/>
        <w:tblCellMar>
          <w:top w:w="0" w:type="dxa"/>
          <w:left w:w="108" w:type="dxa"/>
          <w:bottom w:w="0" w:type="dxa"/>
          <w:right w:w="108" w:type="dxa"/>
        </w:tblCellMar>
      </w:tblPr>
      <w:tblGrid>
        <w:gridCol w:w="1951"/>
        <w:gridCol w:w="284"/>
        <w:gridCol w:w="6275"/>
      </w:tblGrid>
      <w:tr>
        <w:tblPrEx>
          <w:tblCellMar>
            <w:top w:w="0" w:type="dxa"/>
            <w:left w:w="108" w:type="dxa"/>
            <w:bottom w:w="0" w:type="dxa"/>
            <w:right w:w="108" w:type="dxa"/>
          </w:tblCellMar>
        </w:tblPrEx>
        <w:trPr>
          <w:trHeight w:val="394" w:hRule="atLeast"/>
          <w:jc w:val="center"/>
        </w:trPr>
        <w:tc>
          <w:tcPr>
            <w:tcW w:w="1951" w:type="dxa"/>
            <w:vAlign w:val="center"/>
          </w:tcPr>
          <w:p>
            <w:pPr>
              <w:pStyle w:val="24"/>
              <w:widowControl/>
              <w:adjustRightInd w:val="0"/>
              <w:snapToGrid w:val="0"/>
              <w:spacing w:line="360" w:lineRule="auto"/>
              <w:jc w:val="distribute"/>
              <w:rPr>
                <w:rFonts w:ascii="黑体" w:eastAsia="黑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275" w:type="dxa"/>
            <w:vAlign w:val="center"/>
          </w:tcPr>
          <w:p>
            <w:pPr>
              <w:pStyle w:val="24"/>
              <w:widowControl/>
              <w:adjustRightInd w:val="0"/>
              <w:snapToGrid w:val="0"/>
              <w:spacing w:line="360" w:lineRule="auto"/>
              <w:jc w:val="left"/>
              <w:rPr>
                <w:rFonts w:hint="eastAsia" w:ascii="黑体" w:eastAsia="黑体"/>
                <w:b/>
                <w:bCs/>
                <w:color w:val="000000" w:themeColor="text1"/>
                <w:sz w:val="28"/>
                <w:szCs w:val="28"/>
                <w:highlight w:val="none"/>
                <w:lang w:eastAsia="zh-CN"/>
              </w:rPr>
            </w:pPr>
            <w:r>
              <w:rPr>
                <w:rFonts w:hint="eastAsia" w:hAnsi="宋体" w:eastAsia="黑体"/>
                <w:b/>
                <w:color w:val="000000" w:themeColor="text1"/>
                <w:sz w:val="28"/>
                <w:szCs w:val="28"/>
                <w:highlight w:val="none"/>
                <w:lang w:eastAsia="zh-CN"/>
              </w:rPr>
              <w:t>YXCG-20220303</w:t>
            </w:r>
          </w:p>
        </w:tc>
      </w:tr>
      <w:tr>
        <w:tblPrEx>
          <w:tblCellMar>
            <w:top w:w="0" w:type="dxa"/>
            <w:left w:w="108" w:type="dxa"/>
            <w:bottom w:w="0" w:type="dxa"/>
            <w:right w:w="108" w:type="dxa"/>
          </w:tblCellMar>
        </w:tblPrEx>
        <w:trPr>
          <w:trHeight w:val="77" w:hRule="atLeast"/>
          <w:jc w:val="center"/>
        </w:trPr>
        <w:tc>
          <w:tcPr>
            <w:tcW w:w="1951" w:type="dxa"/>
          </w:tcPr>
          <w:p>
            <w:pPr>
              <w:pStyle w:val="24"/>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275"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中共阳西县委组织部干部人事档案管理信息系统建设及档案整理数字化项目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4"/>
              <w:widowControl/>
              <w:adjustRightInd w:val="0"/>
              <w:snapToGrid w:val="0"/>
              <w:spacing w:line="360" w:lineRule="auto"/>
              <w:jc w:val="distribute"/>
              <w:rPr>
                <w:rFonts w:ascii="黑体" w:eastAsia="黑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pPr>
              <w:pStyle w:val="24"/>
              <w:widowControl/>
              <w:adjustRightInd w:val="0"/>
              <w:snapToGrid w:val="0"/>
              <w:spacing w:line="360" w:lineRule="auto"/>
              <w:jc w:val="left"/>
              <w:rPr>
                <w:rFonts w:hAnsi="宋体" w:cs="宋体"/>
                <w:color w:val="000000" w:themeColor="text1"/>
                <w:sz w:val="28"/>
                <w:szCs w:val="28"/>
                <w:highlight w:val="none"/>
              </w:rPr>
            </w:pPr>
            <w:r>
              <w:rPr>
                <w:rFonts w:hint="eastAsia" w:hAnsi="宋体" w:cs="宋体"/>
                <w:color w:val="000000" w:themeColor="text1"/>
                <w:sz w:val="28"/>
                <w:szCs w:val="28"/>
                <w:highlight w:val="none"/>
              </w:rPr>
              <w:t>：</w:t>
            </w:r>
          </w:p>
        </w:tc>
        <w:tc>
          <w:tcPr>
            <w:tcW w:w="6275" w:type="dxa"/>
            <w:vAlign w:val="center"/>
          </w:tcPr>
          <w:p>
            <w:pPr>
              <w:pStyle w:val="24"/>
              <w:widowControl/>
              <w:adjustRightInd w:val="0"/>
              <w:snapToGrid w:val="0"/>
              <w:spacing w:line="360" w:lineRule="auto"/>
              <w:rPr>
                <w:rFonts w:hint="eastAsia" w:hAnsi="宋体" w:eastAsia="宋体" w:cs="宋体"/>
                <w:color w:val="000000" w:themeColor="text1"/>
                <w:sz w:val="28"/>
                <w:szCs w:val="28"/>
                <w:highlight w:val="none"/>
                <w:lang w:eastAsia="zh-CN"/>
              </w:rPr>
            </w:pPr>
            <w:r>
              <w:rPr>
                <w:rFonts w:hint="eastAsia" w:hAnsi="宋体" w:cs="宋体"/>
                <w:b/>
                <w:bCs/>
                <w:color w:val="000000" w:themeColor="text1"/>
                <w:sz w:val="28"/>
                <w:szCs w:val="28"/>
                <w:highlight w:val="none"/>
                <w:lang w:eastAsia="zh-CN"/>
              </w:rPr>
              <w:t>中国共产党阳西县委员会组织部</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4"/>
              <w:widowControl/>
              <w:adjustRightInd w:val="0"/>
              <w:snapToGrid w:val="0"/>
              <w:spacing w:line="360" w:lineRule="auto"/>
              <w:jc w:val="distribute"/>
              <w:rPr>
                <w:rFonts w:ascii="黑体" w:eastAsia="黑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pPr>
              <w:pStyle w:val="24"/>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6275" w:type="dxa"/>
            <w:vAlign w:val="center"/>
          </w:tcPr>
          <w:p>
            <w:pPr>
              <w:pStyle w:val="24"/>
              <w:widowControl/>
              <w:adjustRightInd w:val="0"/>
              <w:snapToGrid w:val="0"/>
              <w:spacing w:line="360" w:lineRule="auto"/>
              <w:rPr>
                <w:rFonts w:ascii="黑体" w:eastAsia="黑体"/>
                <w:b/>
                <w:bCs/>
                <w:color w:val="000000" w:themeColor="text1"/>
                <w:sz w:val="28"/>
                <w:szCs w:val="28"/>
                <w:highlight w:val="none"/>
              </w:rPr>
            </w:pPr>
            <w:r>
              <w:rPr>
                <w:rFonts w:hint="eastAsia" w:hAnsi="宋体"/>
                <w:b/>
                <w:bCs/>
                <w:color w:val="000000" w:themeColor="text1"/>
                <w:sz w:val="28"/>
                <w:szCs w:val="28"/>
                <w:highlight w:val="none"/>
              </w:rPr>
              <w:t>广东业信采购招标有限公司</w:t>
            </w:r>
          </w:p>
        </w:tc>
      </w:tr>
    </w:tbl>
    <w:p>
      <w:pPr>
        <w:pStyle w:val="24"/>
        <w:widowControl/>
        <w:adjustRightInd w:val="0"/>
        <w:snapToGrid w:val="0"/>
        <w:spacing w:line="360" w:lineRule="auto"/>
        <w:jc w:val="center"/>
        <w:rPr>
          <w:rFonts w:ascii="黑体" w:eastAsia="黑体"/>
          <w:bCs/>
          <w:color w:val="000000" w:themeColor="text1"/>
          <w:sz w:val="24"/>
          <w:szCs w:val="24"/>
          <w:highlight w:val="none"/>
        </w:rPr>
      </w:pPr>
    </w:p>
    <w:p>
      <w:pPr>
        <w:pStyle w:val="24"/>
        <w:widowControl/>
        <w:adjustRightInd w:val="0"/>
        <w:snapToGrid w:val="0"/>
        <w:spacing w:line="360" w:lineRule="auto"/>
        <w:jc w:val="center"/>
        <w:rPr>
          <w:rFonts w:ascii="黑体" w:eastAsia="黑体"/>
          <w:bCs/>
          <w:color w:val="000000" w:themeColor="text1"/>
          <w:sz w:val="24"/>
          <w:szCs w:val="24"/>
          <w:highlight w:val="none"/>
        </w:rPr>
      </w:pPr>
      <w:r>
        <w:rPr>
          <w:rFonts w:hint="eastAsia" w:ascii="黑体" w:eastAsia="黑体"/>
          <w:bCs/>
          <w:color w:val="000000" w:themeColor="text1"/>
          <w:sz w:val="24"/>
          <w:szCs w:val="24"/>
          <w:highlight w:val="none"/>
        </w:rPr>
        <w:t>二○二</w:t>
      </w:r>
      <w:r>
        <w:rPr>
          <w:rFonts w:hint="eastAsia" w:ascii="黑体" w:eastAsia="黑体"/>
          <w:bCs/>
          <w:color w:val="000000" w:themeColor="text1"/>
          <w:sz w:val="24"/>
          <w:szCs w:val="24"/>
          <w:highlight w:val="none"/>
          <w:lang w:val="en-US" w:eastAsia="zh-CN"/>
        </w:rPr>
        <w:t>二</w:t>
      </w:r>
      <w:r>
        <w:rPr>
          <w:rFonts w:hint="eastAsia" w:ascii="黑体" w:eastAsia="黑体"/>
          <w:bCs/>
          <w:color w:val="000000" w:themeColor="text1"/>
          <w:sz w:val="24"/>
          <w:szCs w:val="24"/>
          <w:highlight w:val="none"/>
        </w:rPr>
        <w:t>年</w:t>
      </w:r>
      <w:r>
        <w:rPr>
          <w:rFonts w:hint="eastAsia" w:ascii="黑体" w:eastAsia="黑体"/>
          <w:bCs/>
          <w:color w:val="000000" w:themeColor="text1"/>
          <w:sz w:val="24"/>
          <w:szCs w:val="24"/>
          <w:highlight w:val="none"/>
          <w:lang w:val="en-US" w:eastAsia="zh-CN"/>
        </w:rPr>
        <w:t>三</w:t>
      </w:r>
      <w:r>
        <w:rPr>
          <w:rFonts w:hint="eastAsia" w:ascii="黑体" w:eastAsia="黑体"/>
          <w:bCs/>
          <w:color w:val="000000" w:themeColor="text1"/>
          <w:sz w:val="24"/>
          <w:szCs w:val="24"/>
          <w:highlight w:val="none"/>
        </w:rPr>
        <w:t>月</w:t>
      </w:r>
    </w:p>
    <w:p>
      <w:pPr>
        <w:spacing w:beforeLines="50" w:afterLines="50" w:line="360" w:lineRule="auto"/>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pPr>
        <w:numPr>
          <w:ilvl w:val="0"/>
          <w:numId w:val="4"/>
        </w:numPr>
        <w:spacing w:line="360" w:lineRule="auto"/>
        <w:ind w:left="709" w:hanging="709"/>
        <w:rPr>
          <w:rFonts w:ascii="宋体" w:hAnsi="宋体"/>
          <w:color w:val="000000" w:themeColor="text1"/>
          <w:szCs w:val="21"/>
          <w:highlight w:val="none"/>
        </w:rPr>
      </w:pPr>
      <w:r>
        <w:rPr>
          <w:rFonts w:ascii="宋体" w:hAnsi="宋体"/>
          <w:color w:val="000000" w:themeColor="text1"/>
          <w:szCs w:val="21"/>
          <w:highlight w:val="none"/>
        </w:rPr>
        <w:t>请供应商特别留意招标文件上注明的投标截止和开标时间，逾期送达或邮寄送达的投标文件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ascii="宋体" w:hAnsi="宋体"/>
          <w:color w:val="000000" w:themeColor="text1"/>
          <w:szCs w:val="21"/>
          <w:highlight w:val="none"/>
        </w:rPr>
        <w:t>会议室。</w:t>
      </w:r>
      <w:r>
        <w:rPr>
          <w:rFonts w:hint="eastAsia" w:ascii="宋体" w:hAnsi="宋体"/>
          <w:b/>
          <w:color w:val="000000" w:themeColor="text1"/>
          <w:szCs w:val="21"/>
          <w:highlight w:val="none"/>
        </w:rPr>
        <w:t>递交投标文件时间为投标截止时间前半小时。</w:t>
      </w:r>
    </w:p>
    <w:p>
      <w:pPr>
        <w:numPr>
          <w:ilvl w:val="0"/>
          <w:numId w:val="4"/>
        </w:numPr>
        <w:spacing w:line="360" w:lineRule="auto"/>
        <w:ind w:left="709" w:hanging="709"/>
        <w:rPr>
          <w:rFonts w:ascii="宋体" w:hAnsi="宋体"/>
          <w:color w:val="000000" w:themeColor="text1"/>
          <w:szCs w:val="21"/>
          <w:highlight w:val="none"/>
        </w:rPr>
      </w:pPr>
      <w:r>
        <w:rPr>
          <w:rFonts w:ascii="宋体" w:hAnsi="宋体"/>
          <w:b/>
          <w:color w:val="000000" w:themeColor="text1"/>
          <w:szCs w:val="21"/>
          <w:highlight w:val="none"/>
          <w:u w:val="single"/>
        </w:rPr>
        <w:t>招标文件中标有“★”的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pPr>
        <w:numPr>
          <w:ilvl w:val="0"/>
          <w:numId w:val="4"/>
        </w:numPr>
        <w:spacing w:line="360" w:lineRule="auto"/>
        <w:ind w:left="709" w:hanging="709"/>
        <w:rPr>
          <w:rFonts w:ascii="宋体" w:hAnsi="宋体"/>
          <w:color w:val="000000" w:themeColor="text1"/>
          <w:szCs w:val="21"/>
          <w:highlight w:val="none"/>
        </w:rPr>
      </w:pPr>
      <w:r>
        <w:rPr>
          <w:rFonts w:ascii="宋体" w:hAnsi="宋体"/>
          <w:color w:val="000000" w:themeColor="text1"/>
          <w:szCs w:val="21"/>
          <w:highlight w:val="none"/>
        </w:rPr>
        <w:t>请正确填写《</w:t>
      </w:r>
      <w:r>
        <w:rPr>
          <w:rFonts w:hint="eastAsia" w:ascii="宋体" w:hAnsi="宋体"/>
          <w:color w:val="000000" w:themeColor="text1"/>
          <w:szCs w:val="21"/>
          <w:highlight w:val="none"/>
        </w:rPr>
        <w:t>报价</w:t>
      </w:r>
      <w:r>
        <w:rPr>
          <w:rFonts w:ascii="宋体" w:hAnsi="宋体"/>
          <w:color w:val="000000" w:themeColor="text1"/>
          <w:szCs w:val="21"/>
          <w:highlight w:val="none"/>
        </w:rPr>
        <w:t>一览表》，</w:t>
      </w:r>
      <w:r>
        <w:rPr>
          <w:rFonts w:hint="eastAsia" w:ascii="宋体" w:hAnsi="宋体"/>
          <w:color w:val="000000" w:themeColor="text1"/>
          <w:szCs w:val="21"/>
          <w:highlight w:val="none"/>
        </w:rPr>
        <w:t>如</w:t>
      </w:r>
      <w:r>
        <w:rPr>
          <w:rFonts w:ascii="宋体" w:hAnsi="宋体"/>
          <w:color w:val="000000" w:themeColor="text1"/>
          <w:szCs w:val="21"/>
          <w:highlight w:val="none"/>
        </w:rPr>
        <w:t>含有</w:t>
      </w:r>
      <w:r>
        <w:rPr>
          <w:rFonts w:hint="eastAsia" w:ascii="宋体" w:hAnsi="宋体"/>
          <w:color w:val="000000" w:themeColor="text1"/>
          <w:szCs w:val="21"/>
          <w:highlight w:val="none"/>
        </w:rPr>
        <w:t>包组</w:t>
      </w:r>
      <w:r>
        <w:rPr>
          <w:rFonts w:ascii="宋体" w:hAnsi="宋体"/>
          <w:color w:val="000000" w:themeColor="text1"/>
          <w:szCs w:val="21"/>
          <w:highlight w:val="none"/>
        </w:rPr>
        <w:t>的投标项目</w:t>
      </w:r>
      <w:r>
        <w:rPr>
          <w:rFonts w:hint="eastAsia" w:ascii="宋体" w:hAnsi="宋体"/>
          <w:color w:val="000000" w:themeColor="text1"/>
          <w:szCs w:val="21"/>
          <w:highlight w:val="none"/>
        </w:rPr>
        <w:t>建议</w:t>
      </w:r>
      <w:r>
        <w:rPr>
          <w:rFonts w:ascii="宋体" w:hAnsi="宋体"/>
          <w:color w:val="000000" w:themeColor="text1"/>
          <w:szCs w:val="21"/>
          <w:highlight w:val="none"/>
        </w:rPr>
        <w:t>分开报价，</w:t>
      </w:r>
      <w:r>
        <w:rPr>
          <w:rFonts w:hint="eastAsia" w:ascii="宋体" w:hAnsi="宋体"/>
          <w:color w:val="000000" w:themeColor="text1"/>
          <w:szCs w:val="21"/>
          <w:highlight w:val="none"/>
        </w:rPr>
        <w:t>报价要求详见谈判文件《报价一览表》</w:t>
      </w:r>
      <w:r>
        <w:rPr>
          <w:rFonts w:ascii="宋体" w:hAnsi="宋体"/>
          <w:color w:val="000000" w:themeColor="text1"/>
          <w:szCs w:val="21"/>
          <w:highlight w:val="none"/>
        </w:rPr>
        <w:t>。</w:t>
      </w:r>
    </w:p>
    <w:p>
      <w:pPr>
        <w:numPr>
          <w:ilvl w:val="0"/>
          <w:numId w:val="4"/>
        </w:numPr>
        <w:spacing w:line="360" w:lineRule="auto"/>
        <w:ind w:left="709" w:hanging="709"/>
        <w:rPr>
          <w:rFonts w:ascii="宋体" w:hAnsi="宋体"/>
          <w:color w:val="000000" w:themeColor="text1"/>
          <w:szCs w:val="21"/>
          <w:highlight w:val="none"/>
        </w:rPr>
      </w:pPr>
      <w:r>
        <w:rPr>
          <w:rFonts w:ascii="宋体" w:hAnsi="宋体"/>
          <w:color w:val="000000" w:themeColor="text1"/>
          <w:szCs w:val="21"/>
          <w:highlight w:val="none"/>
        </w:rPr>
        <w:t>请仔细检查《投标函》、《</w:t>
      </w:r>
      <w:r>
        <w:rPr>
          <w:rFonts w:hint="eastAsia" w:ascii="宋体" w:hAnsi="宋体"/>
          <w:color w:val="000000" w:themeColor="text1"/>
          <w:szCs w:val="21"/>
          <w:highlight w:val="none"/>
        </w:rPr>
        <w:t>报价</w:t>
      </w:r>
      <w:r>
        <w:rPr>
          <w:rFonts w:ascii="宋体" w:hAnsi="宋体"/>
          <w:color w:val="000000" w:themeColor="text1"/>
          <w:szCs w:val="21"/>
          <w:highlight w:val="none"/>
        </w:rPr>
        <w:t>一览表》、</w:t>
      </w:r>
      <w:r>
        <w:rPr>
          <w:rFonts w:hint="eastAsia" w:ascii="宋体" w:hAnsi="宋体"/>
          <w:color w:val="000000" w:themeColor="text1"/>
          <w:szCs w:val="21"/>
          <w:highlight w:val="none"/>
        </w:rPr>
        <w:t>《法定代表人证明书》、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w:t>
      </w:r>
      <w:r>
        <w:rPr>
          <w:rFonts w:ascii="宋体" w:hAnsi="宋体"/>
          <w:color w:val="000000" w:themeColor="text1"/>
          <w:szCs w:val="21"/>
          <w:highlight w:val="none"/>
        </w:rPr>
        <w:t>授权书》等重要格式文件是否有按要求盖公章或签名</w:t>
      </w:r>
      <w:r>
        <w:rPr>
          <w:rFonts w:hint="eastAsia" w:ascii="宋体" w:hAnsi="宋体"/>
          <w:color w:val="000000" w:themeColor="text1"/>
          <w:szCs w:val="21"/>
          <w:highlight w:val="none"/>
        </w:rPr>
        <w:t>。</w:t>
      </w:r>
    </w:p>
    <w:p>
      <w:pPr>
        <w:numPr>
          <w:ilvl w:val="0"/>
          <w:numId w:val="4"/>
        </w:numPr>
        <w:spacing w:line="360" w:lineRule="auto"/>
        <w:ind w:left="709" w:hanging="709"/>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pPr>
        <w:numPr>
          <w:ilvl w:val="0"/>
          <w:numId w:val="4"/>
        </w:numPr>
        <w:spacing w:line="360" w:lineRule="auto"/>
        <w:ind w:left="709" w:hanging="709"/>
        <w:rPr>
          <w:rFonts w:ascii="宋体" w:hAnsi="宋体"/>
          <w:color w:val="000000" w:themeColor="text1"/>
          <w:szCs w:val="21"/>
          <w:highlight w:val="none"/>
        </w:rPr>
      </w:pPr>
      <w:r>
        <w:rPr>
          <w:rFonts w:ascii="宋体" w:hAnsi="宋体"/>
          <w:color w:val="000000" w:themeColor="text1"/>
          <w:szCs w:val="21"/>
          <w:highlight w:val="none"/>
        </w:rPr>
        <w:t>建议将投标文件按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pPr>
        <w:numPr>
          <w:ilvl w:val="0"/>
          <w:numId w:val="4"/>
        </w:numPr>
        <w:spacing w:line="360" w:lineRule="auto"/>
        <w:ind w:left="709" w:hanging="709"/>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分公司作为投标人的，需提供具有法人资格的总公司的营业执照副本复印件及授权书。总公司可就本项目或此类项目在一定范围或时间内出具唯一的投标授权书。</w:t>
      </w:r>
    </w:p>
    <w:p>
      <w:pPr>
        <w:numPr>
          <w:ilvl w:val="0"/>
          <w:numId w:val="4"/>
        </w:numPr>
        <w:spacing w:line="360" w:lineRule="auto"/>
        <w:ind w:left="709" w:hanging="709"/>
        <w:rPr>
          <w:rFonts w:ascii="宋体" w:hAnsi="宋体" w:cs="仿宋_GB2312"/>
          <w:b/>
          <w:bCs/>
          <w:color w:val="000000" w:themeColor="text1"/>
          <w:szCs w:val="21"/>
          <w:highlight w:val="none"/>
          <w:lang w:val="zh-CN"/>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，务必将保证金按谈判文件的要求缴纳，招标代理服务费存入谈判文件指定的服务费账户。切勿将款项转错账户，以免影响采购活动。</w:t>
      </w:r>
    </w:p>
    <w:p>
      <w:pPr>
        <w:numPr>
          <w:ilvl w:val="0"/>
          <w:numId w:val="4"/>
        </w:numPr>
        <w:spacing w:line="360" w:lineRule="auto"/>
        <w:ind w:left="709" w:hanging="709"/>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评标委员会</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pPr>
        <w:pStyle w:val="24"/>
        <w:widowControl/>
        <w:adjustRightInd w:val="0"/>
        <w:snapToGrid w:val="0"/>
        <w:spacing w:line="360" w:lineRule="auto"/>
        <w:jc w:val="center"/>
        <w:rPr>
          <w:rFonts w:ascii="黑体" w:eastAsia="黑体"/>
          <w:bCs/>
          <w:color w:val="000000" w:themeColor="text1"/>
          <w:sz w:val="24"/>
          <w:szCs w:val="24"/>
          <w:highlight w:val="none"/>
        </w:rPr>
      </w:pPr>
      <w:r>
        <w:rPr>
          <w:rFonts w:hint="eastAsia" w:hAnsi="宋体" w:cs="仿宋_GB2312"/>
          <w:b/>
          <w:bCs/>
          <w:color w:val="000000" w:themeColor="text1"/>
          <w:highlight w:val="none"/>
          <w:lang w:val="zh-CN"/>
        </w:rPr>
        <w:t>（本提示内容非招标文件的组成部分，仅为善意提醒。如有不一致，以招标文件为准。）</w:t>
      </w:r>
    </w:p>
    <w:p>
      <w:pPr>
        <w:pStyle w:val="24"/>
        <w:widowControl/>
        <w:adjustRightInd w:val="0"/>
        <w:snapToGrid w:val="0"/>
        <w:spacing w:line="360" w:lineRule="auto"/>
        <w:rPr>
          <w:rFonts w:ascii="黑体" w:eastAsia="黑体"/>
          <w:bCs/>
          <w:color w:val="000000" w:themeColor="text1"/>
          <w:sz w:val="24"/>
          <w:szCs w:val="24"/>
          <w:highlight w:val="none"/>
        </w:rPr>
      </w:pPr>
    </w:p>
    <w:p>
      <w:pPr>
        <w:pStyle w:val="24"/>
        <w:widowControl/>
        <w:adjustRightInd w:val="0"/>
        <w:snapToGrid w:val="0"/>
        <w:spacing w:line="360" w:lineRule="auto"/>
        <w:jc w:val="center"/>
        <w:rPr>
          <w:rFonts w:ascii="黑体" w:eastAsia="黑体"/>
          <w:bCs/>
          <w:color w:val="000000" w:themeColor="text1"/>
          <w:sz w:val="24"/>
          <w:szCs w:val="24"/>
          <w:highlight w:val="none"/>
        </w:rPr>
        <w:sectPr>
          <w:footerReference r:id="rId5" w:type="first"/>
          <w:footerReference r:id="rId3" w:type="default"/>
          <w:footerReference r:id="rId4" w:type="even"/>
          <w:pgSz w:w="11907" w:h="16840"/>
          <w:pgMar w:top="1701" w:right="1474" w:bottom="1134" w:left="1474" w:header="851" w:footer="851" w:gutter="0"/>
          <w:cols w:space="720" w:num="1"/>
          <w:titlePg/>
          <w:docGrid w:linePitch="380" w:charSpace="-5735"/>
        </w:sectPr>
      </w:pPr>
    </w:p>
    <w:p>
      <w:pPr>
        <w:pStyle w:val="38"/>
        <w:jc w:val="center"/>
        <w:rPr>
          <w:color w:val="000000" w:themeColor="text1"/>
          <w:highlight w:val="none"/>
        </w:rPr>
      </w:pPr>
      <w:r>
        <w:rPr>
          <w:rFonts w:hint="eastAsia"/>
          <w:color w:val="000000" w:themeColor="text1"/>
          <w:highlight w:val="none"/>
        </w:rPr>
        <w:t>目     录</w:t>
      </w:r>
    </w:p>
    <w:p>
      <w:pPr>
        <w:pStyle w:val="32"/>
        <w:tabs>
          <w:tab w:val="right" w:leader="dot" w:pos="9184"/>
          <w:tab w:val="clear" w:pos="8280"/>
        </w:tabs>
      </w:pPr>
      <w:r>
        <w:rPr>
          <w:color w:val="000000" w:themeColor="text1"/>
          <w:highlight w:val="none"/>
        </w:rPr>
        <w:fldChar w:fldCharType="begin"/>
      </w:r>
      <w:r>
        <w:rPr>
          <w:color w:val="000000" w:themeColor="text1"/>
          <w:highlight w:val="none"/>
        </w:rPr>
        <w:instrText xml:space="preserve"> TOC \o "1-3" \h \z \u </w:instrText>
      </w:r>
      <w:r>
        <w:rPr>
          <w:color w:val="000000" w:themeColor="text1"/>
          <w:highlight w:val="none"/>
        </w:rPr>
        <w:fldChar w:fldCharType="separate"/>
      </w:r>
      <w:r>
        <w:rPr>
          <w:color w:val="000000" w:themeColor="text1"/>
          <w:highlight w:val="none"/>
        </w:rPr>
        <w:fldChar w:fldCharType="begin"/>
      </w:r>
      <w:r>
        <w:rPr>
          <w:highlight w:val="none"/>
        </w:rPr>
        <w:instrText xml:space="preserve"> HYPERLINK \l _Toc31593 </w:instrText>
      </w:r>
      <w:r>
        <w:rPr>
          <w:highlight w:val="none"/>
        </w:rPr>
        <w:fldChar w:fldCharType="separate"/>
      </w:r>
      <w:r>
        <w:rPr>
          <w:rFonts w:hint="eastAsia" w:ascii="宋体" w:hAnsi="宋体"/>
          <w:szCs w:val="21"/>
          <w:highlight w:val="none"/>
        </w:rPr>
        <w:t xml:space="preserve">第一部分  </w:t>
      </w:r>
      <w:r>
        <w:rPr>
          <w:rFonts w:hint="eastAsia"/>
          <w:szCs w:val="21"/>
          <w:highlight w:val="none"/>
        </w:rPr>
        <w:t>谈判</w:t>
      </w:r>
      <w:r>
        <w:rPr>
          <w:rFonts w:hint="eastAsia" w:ascii="宋体" w:hAnsi="宋体"/>
          <w:szCs w:val="21"/>
          <w:highlight w:val="none"/>
        </w:rPr>
        <w:t>邀请书</w:t>
      </w:r>
      <w:r>
        <w:tab/>
      </w:r>
      <w:r>
        <w:fldChar w:fldCharType="begin"/>
      </w:r>
      <w:r>
        <w:instrText xml:space="preserve"> PAGEREF _Toc31593 \h </w:instrText>
      </w:r>
      <w:r>
        <w:fldChar w:fldCharType="separate"/>
      </w:r>
      <w:r>
        <w:t>5</w:t>
      </w:r>
      <w:r>
        <w:fldChar w:fldCharType="end"/>
      </w:r>
      <w:r>
        <w:rPr>
          <w:color w:val="000000" w:themeColor="text1"/>
          <w:highlight w:val="none"/>
        </w:rPr>
        <w:fldChar w:fldCharType="end"/>
      </w:r>
    </w:p>
    <w:p>
      <w:pPr>
        <w:pStyle w:val="32"/>
        <w:tabs>
          <w:tab w:val="right" w:leader="dot" w:pos="9184"/>
          <w:tab w:val="clear" w:pos="8280"/>
        </w:tabs>
      </w:pPr>
      <w:r>
        <w:rPr>
          <w:color w:val="000000" w:themeColor="text1"/>
          <w:highlight w:val="none"/>
        </w:rPr>
        <w:fldChar w:fldCharType="begin"/>
      </w:r>
      <w:r>
        <w:rPr>
          <w:highlight w:val="none"/>
        </w:rPr>
        <w:instrText xml:space="preserve"> HYPERLINK \l _Toc801 </w:instrText>
      </w:r>
      <w:r>
        <w:rPr>
          <w:highlight w:val="none"/>
        </w:rPr>
        <w:fldChar w:fldCharType="separate"/>
      </w:r>
      <w:r>
        <w:rPr>
          <w:rFonts w:hint="eastAsia" w:ascii="宋体" w:hAnsi="宋体"/>
          <w:szCs w:val="21"/>
          <w:highlight w:val="none"/>
        </w:rPr>
        <w:t>第二部分 采购项目内容</w:t>
      </w:r>
      <w:r>
        <w:tab/>
      </w:r>
      <w:r>
        <w:fldChar w:fldCharType="begin"/>
      </w:r>
      <w:r>
        <w:instrText xml:space="preserve"> PAGEREF _Toc801 \h </w:instrText>
      </w:r>
      <w:r>
        <w:fldChar w:fldCharType="separate"/>
      </w:r>
      <w:r>
        <w:t>7</w:t>
      </w:r>
      <w:r>
        <w:fldChar w:fldCharType="end"/>
      </w:r>
      <w:r>
        <w:rPr>
          <w:color w:val="000000" w:themeColor="text1"/>
          <w:highlight w:val="none"/>
        </w:rPr>
        <w:fldChar w:fldCharType="end"/>
      </w:r>
    </w:p>
    <w:p>
      <w:pPr>
        <w:pStyle w:val="32"/>
        <w:tabs>
          <w:tab w:val="right" w:leader="dot" w:pos="9184"/>
          <w:tab w:val="clear" w:pos="8280"/>
        </w:tabs>
      </w:pPr>
      <w:r>
        <w:rPr>
          <w:color w:val="000000" w:themeColor="text1"/>
          <w:highlight w:val="none"/>
        </w:rPr>
        <w:fldChar w:fldCharType="begin"/>
      </w:r>
      <w:r>
        <w:rPr>
          <w:highlight w:val="none"/>
        </w:rPr>
        <w:instrText xml:space="preserve"> HYPERLINK \l _Toc29598 </w:instrText>
      </w:r>
      <w:r>
        <w:rPr>
          <w:highlight w:val="none"/>
        </w:rPr>
        <w:fldChar w:fldCharType="separate"/>
      </w:r>
      <w:r>
        <w:rPr>
          <w:rFonts w:hint="eastAsia" w:ascii="宋体" w:hAnsi="宋体"/>
          <w:szCs w:val="21"/>
          <w:highlight w:val="none"/>
        </w:rPr>
        <w:t>项目编号：</w:t>
      </w:r>
      <w:r>
        <w:rPr>
          <w:rFonts w:hint="eastAsia" w:ascii="宋体" w:hAnsi="宋体"/>
          <w:szCs w:val="21"/>
          <w:highlight w:val="none"/>
          <w:lang w:eastAsia="zh-CN"/>
        </w:rPr>
        <w:t>YXCG-20220303</w:t>
      </w:r>
      <w:r>
        <w:tab/>
      </w:r>
      <w:r>
        <w:fldChar w:fldCharType="begin"/>
      </w:r>
      <w:r>
        <w:instrText xml:space="preserve"> PAGEREF _Toc29598 \h </w:instrText>
      </w:r>
      <w:r>
        <w:fldChar w:fldCharType="separate"/>
      </w:r>
      <w:r>
        <w:t>7</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_Toc15661 </w:instrText>
      </w:r>
      <w:r>
        <w:rPr>
          <w:highlight w:val="none"/>
        </w:rPr>
        <w:fldChar w:fldCharType="separate"/>
      </w:r>
      <w:r>
        <w:rPr>
          <w:rFonts w:hint="eastAsia" w:ascii="宋体" w:hAnsi="宋体" w:eastAsia="宋体"/>
          <w:kern w:val="44"/>
          <w:szCs w:val="21"/>
          <w:highlight w:val="none"/>
        </w:rPr>
        <w:t>项目名称：</w:t>
      </w:r>
      <w:r>
        <w:rPr>
          <w:rFonts w:hint="eastAsia" w:ascii="宋体" w:hAnsi="宋体" w:eastAsia="宋体"/>
          <w:kern w:val="44"/>
          <w:szCs w:val="21"/>
          <w:highlight w:val="none"/>
          <w:lang w:eastAsia="zh-CN"/>
        </w:rPr>
        <w:t>中共阳西县委组织部干部人事档案管理信息系统建设及档案整理数字化项目</w:t>
      </w:r>
      <w:r>
        <w:tab/>
      </w:r>
      <w:r>
        <w:fldChar w:fldCharType="begin"/>
      </w:r>
      <w:r>
        <w:instrText xml:space="preserve"> PAGEREF _Toc15661 \h </w:instrText>
      </w:r>
      <w:r>
        <w:fldChar w:fldCharType="separate"/>
      </w:r>
      <w:r>
        <w:t>7</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_Toc14753 </w:instrText>
      </w:r>
      <w:r>
        <w:rPr>
          <w:highlight w:val="none"/>
        </w:rPr>
        <w:fldChar w:fldCharType="separate"/>
      </w:r>
      <w:r>
        <w:rPr>
          <w:rFonts w:ascii="宋体" w:hAnsi="宋体" w:eastAsia="宋体"/>
          <w:kern w:val="0"/>
          <w:szCs w:val="21"/>
          <w:highlight w:val="none"/>
        </w:rPr>
        <w:t xml:space="preserve">A  </w:t>
      </w:r>
      <w:r>
        <w:rPr>
          <w:rFonts w:hint="eastAsia" w:ascii="宋体" w:hAnsi="宋体" w:eastAsia="宋体"/>
          <w:kern w:val="0"/>
          <w:szCs w:val="21"/>
          <w:highlight w:val="none"/>
        </w:rPr>
        <w:t>商务要求</w:t>
      </w:r>
      <w:r>
        <w:tab/>
      </w:r>
      <w:r>
        <w:fldChar w:fldCharType="begin"/>
      </w:r>
      <w:r>
        <w:instrText xml:space="preserve"> PAGEREF _Toc14753 \h </w:instrText>
      </w:r>
      <w:r>
        <w:fldChar w:fldCharType="separate"/>
      </w:r>
      <w:r>
        <w:t>7</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_Toc31312 </w:instrText>
      </w:r>
      <w:r>
        <w:rPr>
          <w:highlight w:val="none"/>
        </w:rPr>
        <w:fldChar w:fldCharType="separate"/>
      </w:r>
      <w:r>
        <w:rPr>
          <w:rFonts w:hint="eastAsia" w:ascii="宋体" w:hAnsi="宋体" w:eastAsia="宋体"/>
          <w:kern w:val="0"/>
          <w:szCs w:val="21"/>
          <w:highlight w:val="none"/>
        </w:rPr>
        <w:t>B技术要求</w:t>
      </w:r>
      <w:r>
        <w:tab/>
      </w:r>
      <w:r>
        <w:fldChar w:fldCharType="begin"/>
      </w:r>
      <w:r>
        <w:instrText xml:space="preserve"> PAGEREF _Toc31312 \h </w:instrText>
      </w:r>
      <w:r>
        <w:fldChar w:fldCharType="separate"/>
      </w:r>
      <w:r>
        <w:t>9</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_Toc4560 </w:instrText>
      </w:r>
      <w:r>
        <w:rPr>
          <w:highlight w:val="none"/>
        </w:rPr>
        <w:fldChar w:fldCharType="separate"/>
      </w:r>
      <w:r>
        <w:rPr>
          <w:rFonts w:hint="eastAsia"/>
          <w:kern w:val="0"/>
          <w:szCs w:val="21"/>
          <w:highlight w:val="none"/>
        </w:rPr>
        <w:t>第三部分 谈判须知</w:t>
      </w:r>
      <w:r>
        <w:tab/>
      </w:r>
      <w:r>
        <w:fldChar w:fldCharType="begin"/>
      </w:r>
      <w:r>
        <w:instrText xml:space="preserve"> PAGEREF _Toc4560 \h </w:instrText>
      </w:r>
      <w:r>
        <w:fldChar w:fldCharType="separate"/>
      </w:r>
      <w:r>
        <w:t>19</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_Toc2966 </w:instrText>
      </w:r>
      <w:r>
        <w:rPr>
          <w:highlight w:val="none"/>
        </w:rPr>
        <w:fldChar w:fldCharType="separate"/>
      </w:r>
      <w:r>
        <w:rPr>
          <w:rFonts w:hint="eastAsia" w:ascii="宋体" w:hAnsi="宋体"/>
          <w:kern w:val="0"/>
          <w:highlight w:val="none"/>
        </w:rPr>
        <w:t>谈判须知前附表</w:t>
      </w:r>
      <w:r>
        <w:tab/>
      </w:r>
      <w:r>
        <w:fldChar w:fldCharType="begin"/>
      </w:r>
      <w:r>
        <w:instrText xml:space="preserve"> PAGEREF _Toc2966 \h </w:instrText>
      </w:r>
      <w:r>
        <w:fldChar w:fldCharType="separate"/>
      </w:r>
      <w:r>
        <w:t>19</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_Toc13989 </w:instrText>
      </w:r>
      <w:r>
        <w:rPr>
          <w:highlight w:val="none"/>
        </w:rPr>
        <w:fldChar w:fldCharType="separate"/>
      </w:r>
      <w:r>
        <w:rPr>
          <w:rFonts w:hint="eastAsia" w:hAnsi="宋体" w:cs="Times New Roman"/>
          <w:highlight w:val="none"/>
        </w:rPr>
        <w:t>一、说  明</w:t>
      </w:r>
      <w:r>
        <w:tab/>
      </w:r>
      <w:r>
        <w:fldChar w:fldCharType="begin"/>
      </w:r>
      <w:r>
        <w:instrText xml:space="preserve"> PAGEREF _Toc13989 \h </w:instrText>
      </w:r>
      <w:r>
        <w:fldChar w:fldCharType="separate"/>
      </w:r>
      <w:r>
        <w:t>20</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_Toc8386 </w:instrText>
      </w:r>
      <w:r>
        <w:rPr>
          <w:highlight w:val="none"/>
        </w:rPr>
        <w:fldChar w:fldCharType="separate"/>
      </w:r>
      <w:r>
        <w:rPr>
          <w:rFonts w:hint="eastAsia" w:hAnsi="宋体" w:cs="Times New Roman"/>
          <w:highlight w:val="none"/>
        </w:rPr>
        <w:t>二、谈判文件</w:t>
      </w:r>
      <w:r>
        <w:tab/>
      </w:r>
      <w:r>
        <w:fldChar w:fldCharType="begin"/>
      </w:r>
      <w:r>
        <w:instrText xml:space="preserve"> PAGEREF _Toc8386 \h </w:instrText>
      </w:r>
      <w:r>
        <w:fldChar w:fldCharType="separate"/>
      </w:r>
      <w:r>
        <w:t>20</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_Toc17215 </w:instrText>
      </w:r>
      <w:r>
        <w:rPr>
          <w:highlight w:val="none"/>
        </w:rPr>
        <w:fldChar w:fldCharType="separate"/>
      </w:r>
      <w:r>
        <w:rPr>
          <w:rFonts w:hint="eastAsia" w:hAnsi="宋体" w:cs="Times New Roman"/>
          <w:highlight w:val="none"/>
        </w:rPr>
        <w:t>三、单一来源谈判响应文件的编制</w:t>
      </w:r>
      <w:r>
        <w:tab/>
      </w:r>
      <w:r>
        <w:fldChar w:fldCharType="begin"/>
      </w:r>
      <w:r>
        <w:instrText xml:space="preserve"> PAGEREF _Toc17215 \h </w:instrText>
      </w:r>
      <w:r>
        <w:fldChar w:fldCharType="separate"/>
      </w:r>
      <w:r>
        <w:t>21</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_Toc4408 </w:instrText>
      </w:r>
      <w:r>
        <w:rPr>
          <w:highlight w:val="none"/>
        </w:rPr>
        <w:fldChar w:fldCharType="separate"/>
      </w:r>
      <w:r>
        <w:rPr>
          <w:rFonts w:hint="eastAsia" w:hAnsi="宋体" w:cs="Times New Roman"/>
          <w:highlight w:val="none"/>
        </w:rPr>
        <w:t>四、谈判报价要求和响应供应商资格证明文件的要求</w:t>
      </w:r>
      <w:r>
        <w:tab/>
      </w:r>
      <w:r>
        <w:fldChar w:fldCharType="begin"/>
      </w:r>
      <w:r>
        <w:instrText xml:space="preserve"> PAGEREF _Toc4408 \h </w:instrText>
      </w:r>
      <w:r>
        <w:fldChar w:fldCharType="separate"/>
      </w:r>
      <w:r>
        <w:t>21</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_Toc16173 </w:instrText>
      </w:r>
      <w:r>
        <w:rPr>
          <w:highlight w:val="none"/>
        </w:rPr>
        <w:fldChar w:fldCharType="separate"/>
      </w:r>
      <w:r>
        <w:rPr>
          <w:rFonts w:hint="eastAsia" w:hAnsi="宋体" w:cs="Times New Roman"/>
          <w:highlight w:val="none"/>
        </w:rPr>
        <w:t>五、谈判保证金</w:t>
      </w:r>
      <w:r>
        <w:tab/>
      </w:r>
      <w:r>
        <w:fldChar w:fldCharType="begin"/>
      </w:r>
      <w:r>
        <w:instrText xml:space="preserve"> PAGEREF _Toc16173 \h </w:instrText>
      </w:r>
      <w:r>
        <w:fldChar w:fldCharType="separate"/>
      </w:r>
      <w:r>
        <w:t>22</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_Toc1314 </w:instrText>
      </w:r>
      <w:r>
        <w:rPr>
          <w:highlight w:val="none"/>
        </w:rPr>
        <w:fldChar w:fldCharType="separate"/>
      </w:r>
      <w:r>
        <w:rPr>
          <w:rFonts w:hint="eastAsia" w:hAnsi="宋体" w:cs="Times New Roman"/>
          <w:highlight w:val="none"/>
        </w:rPr>
        <w:t>六、单一来源谈判响应文件的份数、封装和递交</w:t>
      </w:r>
      <w:r>
        <w:tab/>
      </w:r>
      <w:r>
        <w:fldChar w:fldCharType="begin"/>
      </w:r>
      <w:r>
        <w:instrText xml:space="preserve"> PAGEREF _Toc1314 \h </w:instrText>
      </w:r>
      <w:r>
        <w:fldChar w:fldCharType="separate"/>
      </w:r>
      <w:r>
        <w:t>22</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_Toc15739 </w:instrText>
      </w:r>
      <w:r>
        <w:rPr>
          <w:highlight w:val="none"/>
        </w:rPr>
        <w:fldChar w:fldCharType="separate"/>
      </w:r>
      <w:r>
        <w:rPr>
          <w:rFonts w:hint="eastAsia" w:hAnsi="宋体" w:cs="Times New Roman"/>
          <w:highlight w:val="none"/>
        </w:rPr>
        <w:t>七、谈判的步骤</w:t>
      </w:r>
      <w:r>
        <w:tab/>
      </w:r>
      <w:r>
        <w:fldChar w:fldCharType="begin"/>
      </w:r>
      <w:r>
        <w:instrText xml:space="preserve"> PAGEREF _Toc15739 \h </w:instrText>
      </w:r>
      <w:r>
        <w:fldChar w:fldCharType="separate"/>
      </w:r>
      <w:r>
        <w:t>23</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_Toc18615 </w:instrText>
      </w:r>
      <w:r>
        <w:rPr>
          <w:highlight w:val="none"/>
        </w:rPr>
        <w:fldChar w:fldCharType="separate"/>
      </w:r>
      <w:r>
        <w:rPr>
          <w:rFonts w:hint="eastAsia" w:hAnsi="宋体" w:cs="Times New Roman"/>
          <w:highlight w:val="none"/>
        </w:rPr>
        <w:t>八、确定成交供应商办法</w:t>
      </w:r>
      <w:r>
        <w:tab/>
      </w:r>
      <w:r>
        <w:fldChar w:fldCharType="begin"/>
      </w:r>
      <w:r>
        <w:instrText xml:space="preserve"> PAGEREF _Toc18615 \h </w:instrText>
      </w:r>
      <w:r>
        <w:fldChar w:fldCharType="separate"/>
      </w:r>
      <w:r>
        <w:t>24</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_Toc20828 </w:instrText>
      </w:r>
      <w:r>
        <w:rPr>
          <w:highlight w:val="none"/>
        </w:rPr>
        <w:fldChar w:fldCharType="separate"/>
      </w:r>
      <w:r>
        <w:rPr>
          <w:rFonts w:hint="eastAsia" w:hAnsi="宋体" w:cs="Times New Roman"/>
          <w:highlight w:val="none"/>
        </w:rPr>
        <w:t>九、质疑</w:t>
      </w:r>
      <w:r>
        <w:tab/>
      </w:r>
      <w:r>
        <w:fldChar w:fldCharType="begin"/>
      </w:r>
      <w:r>
        <w:instrText xml:space="preserve"> PAGEREF _Toc20828 \h </w:instrText>
      </w:r>
      <w:r>
        <w:fldChar w:fldCharType="separate"/>
      </w:r>
      <w:r>
        <w:t>24</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_Toc8917 </w:instrText>
      </w:r>
      <w:r>
        <w:rPr>
          <w:highlight w:val="none"/>
        </w:rPr>
        <w:fldChar w:fldCharType="separate"/>
      </w:r>
      <w:r>
        <w:rPr>
          <w:rFonts w:hint="eastAsia" w:hAnsi="宋体" w:cs="Times New Roman"/>
          <w:highlight w:val="none"/>
        </w:rPr>
        <w:t>十、成交服务费</w:t>
      </w:r>
      <w:r>
        <w:tab/>
      </w:r>
      <w:r>
        <w:fldChar w:fldCharType="begin"/>
      </w:r>
      <w:r>
        <w:instrText xml:space="preserve"> PAGEREF _Toc8917 \h </w:instrText>
      </w:r>
      <w:r>
        <w:fldChar w:fldCharType="separate"/>
      </w:r>
      <w:r>
        <w:t>24</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_Toc27872 </w:instrText>
      </w:r>
      <w:r>
        <w:rPr>
          <w:highlight w:val="none"/>
        </w:rPr>
        <w:fldChar w:fldCharType="separate"/>
      </w:r>
      <w:r>
        <w:rPr>
          <w:rFonts w:hint="eastAsia" w:hAnsi="宋体" w:cs="Times New Roman"/>
          <w:highlight w:val="none"/>
        </w:rPr>
        <w:t>十一、合同的订立和履行</w:t>
      </w:r>
      <w:r>
        <w:tab/>
      </w:r>
      <w:r>
        <w:fldChar w:fldCharType="begin"/>
      </w:r>
      <w:r>
        <w:instrText xml:space="preserve"> PAGEREF _Toc27872 \h </w:instrText>
      </w:r>
      <w:r>
        <w:fldChar w:fldCharType="separate"/>
      </w:r>
      <w:r>
        <w:t>24</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_Toc4427 </w:instrText>
      </w:r>
      <w:r>
        <w:rPr>
          <w:highlight w:val="none"/>
        </w:rPr>
        <w:fldChar w:fldCharType="separate"/>
      </w:r>
      <w:r>
        <w:rPr>
          <w:rFonts w:hint="eastAsia" w:hAnsi="宋体" w:cs="Times New Roman"/>
          <w:highlight w:val="none"/>
        </w:rPr>
        <w:t>十二、适用法律</w:t>
      </w:r>
      <w:r>
        <w:tab/>
      </w:r>
      <w:r>
        <w:fldChar w:fldCharType="begin"/>
      </w:r>
      <w:r>
        <w:instrText xml:space="preserve"> PAGEREF _Toc4427 \h </w:instrText>
      </w:r>
      <w:r>
        <w:fldChar w:fldCharType="separate"/>
      </w:r>
      <w:r>
        <w:t>26</w:t>
      </w:r>
      <w:r>
        <w:fldChar w:fldCharType="end"/>
      </w:r>
      <w:r>
        <w:rPr>
          <w:color w:val="000000" w:themeColor="text1"/>
          <w:highlight w:val="none"/>
        </w:rPr>
        <w:fldChar w:fldCharType="end"/>
      </w:r>
    </w:p>
    <w:p>
      <w:pPr>
        <w:pStyle w:val="32"/>
        <w:tabs>
          <w:tab w:val="right" w:leader="dot" w:pos="9184"/>
          <w:tab w:val="clear" w:pos="8280"/>
        </w:tabs>
      </w:pPr>
      <w:r>
        <w:rPr>
          <w:color w:val="000000" w:themeColor="text1"/>
          <w:highlight w:val="none"/>
        </w:rPr>
        <w:fldChar w:fldCharType="begin"/>
      </w:r>
      <w:r>
        <w:rPr>
          <w:highlight w:val="none"/>
        </w:rPr>
        <w:instrText xml:space="preserve"> HYPERLINK \l _Toc8853 </w:instrText>
      </w:r>
      <w:r>
        <w:rPr>
          <w:highlight w:val="none"/>
        </w:rPr>
        <w:fldChar w:fldCharType="separate"/>
      </w:r>
      <w:r>
        <w:rPr>
          <w:rFonts w:hint="eastAsia" w:ascii="宋体" w:hAnsi="宋体"/>
          <w:szCs w:val="21"/>
          <w:highlight w:val="none"/>
        </w:rPr>
        <w:t>第四部分  采购项目合同（参考范本）</w:t>
      </w:r>
      <w:r>
        <w:tab/>
      </w:r>
      <w:r>
        <w:fldChar w:fldCharType="begin"/>
      </w:r>
      <w:r>
        <w:instrText xml:space="preserve"> PAGEREF _Toc8853 \h </w:instrText>
      </w:r>
      <w:r>
        <w:fldChar w:fldCharType="separate"/>
      </w:r>
      <w:r>
        <w:t>27</w:t>
      </w:r>
      <w:r>
        <w:fldChar w:fldCharType="end"/>
      </w:r>
      <w:r>
        <w:rPr>
          <w:color w:val="000000" w:themeColor="text1"/>
          <w:highlight w:val="none"/>
        </w:rPr>
        <w:fldChar w:fldCharType="end"/>
      </w:r>
    </w:p>
    <w:p>
      <w:pPr>
        <w:pStyle w:val="32"/>
        <w:tabs>
          <w:tab w:val="right" w:leader="dot" w:pos="9184"/>
          <w:tab w:val="clear" w:pos="8280"/>
        </w:tabs>
      </w:pPr>
      <w:r>
        <w:rPr>
          <w:color w:val="000000" w:themeColor="text1"/>
          <w:highlight w:val="none"/>
        </w:rPr>
        <w:fldChar w:fldCharType="begin"/>
      </w:r>
      <w:r>
        <w:rPr>
          <w:highlight w:val="none"/>
        </w:rPr>
        <w:instrText xml:space="preserve"> HYPERLINK \l _Toc8322 </w:instrText>
      </w:r>
      <w:r>
        <w:rPr>
          <w:highlight w:val="none"/>
        </w:rPr>
        <w:fldChar w:fldCharType="separate"/>
      </w:r>
      <w:r>
        <w:rPr>
          <w:rFonts w:hint="eastAsia" w:ascii="宋体" w:hAnsi="宋体"/>
          <w:szCs w:val="21"/>
          <w:highlight w:val="none"/>
        </w:rPr>
        <w:t>第五部分  单一来源谈判响应文件格式</w:t>
      </w:r>
      <w:r>
        <w:tab/>
      </w:r>
      <w:r>
        <w:fldChar w:fldCharType="begin"/>
      </w:r>
      <w:r>
        <w:instrText xml:space="preserve"> PAGEREF _Toc8322 \h </w:instrText>
      </w:r>
      <w:r>
        <w:fldChar w:fldCharType="separate"/>
      </w:r>
      <w:r>
        <w:t>30</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_Toc18700 </w:instrText>
      </w:r>
      <w:r>
        <w:rPr>
          <w:highlight w:val="none"/>
        </w:rPr>
        <w:fldChar w:fldCharType="separate"/>
      </w:r>
      <w:r>
        <w:rPr>
          <w:rFonts w:hint="eastAsia" w:ascii="宋体" w:hAnsi="宋体" w:eastAsia="宋体"/>
          <w:szCs w:val="21"/>
          <w:highlight w:val="none"/>
        </w:rPr>
        <w:t>封面格式</w:t>
      </w:r>
      <w:r>
        <w:tab/>
      </w:r>
      <w:r>
        <w:fldChar w:fldCharType="begin"/>
      </w:r>
      <w:r>
        <w:instrText xml:space="preserve"> PAGEREF _Toc18700 \h </w:instrText>
      </w:r>
      <w:r>
        <w:fldChar w:fldCharType="separate"/>
      </w:r>
      <w:r>
        <w:t>30</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_Toc361 </w:instrText>
      </w:r>
      <w:r>
        <w:rPr>
          <w:highlight w:val="none"/>
        </w:rPr>
        <w:fldChar w:fldCharType="separate"/>
      </w:r>
      <w:r>
        <w:rPr>
          <w:rFonts w:hint="eastAsia" w:ascii="宋体" w:hAnsi="宋体" w:eastAsia="宋体"/>
          <w:szCs w:val="21"/>
          <w:highlight w:val="none"/>
        </w:rPr>
        <w:t>第一章  资格性/符合性自查表</w:t>
      </w:r>
      <w:r>
        <w:tab/>
      </w:r>
      <w:r>
        <w:fldChar w:fldCharType="begin"/>
      </w:r>
      <w:r>
        <w:instrText xml:space="preserve"> PAGEREF _Toc361 \h </w:instrText>
      </w:r>
      <w:r>
        <w:fldChar w:fldCharType="separate"/>
      </w:r>
      <w:r>
        <w:t>31</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_Toc14225 </w:instrText>
      </w:r>
      <w:r>
        <w:rPr>
          <w:highlight w:val="none"/>
        </w:rPr>
        <w:fldChar w:fldCharType="separate"/>
      </w:r>
      <w:r>
        <w:rPr>
          <w:rFonts w:hint="eastAsia"/>
          <w:szCs w:val="28"/>
          <w:highlight w:val="none"/>
        </w:rPr>
        <w:t>（一）无重大违法记录声明函</w:t>
      </w:r>
      <w:r>
        <w:tab/>
      </w:r>
      <w:r>
        <w:fldChar w:fldCharType="begin"/>
      </w:r>
      <w:r>
        <w:instrText xml:space="preserve"> PAGEREF _Toc14225 \h </w:instrText>
      </w:r>
      <w:r>
        <w:fldChar w:fldCharType="separate"/>
      </w:r>
      <w:r>
        <w:t>32</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_Toc22482 </w:instrText>
      </w:r>
      <w:r>
        <w:rPr>
          <w:highlight w:val="none"/>
        </w:rPr>
        <w:fldChar w:fldCharType="separate"/>
      </w:r>
      <w:r>
        <w:rPr>
          <w:rFonts w:hint="eastAsia"/>
          <w:kern w:val="0"/>
          <w:szCs w:val="28"/>
          <w:highlight w:val="none"/>
        </w:rPr>
        <w:t>（二）法定代表人证明书</w:t>
      </w:r>
      <w:r>
        <w:tab/>
      </w:r>
      <w:r>
        <w:fldChar w:fldCharType="begin"/>
      </w:r>
      <w:r>
        <w:instrText xml:space="preserve"> PAGEREF _Toc22482 \h </w:instrText>
      </w:r>
      <w:r>
        <w:fldChar w:fldCharType="separate"/>
      </w:r>
      <w:r>
        <w:t>33</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_Toc19863 </w:instrText>
      </w:r>
      <w:r>
        <w:rPr>
          <w:highlight w:val="none"/>
        </w:rPr>
        <w:fldChar w:fldCharType="separate"/>
      </w:r>
      <w:r>
        <w:rPr>
          <w:rFonts w:hint="eastAsia"/>
          <w:szCs w:val="28"/>
          <w:highlight w:val="none"/>
        </w:rPr>
        <w:t>（三）法定代表人授权书</w:t>
      </w:r>
      <w:r>
        <w:tab/>
      </w:r>
      <w:r>
        <w:fldChar w:fldCharType="begin"/>
      </w:r>
      <w:r>
        <w:instrText xml:space="preserve"> PAGEREF _Toc19863 \h </w:instrText>
      </w:r>
      <w:r>
        <w:fldChar w:fldCharType="separate"/>
      </w:r>
      <w:r>
        <w:t>34</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_Toc19616 </w:instrText>
      </w:r>
      <w:r>
        <w:rPr>
          <w:highlight w:val="none"/>
        </w:rPr>
        <w:fldChar w:fldCharType="separate"/>
      </w:r>
      <w:r>
        <w:rPr>
          <w:rFonts w:hint="eastAsia"/>
          <w:szCs w:val="28"/>
          <w:highlight w:val="none"/>
        </w:rPr>
        <w:t>（四）财务报表、缴税证明、社会保险登记证明</w:t>
      </w:r>
      <w:r>
        <w:tab/>
      </w:r>
      <w:r>
        <w:fldChar w:fldCharType="begin"/>
      </w:r>
      <w:r>
        <w:instrText xml:space="preserve"> PAGEREF _Toc19616 \h </w:instrText>
      </w:r>
      <w:r>
        <w:fldChar w:fldCharType="separate"/>
      </w:r>
      <w:r>
        <w:t>35</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_Toc17070 </w:instrText>
      </w:r>
      <w:r>
        <w:rPr>
          <w:highlight w:val="none"/>
        </w:rPr>
        <w:fldChar w:fldCharType="separate"/>
      </w:r>
      <w:r>
        <w:rPr>
          <w:rFonts w:hint="eastAsia"/>
          <w:szCs w:val="28"/>
          <w:highlight w:val="none"/>
        </w:rPr>
        <w:t>（五） 资格审查文件要求提交的其它有效证明文件</w:t>
      </w:r>
      <w:r>
        <w:tab/>
      </w:r>
      <w:r>
        <w:fldChar w:fldCharType="begin"/>
      </w:r>
      <w:r>
        <w:instrText xml:space="preserve"> PAGEREF _Toc17070 \h </w:instrText>
      </w:r>
      <w:r>
        <w:fldChar w:fldCharType="separate"/>
      </w:r>
      <w:r>
        <w:t>36</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_Toc2676 </w:instrText>
      </w:r>
      <w:r>
        <w:rPr>
          <w:highlight w:val="none"/>
        </w:rPr>
        <w:fldChar w:fldCharType="separate"/>
      </w:r>
      <w:r>
        <w:rPr>
          <w:rFonts w:hint="eastAsia"/>
          <w:szCs w:val="28"/>
          <w:highlight w:val="none"/>
        </w:rPr>
        <w:t>第二章  谈判响应文件商务及技术部分</w:t>
      </w:r>
      <w:r>
        <w:tab/>
      </w:r>
      <w:r>
        <w:fldChar w:fldCharType="begin"/>
      </w:r>
      <w:r>
        <w:instrText xml:space="preserve"> PAGEREF _Toc2676 \h </w:instrText>
      </w:r>
      <w:r>
        <w:fldChar w:fldCharType="separate"/>
      </w:r>
      <w:r>
        <w:t>37</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_Toc27390 </w:instrText>
      </w:r>
      <w:r>
        <w:rPr>
          <w:highlight w:val="none"/>
        </w:rPr>
        <w:fldChar w:fldCharType="separate"/>
      </w:r>
      <w:r>
        <w:rPr>
          <w:rFonts w:hint="eastAsia"/>
          <w:szCs w:val="28"/>
          <w:highlight w:val="none"/>
        </w:rPr>
        <w:t>附件一：谈判邀请函</w:t>
      </w:r>
      <w:r>
        <w:tab/>
      </w:r>
      <w:r>
        <w:fldChar w:fldCharType="begin"/>
      </w:r>
      <w:r>
        <w:instrText xml:space="preserve"> PAGEREF _Toc27390 \h </w:instrText>
      </w:r>
      <w:r>
        <w:fldChar w:fldCharType="separate"/>
      </w:r>
      <w:r>
        <w:t>37</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_Toc16577 </w:instrText>
      </w:r>
      <w:r>
        <w:rPr>
          <w:highlight w:val="none"/>
        </w:rPr>
        <w:fldChar w:fldCharType="separate"/>
      </w:r>
      <w:r>
        <w:rPr>
          <w:rFonts w:hint="eastAsia"/>
          <w:szCs w:val="28"/>
          <w:highlight w:val="none"/>
        </w:rPr>
        <w:t>附件二：承诺书</w:t>
      </w:r>
      <w:r>
        <w:tab/>
      </w:r>
      <w:r>
        <w:fldChar w:fldCharType="begin"/>
      </w:r>
      <w:r>
        <w:instrText xml:space="preserve"> PAGEREF _Toc16577 \h </w:instrText>
      </w:r>
      <w:r>
        <w:fldChar w:fldCharType="separate"/>
      </w:r>
      <w:r>
        <w:t>38</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_Toc15498 </w:instrText>
      </w:r>
      <w:r>
        <w:rPr>
          <w:highlight w:val="none"/>
        </w:rPr>
        <w:fldChar w:fldCharType="separate"/>
      </w:r>
      <w:r>
        <w:rPr>
          <w:rFonts w:hint="eastAsia"/>
          <w:szCs w:val="28"/>
          <w:highlight w:val="none"/>
        </w:rPr>
        <w:t>附件三：报价一览表</w:t>
      </w:r>
      <w:r>
        <w:tab/>
      </w:r>
      <w:r>
        <w:fldChar w:fldCharType="begin"/>
      </w:r>
      <w:r>
        <w:instrText xml:space="preserve"> PAGEREF _Toc15498 \h </w:instrText>
      </w:r>
      <w:r>
        <w:fldChar w:fldCharType="separate"/>
      </w:r>
      <w:r>
        <w:t>39</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_Toc26725 </w:instrText>
      </w:r>
      <w:r>
        <w:rPr>
          <w:highlight w:val="none"/>
        </w:rPr>
        <w:fldChar w:fldCharType="separate"/>
      </w:r>
      <w:r>
        <w:rPr>
          <w:rFonts w:hint="eastAsia"/>
          <w:szCs w:val="28"/>
          <w:highlight w:val="none"/>
        </w:rPr>
        <w:t>附件四：谈判分项报价</w:t>
      </w:r>
      <w:r>
        <w:rPr>
          <w:szCs w:val="28"/>
          <w:highlight w:val="none"/>
        </w:rPr>
        <w:t>表</w:t>
      </w:r>
      <w:r>
        <w:tab/>
      </w:r>
      <w:r>
        <w:fldChar w:fldCharType="begin"/>
      </w:r>
      <w:r>
        <w:instrText xml:space="preserve"> PAGEREF _Toc26725 \h </w:instrText>
      </w:r>
      <w:r>
        <w:fldChar w:fldCharType="separate"/>
      </w:r>
      <w:r>
        <w:t>40</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_Toc991 </w:instrText>
      </w:r>
      <w:r>
        <w:rPr>
          <w:highlight w:val="none"/>
        </w:rPr>
        <w:fldChar w:fldCharType="separate"/>
      </w:r>
      <w:r>
        <w:rPr>
          <w:rFonts w:hint="eastAsia"/>
          <w:szCs w:val="28"/>
          <w:highlight w:val="none"/>
        </w:rPr>
        <w:t>附件五：商务条款偏离一览表</w:t>
      </w:r>
      <w:r>
        <w:tab/>
      </w:r>
      <w:r>
        <w:fldChar w:fldCharType="begin"/>
      </w:r>
      <w:r>
        <w:instrText xml:space="preserve"> PAGEREF _Toc991 \h </w:instrText>
      </w:r>
      <w:r>
        <w:fldChar w:fldCharType="separate"/>
      </w:r>
      <w:r>
        <w:t>41</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_Toc7746 </w:instrText>
      </w:r>
      <w:r>
        <w:rPr>
          <w:highlight w:val="none"/>
        </w:rPr>
        <w:fldChar w:fldCharType="separate"/>
      </w:r>
      <w:r>
        <w:rPr>
          <w:rFonts w:hint="eastAsia"/>
          <w:szCs w:val="28"/>
          <w:highlight w:val="none"/>
        </w:rPr>
        <w:t>附件六：技术条款偏离一览表</w:t>
      </w:r>
      <w:r>
        <w:tab/>
      </w:r>
      <w:r>
        <w:fldChar w:fldCharType="begin"/>
      </w:r>
      <w:r>
        <w:instrText xml:space="preserve"> PAGEREF _Toc7746 \h </w:instrText>
      </w:r>
      <w:r>
        <w:fldChar w:fldCharType="separate"/>
      </w:r>
      <w:r>
        <w:t>42</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_Toc27345 </w:instrText>
      </w:r>
      <w:r>
        <w:rPr>
          <w:highlight w:val="none"/>
        </w:rPr>
        <w:fldChar w:fldCharType="separate"/>
      </w:r>
      <w:r>
        <w:rPr>
          <w:rFonts w:hint="eastAsia"/>
          <w:szCs w:val="28"/>
          <w:highlight w:val="none"/>
        </w:rPr>
        <w:t>附件七：项目实施方案</w:t>
      </w:r>
      <w:r>
        <w:tab/>
      </w:r>
      <w:r>
        <w:fldChar w:fldCharType="begin"/>
      </w:r>
      <w:r>
        <w:instrText xml:space="preserve"> PAGEREF _Toc27345 \h </w:instrText>
      </w:r>
      <w:r>
        <w:fldChar w:fldCharType="separate"/>
      </w:r>
      <w:r>
        <w:t>43</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_Toc19310 </w:instrText>
      </w:r>
      <w:r>
        <w:rPr>
          <w:highlight w:val="none"/>
        </w:rPr>
        <w:fldChar w:fldCharType="separate"/>
      </w:r>
      <w:r>
        <w:rPr>
          <w:rFonts w:hint="eastAsia"/>
          <w:szCs w:val="28"/>
          <w:highlight w:val="none"/>
        </w:rPr>
        <w:t>附件八：同类业绩一览表</w:t>
      </w:r>
      <w:r>
        <w:tab/>
      </w:r>
      <w:r>
        <w:fldChar w:fldCharType="begin"/>
      </w:r>
      <w:r>
        <w:instrText xml:space="preserve"> PAGEREF _Toc19310 \h </w:instrText>
      </w:r>
      <w:r>
        <w:fldChar w:fldCharType="separate"/>
      </w:r>
      <w:r>
        <w:t>44</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_Toc19052 </w:instrText>
      </w:r>
      <w:r>
        <w:rPr>
          <w:highlight w:val="none"/>
        </w:rPr>
        <w:fldChar w:fldCharType="separate"/>
      </w:r>
      <w:r>
        <w:rPr>
          <w:rFonts w:hint="eastAsia"/>
          <w:szCs w:val="28"/>
          <w:highlight w:val="none"/>
        </w:rPr>
        <w:t>附件九：谈判供应商提交的其他资料</w:t>
      </w:r>
      <w:r>
        <w:tab/>
      </w:r>
      <w:r>
        <w:fldChar w:fldCharType="begin"/>
      </w:r>
      <w:r>
        <w:instrText xml:space="preserve"> PAGEREF _Toc19052 \h </w:instrText>
      </w:r>
      <w:r>
        <w:fldChar w:fldCharType="separate"/>
      </w:r>
      <w:r>
        <w:t>45</w:t>
      </w:r>
      <w:r>
        <w:fldChar w:fldCharType="end"/>
      </w:r>
      <w:r>
        <w:rPr>
          <w:color w:val="000000" w:themeColor="text1"/>
          <w:highlight w:val="none"/>
        </w:rPr>
        <w:fldChar w:fldCharType="end"/>
      </w:r>
    </w:p>
    <w:p>
      <w:pPr>
        <w:pStyle w:val="38"/>
        <w:tabs>
          <w:tab w:val="right" w:leader="dot" w:pos="9184"/>
          <w:tab w:val="clear" w:pos="840"/>
          <w:tab w:val="clear" w:pos="8302"/>
        </w:tabs>
      </w:pPr>
      <w:r>
        <w:rPr>
          <w:color w:val="000000" w:themeColor="text1"/>
          <w:highlight w:val="none"/>
        </w:rPr>
        <w:fldChar w:fldCharType="begin"/>
      </w:r>
      <w:r>
        <w:rPr>
          <w:highlight w:val="none"/>
        </w:rPr>
        <w:instrText xml:space="preserve"> HYPERLINK \l _Toc20452 </w:instrText>
      </w:r>
      <w:r>
        <w:rPr>
          <w:highlight w:val="none"/>
        </w:rPr>
        <w:fldChar w:fldCharType="separate"/>
      </w:r>
      <w:r>
        <w:rPr>
          <w:rFonts w:hint="eastAsia"/>
          <w:highlight w:val="none"/>
        </w:rPr>
        <w:t>其 他 格 式</w:t>
      </w:r>
      <w:r>
        <w:tab/>
      </w:r>
      <w:r>
        <w:fldChar w:fldCharType="begin"/>
      </w:r>
      <w:r>
        <w:instrText xml:space="preserve"> PAGEREF _Toc20452 \h </w:instrText>
      </w:r>
      <w:r>
        <w:fldChar w:fldCharType="separate"/>
      </w:r>
      <w:r>
        <w:t>46</w:t>
      </w:r>
      <w:r>
        <w:fldChar w:fldCharType="end"/>
      </w:r>
      <w:r>
        <w:rPr>
          <w:color w:val="000000" w:themeColor="text1"/>
          <w:highlight w:val="none"/>
        </w:rPr>
        <w:fldChar w:fldCharType="end"/>
      </w:r>
    </w:p>
    <w:p>
      <w:pPr>
        <w:pStyle w:val="23"/>
        <w:tabs>
          <w:tab w:val="right" w:leader="dot" w:pos="9184"/>
          <w:tab w:val="clear" w:pos="900"/>
          <w:tab w:val="clear" w:pos="1080"/>
        </w:tabs>
      </w:pPr>
      <w:r>
        <w:rPr>
          <w:color w:val="000000" w:themeColor="text1"/>
          <w:highlight w:val="none"/>
        </w:rPr>
        <w:fldChar w:fldCharType="begin"/>
      </w:r>
      <w:r>
        <w:rPr>
          <w:highlight w:val="none"/>
        </w:rPr>
        <w:instrText xml:space="preserve"> HYPERLINK \l _Toc18771 </w:instrText>
      </w:r>
      <w:r>
        <w:rPr>
          <w:highlight w:val="none"/>
        </w:rPr>
        <w:fldChar w:fldCharType="separate"/>
      </w:r>
      <w:r>
        <w:rPr>
          <w:rFonts w:hint="eastAsia"/>
          <w:highlight w:val="none"/>
        </w:rPr>
        <w:t>投标保证金退付书</w:t>
      </w:r>
      <w:r>
        <w:tab/>
      </w:r>
      <w:r>
        <w:fldChar w:fldCharType="begin"/>
      </w:r>
      <w:r>
        <w:instrText xml:space="preserve"> PAGEREF _Toc18771 \h </w:instrText>
      </w:r>
      <w:r>
        <w:fldChar w:fldCharType="separate"/>
      </w:r>
      <w:r>
        <w:t>47</w:t>
      </w:r>
      <w:r>
        <w:fldChar w:fldCharType="end"/>
      </w:r>
      <w:r>
        <w:rPr>
          <w:color w:val="000000" w:themeColor="text1"/>
          <w:highlight w:val="none"/>
        </w:rPr>
        <w:fldChar w:fldCharType="end"/>
      </w:r>
    </w:p>
    <w:p>
      <w:pPr>
        <w:pStyle w:val="38"/>
        <w:rPr>
          <w:color w:val="000000" w:themeColor="text1"/>
          <w:szCs w:val="28"/>
          <w:highlight w:val="none"/>
        </w:rPr>
      </w:pPr>
      <w:r>
        <w:rPr>
          <w:color w:val="000000" w:themeColor="text1"/>
          <w:highlight w:val="none"/>
        </w:rPr>
        <w:fldChar w:fldCharType="end"/>
      </w:r>
    </w:p>
    <w:p>
      <w:pPr>
        <w:pStyle w:val="38"/>
        <w:rPr>
          <w:rFonts w:ascii="宋体"/>
          <w:color w:val="000000" w:themeColor="text1"/>
          <w:highlight w:val="none"/>
        </w:rPr>
      </w:pPr>
      <w:bookmarkStart w:id="0" w:name="_Toc353522386"/>
      <w:bookmarkStart w:id="1" w:name="_Toc351987762"/>
      <w:bookmarkStart w:id="2" w:name="_Toc351986192"/>
      <w:bookmarkStart w:id="3" w:name="_Toc351990139"/>
      <w:bookmarkStart w:id="4" w:name="_Toc351987958"/>
      <w:bookmarkStart w:id="5" w:name="_Toc351986012"/>
      <w:bookmarkStart w:id="6" w:name="_Toc351988703"/>
      <w:bookmarkStart w:id="7" w:name="_Toc357151162"/>
      <w:bookmarkStart w:id="8" w:name="_Toc369180016"/>
    </w:p>
    <w:p>
      <w:pPr>
        <w:pStyle w:val="4"/>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rPr>
      </w:pPr>
    </w:p>
    <w:p>
      <w:pPr>
        <w:pStyle w:val="4"/>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rPr>
      </w:pPr>
    </w:p>
    <w:p>
      <w:pPr>
        <w:pStyle w:val="4"/>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pStyle w:val="4"/>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rPr>
      </w:pPr>
      <w:bookmarkStart w:id="9" w:name="_Toc31593"/>
      <w:r>
        <w:rPr>
          <w:rFonts w:hint="eastAsia" w:ascii="宋体" w:hAnsi="宋体"/>
          <w:color w:val="000000" w:themeColor="text1"/>
          <w:sz w:val="21"/>
          <w:szCs w:val="21"/>
          <w:highlight w:val="none"/>
        </w:rPr>
        <w:t xml:space="preserve">第一部分  </w:t>
      </w:r>
      <w:r>
        <w:rPr>
          <w:rFonts w:hint="eastAsia"/>
          <w:color w:val="000000" w:themeColor="text1"/>
          <w:sz w:val="21"/>
          <w:szCs w:val="21"/>
          <w:highlight w:val="none"/>
        </w:rPr>
        <w:t>谈判</w:t>
      </w:r>
      <w:r>
        <w:rPr>
          <w:rFonts w:hint="eastAsia" w:ascii="宋体" w:hAnsi="宋体"/>
          <w:color w:val="000000" w:themeColor="text1"/>
          <w:sz w:val="21"/>
          <w:szCs w:val="21"/>
          <w:highlight w:val="none"/>
        </w:rPr>
        <w:t>邀请书</w:t>
      </w:r>
      <w:bookmarkEnd w:id="0"/>
      <w:bookmarkEnd w:id="1"/>
      <w:bookmarkEnd w:id="2"/>
      <w:bookmarkEnd w:id="3"/>
      <w:bookmarkEnd w:id="4"/>
      <w:bookmarkEnd w:id="5"/>
      <w:bookmarkEnd w:id="6"/>
      <w:bookmarkEnd w:id="7"/>
      <w:bookmarkEnd w:id="8"/>
      <w:bookmarkEnd w:id="9"/>
    </w:p>
    <w:p>
      <w:pPr>
        <w:spacing w:line="360" w:lineRule="auto"/>
        <w:ind w:left="178" w:leftChars="85"/>
        <w:rPr>
          <w:rFonts w:ascii="宋体" w:hAnsi="宋体"/>
          <w:color w:val="000000" w:themeColor="text1"/>
          <w:szCs w:val="21"/>
          <w:highlight w:val="none"/>
        </w:rPr>
      </w:pPr>
      <w:r>
        <w:rPr>
          <w:rFonts w:hint="eastAsia" w:ascii="宋体" w:hAnsi="宋体"/>
          <w:color w:val="000000" w:themeColor="text1"/>
          <w:szCs w:val="21"/>
          <w:highlight w:val="none"/>
        </w:rPr>
        <w:t xml:space="preserve">    广东业信采购招标有限公司受</w:t>
      </w:r>
      <w:r>
        <w:rPr>
          <w:rFonts w:hint="eastAsia" w:ascii="宋体" w:hAnsi="宋体"/>
          <w:color w:val="000000" w:themeColor="text1"/>
          <w:szCs w:val="21"/>
          <w:highlight w:val="none"/>
          <w:u w:val="single"/>
          <w:lang w:eastAsia="zh-CN"/>
        </w:rPr>
        <w:t>中国共产党阳西县委员会组织部</w:t>
      </w:r>
      <w:r>
        <w:rPr>
          <w:rFonts w:hint="eastAsia" w:ascii="宋体" w:hAnsi="宋体"/>
          <w:color w:val="000000" w:themeColor="text1"/>
          <w:szCs w:val="21"/>
          <w:highlight w:val="none"/>
        </w:rPr>
        <w:t>的委托，拟对</w:t>
      </w:r>
      <w:r>
        <w:rPr>
          <w:rFonts w:hint="eastAsia" w:ascii="宋体" w:hAnsi="宋体"/>
          <w:color w:val="000000" w:themeColor="text1"/>
          <w:szCs w:val="21"/>
          <w:highlight w:val="none"/>
          <w:u w:val="single"/>
          <w:lang w:eastAsia="zh-CN"/>
        </w:rPr>
        <w:t>中共阳西县委组织部干部人事档案管理信息系统建设及档案整理数字化项目</w:t>
      </w:r>
      <w:r>
        <w:rPr>
          <w:rFonts w:hint="eastAsia" w:ascii="宋体" w:hAnsi="宋体"/>
          <w:color w:val="000000" w:themeColor="text1"/>
          <w:highlight w:val="none"/>
          <w:u w:val="single"/>
        </w:rPr>
        <w:t xml:space="preserve"> </w:t>
      </w:r>
      <w:r>
        <w:rPr>
          <w:rFonts w:hint="eastAsia" w:ascii="宋体" w:hAnsi="宋体"/>
          <w:color w:val="000000" w:themeColor="text1"/>
          <w:szCs w:val="21"/>
          <w:highlight w:val="none"/>
        </w:rPr>
        <w:t>进行单一来源采购，根据规定，拟定</w:t>
      </w:r>
      <w:r>
        <w:rPr>
          <w:rFonts w:hint="eastAsia" w:ascii="宋体" w:hAnsi="宋体"/>
          <w:color w:val="000000" w:themeColor="text1"/>
          <w:szCs w:val="21"/>
          <w:highlight w:val="none"/>
          <w:lang w:eastAsia="zh-CN"/>
        </w:rPr>
        <w:t>北京航星永志科技有限公司</w:t>
      </w:r>
      <w:r>
        <w:rPr>
          <w:rFonts w:hint="eastAsia" w:ascii="宋体" w:hAnsi="宋体"/>
          <w:color w:val="000000" w:themeColor="text1"/>
          <w:szCs w:val="21"/>
          <w:highlight w:val="none"/>
        </w:rPr>
        <w:t>作为单一来源供应商进行谈判。</w:t>
      </w:r>
      <w:r>
        <w:rPr>
          <w:rFonts w:hint="eastAsia" w:ascii="宋体" w:hAnsi="宋体"/>
          <w:color w:val="000000" w:themeColor="text1"/>
          <w:highlight w:val="none"/>
        </w:rPr>
        <w:t>有关事项如下：</w:t>
      </w:r>
      <w:r>
        <w:rPr>
          <w:rFonts w:hint="eastAsia" w:ascii="宋体" w:hAnsi="宋体"/>
          <w:color w:val="000000" w:themeColor="text1"/>
          <w:szCs w:val="21"/>
          <w:highlight w:val="none"/>
        </w:rPr>
        <w:t xml:space="preserve"> </w:t>
      </w:r>
    </w:p>
    <w:p>
      <w:pPr>
        <w:widowControl/>
        <w:numPr>
          <w:ilvl w:val="0"/>
          <w:numId w:val="5"/>
        </w:numPr>
        <w:tabs>
          <w:tab w:val="left" w:pos="502"/>
          <w:tab w:val="left" w:pos="737"/>
        </w:tabs>
        <w:adjustRightInd w:val="0"/>
        <w:snapToGrid w:val="0"/>
        <w:spacing w:line="360" w:lineRule="auto"/>
        <w:rPr>
          <w:rFonts w:ascii="宋体" w:hAnsi="宋体"/>
          <w:bCs/>
          <w:color w:val="000000" w:themeColor="text1"/>
          <w:szCs w:val="21"/>
          <w:highlight w:val="none"/>
        </w:rPr>
      </w:pPr>
      <w:r>
        <w:rPr>
          <w:rFonts w:hint="eastAsia" w:ascii="宋体" w:hAnsi="宋体" w:cs="Arial"/>
          <w:b/>
          <w:bCs/>
          <w:color w:val="000000" w:themeColor="text1"/>
          <w:highlight w:val="none"/>
        </w:rPr>
        <w:t>谈判</w:t>
      </w:r>
      <w:r>
        <w:rPr>
          <w:rFonts w:hint="eastAsia" w:ascii="宋体" w:hAnsi="宋体" w:cs="Tahoma"/>
          <w:b/>
          <w:bCs/>
          <w:color w:val="000000" w:themeColor="text1"/>
          <w:highlight w:val="none"/>
        </w:rPr>
        <w:t>项目的名称、用途、数量、简要技术要求或者</w:t>
      </w:r>
      <w:r>
        <w:rPr>
          <w:rFonts w:hint="eastAsia" w:ascii="宋体" w:hAnsi="宋体" w:cs="Arial"/>
          <w:b/>
          <w:bCs/>
          <w:color w:val="000000" w:themeColor="text1"/>
          <w:highlight w:val="none"/>
        </w:rPr>
        <w:t>谈判</w:t>
      </w:r>
      <w:r>
        <w:rPr>
          <w:rFonts w:hint="eastAsia" w:ascii="宋体" w:hAnsi="宋体" w:cs="Tahoma"/>
          <w:b/>
          <w:bCs/>
          <w:color w:val="000000" w:themeColor="text1"/>
          <w:highlight w:val="none"/>
        </w:rPr>
        <w:t>项目的性质</w:t>
      </w:r>
    </w:p>
    <w:p>
      <w:pPr>
        <w:widowControl/>
        <w:numPr>
          <w:ilvl w:val="0"/>
          <w:numId w:val="6"/>
        </w:numPr>
        <w:tabs>
          <w:tab w:val="left" w:pos="180"/>
          <w:tab w:val="clear" w:pos="420"/>
        </w:tabs>
        <w:adjustRightInd w:val="0"/>
        <w:snapToGrid w:val="0"/>
        <w:spacing w:line="360" w:lineRule="auto"/>
        <w:ind w:left="180" w:firstLine="360"/>
        <w:rPr>
          <w:rFonts w:ascii="宋体" w:hAnsi="宋体"/>
          <w:bCs/>
          <w:color w:val="000000" w:themeColor="text1"/>
          <w:szCs w:val="21"/>
          <w:highlight w:val="none"/>
        </w:rPr>
      </w:pPr>
      <w:r>
        <w:rPr>
          <w:rFonts w:hint="eastAsia" w:ascii="宋体" w:hAnsi="宋体"/>
          <w:bCs/>
          <w:color w:val="000000" w:themeColor="text1"/>
          <w:szCs w:val="21"/>
          <w:highlight w:val="none"/>
        </w:rPr>
        <w:t>谈判项目编号：</w:t>
      </w:r>
      <w:r>
        <w:rPr>
          <w:rFonts w:hint="eastAsia" w:ascii="宋体" w:hAnsi="宋体"/>
          <w:bCs/>
          <w:color w:val="000000" w:themeColor="text1"/>
          <w:szCs w:val="21"/>
          <w:highlight w:val="none"/>
          <w:lang w:eastAsia="zh-CN"/>
        </w:rPr>
        <w:t>YXCG-20220303</w:t>
      </w:r>
    </w:p>
    <w:p>
      <w:pPr>
        <w:widowControl/>
        <w:numPr>
          <w:ilvl w:val="0"/>
          <w:numId w:val="6"/>
        </w:numPr>
        <w:tabs>
          <w:tab w:val="left" w:pos="180"/>
          <w:tab w:val="clear" w:pos="420"/>
        </w:tabs>
        <w:adjustRightInd w:val="0"/>
        <w:snapToGrid w:val="0"/>
        <w:spacing w:line="360" w:lineRule="auto"/>
        <w:ind w:left="180" w:firstLine="360"/>
        <w:rPr>
          <w:rFonts w:ascii="宋体" w:hAnsi="宋体"/>
          <w:bCs/>
          <w:color w:val="000000" w:themeColor="text1"/>
          <w:szCs w:val="21"/>
          <w:highlight w:val="none"/>
        </w:rPr>
      </w:pPr>
      <w:r>
        <w:rPr>
          <w:rFonts w:hint="eastAsia" w:ascii="宋体" w:hAnsi="宋体"/>
          <w:bCs/>
          <w:color w:val="000000" w:themeColor="text1"/>
          <w:szCs w:val="21"/>
          <w:highlight w:val="none"/>
        </w:rPr>
        <w:t>谈判项目名称：</w:t>
      </w:r>
      <w:r>
        <w:rPr>
          <w:rFonts w:hint="eastAsia" w:ascii="宋体" w:hAnsi="宋体"/>
          <w:bCs/>
          <w:color w:val="000000" w:themeColor="text1"/>
          <w:szCs w:val="21"/>
          <w:highlight w:val="none"/>
          <w:lang w:eastAsia="zh-CN"/>
        </w:rPr>
        <w:t>中共阳西县委组织部干部人事档案管理信息系统建设及档案整理数字化项目</w:t>
      </w:r>
      <w:r>
        <w:rPr>
          <w:rFonts w:hint="eastAsia" w:ascii="宋体" w:hAnsi="宋体"/>
          <w:bCs/>
          <w:color w:val="000000" w:themeColor="text1"/>
          <w:szCs w:val="21"/>
          <w:highlight w:val="none"/>
        </w:rPr>
        <w:t xml:space="preserve"> </w:t>
      </w:r>
    </w:p>
    <w:p>
      <w:pPr>
        <w:widowControl/>
        <w:numPr>
          <w:ilvl w:val="0"/>
          <w:numId w:val="6"/>
        </w:numPr>
        <w:tabs>
          <w:tab w:val="left" w:pos="180"/>
          <w:tab w:val="clear" w:pos="420"/>
        </w:tabs>
        <w:adjustRightInd w:val="0"/>
        <w:snapToGrid w:val="0"/>
        <w:spacing w:line="360" w:lineRule="auto"/>
        <w:ind w:left="180" w:firstLine="360"/>
        <w:rPr>
          <w:rFonts w:ascii="宋体" w:hAnsi="宋体"/>
          <w:bCs/>
          <w:color w:val="000000" w:themeColor="text1"/>
          <w:szCs w:val="21"/>
          <w:highlight w:val="none"/>
        </w:rPr>
      </w:pPr>
      <w:r>
        <w:rPr>
          <w:rFonts w:hint="eastAsia" w:ascii="宋体" w:hAnsi="宋体"/>
          <w:bCs/>
          <w:color w:val="000000" w:themeColor="text1"/>
          <w:szCs w:val="21"/>
          <w:highlight w:val="none"/>
        </w:rPr>
        <w:t>采购预算：</w:t>
      </w:r>
      <w:r>
        <w:rPr>
          <w:rFonts w:hint="eastAsia" w:ascii="宋体" w:hAnsi="宋体" w:eastAsia="宋体" w:cs="宋体"/>
          <w:sz w:val="21"/>
          <w:szCs w:val="21"/>
          <w:lang w:val="en-US" w:eastAsia="zh-CN"/>
        </w:rPr>
        <w:t>人民币1524600.00元</w:t>
      </w:r>
      <w:r>
        <w:rPr>
          <w:rFonts w:hint="eastAsia" w:ascii="宋体" w:hAnsi="宋体"/>
          <w:bCs/>
          <w:color w:val="000000" w:themeColor="text1"/>
          <w:szCs w:val="21"/>
          <w:highlight w:val="none"/>
        </w:rPr>
        <w:t>（超出该上限的报价将作为无效报价处理）</w:t>
      </w:r>
    </w:p>
    <w:p>
      <w:pPr>
        <w:widowControl/>
        <w:numPr>
          <w:ilvl w:val="0"/>
          <w:numId w:val="6"/>
        </w:numPr>
        <w:tabs>
          <w:tab w:val="left" w:pos="180"/>
          <w:tab w:val="clear" w:pos="420"/>
        </w:tabs>
        <w:adjustRightInd w:val="0"/>
        <w:snapToGrid w:val="0"/>
        <w:spacing w:line="360" w:lineRule="auto"/>
        <w:ind w:left="180" w:firstLine="360"/>
        <w:rPr>
          <w:rFonts w:ascii="宋体" w:hAnsi="宋体"/>
          <w:bCs/>
          <w:color w:val="000000" w:themeColor="text1"/>
          <w:szCs w:val="21"/>
          <w:highlight w:val="none"/>
        </w:rPr>
      </w:pPr>
      <w:r>
        <w:rPr>
          <w:rFonts w:hint="eastAsia" w:ascii="宋体" w:hAnsi="宋体"/>
          <w:bCs/>
          <w:color w:val="000000" w:themeColor="text1"/>
          <w:szCs w:val="21"/>
          <w:highlight w:val="none"/>
        </w:rPr>
        <w:t>数  量：一项</w:t>
      </w:r>
    </w:p>
    <w:p>
      <w:pPr>
        <w:widowControl/>
        <w:numPr>
          <w:ilvl w:val="0"/>
          <w:numId w:val="6"/>
        </w:numPr>
        <w:tabs>
          <w:tab w:val="left" w:pos="180"/>
          <w:tab w:val="clear" w:pos="420"/>
        </w:tabs>
        <w:adjustRightInd w:val="0"/>
        <w:snapToGrid w:val="0"/>
        <w:spacing w:line="360" w:lineRule="auto"/>
        <w:ind w:left="180" w:firstLine="360"/>
        <w:rPr>
          <w:rFonts w:hint="eastAsia" w:ascii="宋体" w:hAnsi="宋体"/>
          <w:b/>
          <w:color w:val="000000" w:themeColor="text1"/>
          <w:szCs w:val="21"/>
          <w:highlight w:val="none"/>
          <w:lang w:eastAsia="zh-CN"/>
        </w:rPr>
      </w:pPr>
      <w:r>
        <w:rPr>
          <w:rFonts w:hint="eastAsia" w:ascii="宋体" w:hAnsi="宋体"/>
          <w:b/>
          <w:color w:val="000000" w:themeColor="text1"/>
          <w:szCs w:val="21"/>
          <w:highlight w:val="none"/>
          <w:lang w:eastAsia="zh-CN"/>
        </w:rPr>
        <w:t>完工期</w:t>
      </w:r>
      <w:r>
        <w:rPr>
          <w:rFonts w:hint="eastAsia" w:ascii="宋体" w:hAnsi="宋体"/>
          <w:b/>
          <w:color w:val="000000" w:themeColor="text1"/>
          <w:szCs w:val="21"/>
          <w:highlight w:val="none"/>
        </w:rPr>
        <w:t>：</w:t>
      </w:r>
    </w:p>
    <w:p>
      <w:pPr>
        <w:widowControl/>
        <w:numPr>
          <w:ilvl w:val="0"/>
          <w:numId w:val="0"/>
        </w:numPr>
        <w:tabs>
          <w:tab w:val="left" w:pos="180"/>
        </w:tabs>
        <w:adjustRightInd w:val="0"/>
        <w:snapToGrid w:val="0"/>
        <w:spacing w:line="360" w:lineRule="auto"/>
        <w:ind w:left="540" w:leftChars="0"/>
        <w:rPr>
          <w:rFonts w:hint="eastAsia" w:ascii="宋体" w:hAnsi="宋体"/>
          <w:b w:val="0"/>
          <w:bCs/>
          <w:color w:val="000000" w:themeColor="text1"/>
          <w:szCs w:val="21"/>
          <w:highlight w:val="none"/>
          <w:lang w:eastAsia="zh-CN"/>
        </w:rPr>
      </w:pPr>
      <w:r>
        <w:rPr>
          <w:rFonts w:hint="eastAsia" w:ascii="宋体" w:hAnsi="宋体"/>
          <w:b w:val="0"/>
          <w:bCs/>
          <w:color w:val="000000" w:themeColor="text1"/>
          <w:szCs w:val="21"/>
          <w:highlight w:val="none"/>
          <w:lang w:val="en-US" w:eastAsia="zh-CN"/>
        </w:rPr>
        <w:t>1）</w:t>
      </w:r>
      <w:r>
        <w:rPr>
          <w:rFonts w:hint="eastAsia" w:ascii="宋体" w:hAnsi="宋体"/>
          <w:b w:val="0"/>
          <w:bCs/>
          <w:color w:val="000000" w:themeColor="text1"/>
          <w:szCs w:val="21"/>
          <w:highlight w:val="none"/>
        </w:rPr>
        <w:t>自合同签订之日起15个月内</w:t>
      </w:r>
      <w:r>
        <w:rPr>
          <w:rFonts w:hint="eastAsia" w:ascii="宋体" w:hAnsi="宋体"/>
          <w:b w:val="0"/>
          <w:bCs/>
          <w:color w:val="000000" w:themeColor="text1"/>
          <w:szCs w:val="21"/>
          <w:highlight w:val="none"/>
          <w:lang w:eastAsia="zh-CN"/>
        </w:rPr>
        <w:t>。</w:t>
      </w:r>
    </w:p>
    <w:p>
      <w:pPr>
        <w:widowControl/>
        <w:numPr>
          <w:ilvl w:val="0"/>
          <w:numId w:val="0"/>
        </w:numPr>
        <w:tabs>
          <w:tab w:val="left" w:pos="180"/>
        </w:tabs>
        <w:adjustRightInd w:val="0"/>
        <w:snapToGrid w:val="0"/>
        <w:spacing w:line="360" w:lineRule="auto"/>
        <w:ind w:left="540" w:leftChars="0"/>
        <w:rPr>
          <w:rFonts w:hint="eastAsia" w:ascii="宋体" w:hAnsi="宋体"/>
          <w:b w:val="0"/>
          <w:bCs/>
          <w:color w:val="000000" w:themeColor="text1"/>
          <w:szCs w:val="21"/>
          <w:highlight w:val="none"/>
          <w:lang w:val="en-US" w:eastAsia="zh-CN"/>
        </w:rPr>
      </w:pPr>
      <w:r>
        <w:rPr>
          <w:rFonts w:hint="eastAsia" w:ascii="宋体" w:hAnsi="宋体"/>
          <w:b w:val="0"/>
          <w:bCs/>
          <w:color w:val="000000" w:themeColor="text1"/>
          <w:szCs w:val="21"/>
          <w:highlight w:val="none"/>
          <w:lang w:val="en-US" w:eastAsia="zh-CN"/>
        </w:rPr>
        <w:t>2）签订合同后15个月内完成项目系统建设设备的供货、安装、调试和验收，并交付给采购人使用。</w:t>
      </w:r>
    </w:p>
    <w:p>
      <w:pPr>
        <w:widowControl/>
        <w:numPr>
          <w:ilvl w:val="0"/>
          <w:numId w:val="0"/>
        </w:numPr>
        <w:tabs>
          <w:tab w:val="left" w:pos="180"/>
        </w:tabs>
        <w:adjustRightInd w:val="0"/>
        <w:snapToGrid w:val="0"/>
        <w:spacing w:line="360" w:lineRule="auto"/>
        <w:ind w:left="540" w:leftChars="0"/>
        <w:rPr>
          <w:rFonts w:ascii="宋体" w:hAnsi="宋体"/>
          <w:b w:val="0"/>
          <w:bCs/>
          <w:color w:val="000000" w:themeColor="text1"/>
          <w:szCs w:val="21"/>
          <w:highlight w:val="none"/>
        </w:rPr>
      </w:pPr>
      <w:r>
        <w:rPr>
          <w:rFonts w:hint="eastAsia" w:ascii="宋体" w:hAnsi="宋体"/>
          <w:b w:val="0"/>
          <w:bCs/>
          <w:color w:val="000000" w:themeColor="text1"/>
          <w:highlight w:val="none"/>
        </w:rPr>
        <w:t>（</w:t>
      </w:r>
      <w:r>
        <w:rPr>
          <w:rFonts w:hint="eastAsia" w:hAnsi="宋体"/>
          <w:b w:val="0"/>
          <w:bCs/>
          <w:color w:val="000000" w:themeColor="text1"/>
          <w:szCs w:val="21"/>
          <w:highlight w:val="none"/>
          <w:lang w:val="en-US" w:eastAsia="zh-CN"/>
        </w:rPr>
        <w:t>少于</w:t>
      </w:r>
      <w:r>
        <w:rPr>
          <w:rFonts w:hint="eastAsia" w:ascii="宋体" w:hAnsi="宋体"/>
          <w:b w:val="0"/>
          <w:bCs/>
          <w:color w:val="000000" w:themeColor="text1"/>
          <w:highlight w:val="none"/>
        </w:rPr>
        <w:t>该</w:t>
      </w:r>
      <w:r>
        <w:rPr>
          <w:rFonts w:hint="eastAsia" w:ascii="宋体" w:hAnsi="宋体"/>
          <w:b w:val="0"/>
          <w:bCs/>
          <w:color w:val="000000" w:themeColor="text1"/>
          <w:highlight w:val="none"/>
          <w:lang w:eastAsia="zh-CN"/>
        </w:rPr>
        <w:t>完工期</w:t>
      </w:r>
      <w:r>
        <w:rPr>
          <w:rFonts w:hint="eastAsia" w:ascii="宋体" w:hAnsi="宋体"/>
          <w:b w:val="0"/>
          <w:bCs/>
          <w:color w:val="000000" w:themeColor="text1"/>
          <w:highlight w:val="none"/>
        </w:rPr>
        <w:t>将作为无效投标处理）</w:t>
      </w:r>
    </w:p>
    <w:p>
      <w:pPr>
        <w:numPr>
          <w:ilvl w:val="0"/>
          <w:numId w:val="6"/>
        </w:numPr>
        <w:adjustRightInd w:val="0"/>
        <w:snapToGrid w:val="0"/>
        <w:spacing w:line="360" w:lineRule="auto"/>
        <w:ind w:firstLine="120"/>
        <w:rPr>
          <w:rFonts w:ascii="宋体" w:hAnsi="宋体" w:cs="Tahoma"/>
          <w:iCs/>
          <w:color w:val="000000" w:themeColor="text1"/>
          <w:kern w:val="28"/>
          <w:highlight w:val="none"/>
        </w:rPr>
      </w:pPr>
      <w:r>
        <w:rPr>
          <w:rFonts w:hint="eastAsia" w:ascii="宋体" w:hAnsi="宋体" w:cs="Tahoma"/>
          <w:iCs/>
          <w:color w:val="000000" w:themeColor="text1"/>
          <w:kern w:val="28"/>
          <w:highlight w:val="none"/>
        </w:rPr>
        <w:t>谈判项目的性质：单一来源</w:t>
      </w:r>
    </w:p>
    <w:p>
      <w:pPr>
        <w:widowControl/>
        <w:numPr>
          <w:ilvl w:val="0"/>
          <w:numId w:val="5"/>
        </w:numPr>
        <w:tabs>
          <w:tab w:val="left" w:pos="502"/>
          <w:tab w:val="left" w:pos="737"/>
        </w:tabs>
        <w:adjustRightInd w:val="0"/>
        <w:snapToGrid w:val="0"/>
        <w:spacing w:line="360" w:lineRule="auto"/>
        <w:rPr>
          <w:rFonts w:ascii="Tahoma" w:hAnsi="Tahoma" w:cs="Tahoma"/>
          <w:b/>
          <w:bCs/>
          <w:color w:val="000000" w:themeColor="text1"/>
          <w:szCs w:val="21"/>
          <w:highlight w:val="none"/>
        </w:rPr>
      </w:pPr>
      <w:r>
        <w:rPr>
          <w:rFonts w:hint="eastAsia" w:ascii="宋体" w:hAnsi="宋体" w:cs="Tahoma"/>
          <w:b/>
          <w:color w:val="000000" w:themeColor="text1"/>
          <w:szCs w:val="21"/>
          <w:highlight w:val="none"/>
        </w:rPr>
        <w:t>投标人</w:t>
      </w:r>
      <w:r>
        <w:rPr>
          <w:rFonts w:hint="eastAsia" w:ascii="Tahoma" w:hAnsi="Tahoma" w:cs="Tahoma"/>
          <w:b/>
          <w:color w:val="000000" w:themeColor="text1"/>
          <w:szCs w:val="21"/>
          <w:highlight w:val="none"/>
        </w:rPr>
        <w:t>资格</w:t>
      </w:r>
      <w:r>
        <w:rPr>
          <w:rFonts w:hint="eastAsia" w:ascii="Tahoma" w:hAnsi="Tahoma" w:cs="Tahoma"/>
          <w:b/>
          <w:bCs/>
          <w:color w:val="000000" w:themeColor="text1"/>
          <w:szCs w:val="21"/>
          <w:highlight w:val="none"/>
        </w:rPr>
        <w:t>要求</w:t>
      </w:r>
    </w:p>
    <w:p>
      <w:pPr>
        <w:pStyle w:val="86"/>
        <w:autoSpaceDE w:val="0"/>
        <w:autoSpaceDN w:val="0"/>
        <w:spacing w:line="360" w:lineRule="auto"/>
        <w:ind w:firstLine="529" w:firstLineChars="252"/>
        <w:rPr>
          <w:rFonts w:ascii="宋体" w:hAnsi="宋体"/>
          <w:color w:val="000000" w:themeColor="text1"/>
          <w:szCs w:val="21"/>
          <w:highlight w:val="none"/>
        </w:rPr>
      </w:pPr>
      <w:r>
        <w:rPr>
          <w:rFonts w:hint="eastAsia" w:ascii="宋体" w:hAnsi="宋体" w:cs="Tahoma"/>
          <w:bCs/>
          <w:color w:val="000000" w:themeColor="text1"/>
          <w:szCs w:val="21"/>
          <w:highlight w:val="none"/>
        </w:rPr>
        <w:t>1.投</w:t>
      </w:r>
      <w:r>
        <w:rPr>
          <w:rFonts w:hint="eastAsia" w:ascii="宋体" w:hAnsi="宋体"/>
          <w:color w:val="000000" w:themeColor="text1"/>
          <w:szCs w:val="21"/>
          <w:highlight w:val="none"/>
        </w:rPr>
        <w:t>投标人应具备《中华人民共和国政府采购法》第二十二条规定的条件：</w:t>
      </w:r>
    </w:p>
    <w:p>
      <w:pPr>
        <w:widowControl/>
        <w:tabs>
          <w:tab w:val="left" w:pos="525"/>
        </w:tabs>
        <w:adjustRightInd w:val="0"/>
        <w:snapToGrid w:val="0"/>
        <w:spacing w:line="360" w:lineRule="auto"/>
        <w:ind w:left="630" w:leftChars="300"/>
        <w:jc w:val="left"/>
        <w:rPr>
          <w:rFonts w:ascii="宋体" w:hAnsi="宋体"/>
          <w:color w:val="000000" w:themeColor="text1"/>
          <w:szCs w:val="21"/>
          <w:highlight w:val="none"/>
        </w:rPr>
      </w:pPr>
      <w:r>
        <w:rPr>
          <w:rFonts w:ascii="宋体" w:hAnsi="宋体"/>
          <w:color w:val="000000" w:themeColor="text1"/>
          <w:szCs w:val="21"/>
          <w:highlight w:val="none"/>
        </w:rPr>
        <w:t>1）具有独立承担民事责任的能力；</w:t>
      </w:r>
      <w:r>
        <w:rPr>
          <w:rFonts w:ascii="宋体" w:hAnsi="宋体"/>
          <w:color w:val="000000" w:themeColor="text1"/>
          <w:szCs w:val="21"/>
          <w:highlight w:val="none"/>
        </w:rPr>
        <w:br w:type="textWrapping"/>
      </w:r>
      <w:r>
        <w:rPr>
          <w:rFonts w:ascii="宋体" w:hAnsi="宋体"/>
          <w:color w:val="000000" w:themeColor="text1"/>
          <w:szCs w:val="21"/>
          <w:highlight w:val="none"/>
        </w:rPr>
        <w:t>2）具有良好的商业信誉和健全的财务会计制度；</w:t>
      </w:r>
      <w:r>
        <w:rPr>
          <w:rFonts w:ascii="宋体" w:hAnsi="宋体"/>
          <w:color w:val="000000" w:themeColor="text1"/>
          <w:szCs w:val="21"/>
          <w:highlight w:val="none"/>
        </w:rPr>
        <w:br w:type="textWrapping"/>
      </w:r>
      <w:r>
        <w:rPr>
          <w:rFonts w:ascii="宋体" w:hAnsi="宋体"/>
          <w:color w:val="000000" w:themeColor="text1"/>
          <w:szCs w:val="21"/>
          <w:highlight w:val="none"/>
        </w:rPr>
        <w:t>3）具有履行合同所必需的设备和专业技术能力；</w:t>
      </w:r>
      <w:r>
        <w:rPr>
          <w:rFonts w:ascii="宋体" w:hAnsi="宋体"/>
          <w:color w:val="000000" w:themeColor="text1"/>
          <w:szCs w:val="21"/>
          <w:highlight w:val="none"/>
        </w:rPr>
        <w:br w:type="textWrapping"/>
      </w:r>
      <w:r>
        <w:rPr>
          <w:rFonts w:ascii="宋体" w:hAnsi="宋体"/>
          <w:color w:val="000000" w:themeColor="text1"/>
          <w:szCs w:val="21"/>
          <w:highlight w:val="none"/>
        </w:rPr>
        <w:t>4）有依法缴纳税收和社会保障资金的良好记录；</w:t>
      </w:r>
      <w:r>
        <w:rPr>
          <w:rFonts w:ascii="宋体" w:hAnsi="宋体"/>
          <w:color w:val="000000" w:themeColor="text1"/>
          <w:szCs w:val="21"/>
          <w:highlight w:val="none"/>
        </w:rPr>
        <w:br w:type="textWrapping"/>
      </w:r>
      <w:r>
        <w:rPr>
          <w:rFonts w:ascii="宋体" w:hAnsi="宋体"/>
          <w:color w:val="000000" w:themeColor="text1"/>
          <w:szCs w:val="21"/>
          <w:highlight w:val="none"/>
        </w:rPr>
        <w:t>5）参加政府采购活动前三年内，在经营活动中没有重大违法记录；</w:t>
      </w:r>
      <w:r>
        <w:rPr>
          <w:rFonts w:ascii="宋体" w:hAnsi="宋体"/>
          <w:color w:val="000000" w:themeColor="text1"/>
          <w:szCs w:val="21"/>
          <w:highlight w:val="none"/>
        </w:rPr>
        <w:br w:type="textWrapping"/>
      </w:r>
      <w:r>
        <w:rPr>
          <w:rFonts w:ascii="宋体" w:hAnsi="宋体"/>
          <w:color w:val="000000" w:themeColor="text1"/>
          <w:szCs w:val="21"/>
          <w:highlight w:val="none"/>
        </w:rPr>
        <w:t>6）法律、</w:t>
      </w:r>
      <w:r>
        <w:rPr>
          <w:rFonts w:hint="eastAsia" w:ascii="宋体" w:hAnsi="宋体"/>
          <w:color w:val="000000" w:themeColor="text1"/>
          <w:szCs w:val="21"/>
          <w:highlight w:val="none"/>
        </w:rPr>
        <w:t>行政</w:t>
      </w:r>
      <w:r>
        <w:rPr>
          <w:rFonts w:ascii="宋体" w:hAnsi="宋体"/>
          <w:color w:val="000000" w:themeColor="text1"/>
          <w:szCs w:val="21"/>
          <w:highlight w:val="none"/>
        </w:rPr>
        <w:t>法规规定的其他条件。</w:t>
      </w:r>
    </w:p>
    <w:p>
      <w:pPr>
        <w:pStyle w:val="86"/>
        <w:autoSpaceDE w:val="0"/>
        <w:autoSpaceDN w:val="0"/>
        <w:spacing w:line="360" w:lineRule="auto"/>
        <w:ind w:left="723" w:leftChars="250" w:hanging="198" w:hangingChars="100"/>
        <w:rPr>
          <w:rFonts w:hint="eastAsia" w:ascii="宋体" w:hAnsi="宋体"/>
          <w:color w:val="000000" w:themeColor="text1"/>
          <w:spacing w:val="-6"/>
          <w:szCs w:val="21"/>
          <w:highlight w:val="none"/>
          <w:lang w:val="en-US" w:eastAsia="zh-CN"/>
        </w:rPr>
      </w:pPr>
      <w:r>
        <w:rPr>
          <w:rFonts w:hint="eastAsia" w:ascii="宋体" w:hAnsi="宋体"/>
          <w:color w:val="000000" w:themeColor="text1"/>
          <w:spacing w:val="-6"/>
          <w:szCs w:val="21"/>
          <w:highlight w:val="none"/>
        </w:rPr>
        <w:t>2.</w:t>
      </w:r>
      <w:r>
        <w:rPr>
          <w:rFonts w:hint="eastAsia" w:ascii="宋体" w:hAnsi="宋体"/>
          <w:color w:val="000000" w:themeColor="text1"/>
          <w:spacing w:val="-6"/>
          <w:szCs w:val="21"/>
          <w:highlight w:val="none"/>
          <w:lang w:val="en-US" w:eastAsia="zh-CN"/>
        </w:rPr>
        <w:t>投标人未被“信用中国”网站（www.creditchina.gov.cn ）列入失信被执行人和重大税收违法案件当事人名单和“中国政府采购网”网站（www.ccgp.gov.cn ）未被列入政府采购严重违法失信行为记录名单。</w:t>
      </w:r>
    </w:p>
    <w:p>
      <w:pPr>
        <w:pStyle w:val="86"/>
        <w:autoSpaceDE w:val="0"/>
        <w:autoSpaceDN w:val="0"/>
        <w:spacing w:line="360" w:lineRule="auto"/>
        <w:ind w:left="735" w:leftChars="250" w:hanging="210" w:hangingChars="100"/>
        <w:rPr>
          <w:rFonts w:ascii="宋体" w:hAnsi="宋体"/>
          <w:color w:val="000000" w:themeColor="text1"/>
          <w:szCs w:val="21"/>
          <w:highlight w:val="none"/>
        </w:rPr>
      </w:pPr>
      <w:r>
        <w:rPr>
          <w:rFonts w:hint="eastAsia" w:ascii="宋体" w:hAnsi="宋体"/>
          <w:color w:val="000000" w:themeColor="text1"/>
          <w:szCs w:val="21"/>
          <w:highlight w:val="none"/>
          <w:lang w:val="en-US" w:eastAsia="zh-CN"/>
        </w:rPr>
        <w:t>3</w:t>
      </w:r>
      <w:r>
        <w:rPr>
          <w:rFonts w:hint="eastAsia" w:ascii="宋体" w:hAnsi="宋体"/>
          <w:color w:val="000000" w:themeColor="text1"/>
          <w:szCs w:val="21"/>
          <w:highlight w:val="none"/>
        </w:rPr>
        <w:t>.本项目不接受联合体投标；</w:t>
      </w:r>
    </w:p>
    <w:p>
      <w:pPr>
        <w:spacing w:line="360" w:lineRule="auto"/>
        <w:ind w:left="317" w:leftChars="151" w:firstLine="210" w:firstLineChars="100"/>
        <w:rPr>
          <w:rFonts w:ascii="宋体" w:hAnsi="宋体" w:cs="Adobe 仿宋 Std R"/>
          <w:color w:val="000000" w:themeColor="text1"/>
          <w:szCs w:val="21"/>
          <w:highlight w:val="none"/>
        </w:rPr>
      </w:pPr>
      <w:r>
        <w:rPr>
          <w:rFonts w:hint="eastAsia" w:ascii="宋体" w:hAnsi="宋体" w:cs="Tahoma"/>
          <w:bCs/>
          <w:color w:val="000000" w:themeColor="text1"/>
          <w:szCs w:val="21"/>
          <w:highlight w:val="none"/>
          <w:lang w:val="en-US" w:eastAsia="zh-CN"/>
        </w:rPr>
        <w:t>4</w:t>
      </w:r>
      <w:r>
        <w:rPr>
          <w:rFonts w:hint="eastAsia" w:ascii="宋体" w:hAnsi="宋体" w:cs="Tahoma"/>
          <w:bCs/>
          <w:color w:val="000000" w:themeColor="text1"/>
          <w:szCs w:val="21"/>
          <w:highlight w:val="none"/>
        </w:rPr>
        <w:t>.</w:t>
      </w:r>
      <w:r>
        <w:rPr>
          <w:rFonts w:hint="eastAsia" w:ascii="宋体" w:hAnsi="宋体"/>
          <w:color w:val="000000" w:themeColor="text1"/>
          <w:szCs w:val="21"/>
          <w:highlight w:val="none"/>
        </w:rPr>
        <w:t>投标人</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在招标代理机构登记并购买谈判文件</w:t>
      </w:r>
      <w:r>
        <w:rPr>
          <w:rFonts w:hint="eastAsia" w:ascii="宋体" w:hAnsi="宋体"/>
          <w:color w:val="000000" w:themeColor="text1"/>
          <w:szCs w:val="21"/>
          <w:highlight w:val="none"/>
        </w:rPr>
        <w:t>。</w:t>
      </w:r>
    </w:p>
    <w:p>
      <w:pPr>
        <w:widowControl/>
        <w:numPr>
          <w:ilvl w:val="0"/>
          <w:numId w:val="5"/>
        </w:numPr>
        <w:tabs>
          <w:tab w:val="left" w:pos="502"/>
          <w:tab w:val="left" w:pos="737"/>
        </w:tabs>
        <w:adjustRightInd w:val="0"/>
        <w:snapToGrid w:val="0"/>
        <w:spacing w:line="360" w:lineRule="auto"/>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获取谈判文件的时间、地点、方式及谈判文件售价</w:t>
      </w:r>
    </w:p>
    <w:p>
      <w:pPr>
        <w:spacing w:line="360" w:lineRule="auto"/>
        <w:ind w:firstLine="630" w:firstLineChars="300"/>
        <w:rPr>
          <w:rFonts w:ascii="宋体" w:hAnsi="宋体" w:cs="宋体"/>
          <w:color w:val="000000" w:themeColor="text1"/>
          <w:szCs w:val="21"/>
          <w:highlight w:val="none"/>
        </w:rPr>
      </w:pPr>
      <w:r>
        <w:rPr>
          <w:rFonts w:hint="eastAsia" w:ascii="宋体" w:hAnsi="宋体" w:cs="宋体"/>
          <w:color w:val="000000" w:themeColor="text1"/>
          <w:szCs w:val="21"/>
          <w:highlight w:val="none"/>
        </w:rPr>
        <w:t>1.谈判文件公示时间：</w:t>
      </w:r>
      <w:r>
        <w:rPr>
          <w:rFonts w:hint="eastAsia" w:ascii="宋体" w:hAnsi="宋体" w:cs="宋体"/>
          <w:color w:val="000000" w:themeColor="text1"/>
          <w:szCs w:val="21"/>
          <w:highlight w:val="none"/>
          <w:lang w:val="en-US" w:eastAsia="zh-CN"/>
        </w:rPr>
        <w:t>2022</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3</w:t>
      </w:r>
      <w:r>
        <w:rPr>
          <w:rFonts w:hint="eastAsia" w:ascii="宋体" w:hAnsi="宋体" w:cs="宋体"/>
          <w:color w:val="000000" w:themeColor="text1"/>
          <w:szCs w:val="21"/>
          <w:highlight w:val="none"/>
        </w:rPr>
        <w:t>月</w:t>
      </w:r>
      <w:r>
        <w:rPr>
          <w:rFonts w:hint="eastAsia" w:ascii="宋体" w:hAnsi="宋体" w:cs="宋体"/>
          <w:color w:val="000000" w:themeColor="text1"/>
          <w:szCs w:val="21"/>
          <w:highlight w:val="none"/>
          <w:lang w:val="en-US" w:eastAsia="zh-CN"/>
        </w:rPr>
        <w:t>10</w:t>
      </w:r>
      <w:r>
        <w:rPr>
          <w:rFonts w:hint="eastAsia" w:ascii="宋体" w:hAnsi="宋体" w:cs="宋体"/>
          <w:color w:val="000000" w:themeColor="text1"/>
          <w:szCs w:val="21"/>
          <w:highlight w:val="none"/>
        </w:rPr>
        <w:t>至</w:t>
      </w:r>
      <w:r>
        <w:rPr>
          <w:rFonts w:hint="eastAsia" w:ascii="宋体" w:hAnsi="宋体" w:cs="宋体"/>
          <w:color w:val="000000" w:themeColor="text1"/>
          <w:szCs w:val="21"/>
          <w:highlight w:val="none"/>
          <w:lang w:val="en-US" w:eastAsia="zh-CN"/>
        </w:rPr>
        <w:t xml:space="preserve"> 2022</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3</w:t>
      </w:r>
      <w:r>
        <w:rPr>
          <w:rFonts w:hint="eastAsia" w:ascii="宋体" w:hAnsi="宋体" w:cs="宋体"/>
          <w:color w:val="000000" w:themeColor="text1"/>
          <w:szCs w:val="21"/>
          <w:highlight w:val="none"/>
        </w:rPr>
        <w:t>月</w:t>
      </w:r>
      <w:r>
        <w:rPr>
          <w:rFonts w:hint="eastAsia" w:ascii="宋体" w:hAnsi="宋体" w:cs="宋体"/>
          <w:color w:val="000000" w:themeColor="text1"/>
          <w:szCs w:val="21"/>
          <w:highlight w:val="none"/>
          <w:lang w:val="en-US" w:eastAsia="zh-CN"/>
        </w:rPr>
        <w:t>17</w:t>
      </w:r>
      <w:r>
        <w:rPr>
          <w:rFonts w:hint="eastAsia" w:ascii="宋体" w:hAnsi="宋体" w:cs="宋体"/>
          <w:color w:val="000000" w:themeColor="text1"/>
          <w:szCs w:val="21"/>
          <w:highlight w:val="none"/>
        </w:rPr>
        <w:t>日。</w:t>
      </w:r>
    </w:p>
    <w:p>
      <w:pPr>
        <w:spacing w:line="360" w:lineRule="auto"/>
        <w:ind w:left="630" w:leftChars="300"/>
        <w:rPr>
          <w:rFonts w:ascii="宋体" w:hAnsi="宋体" w:cs="宋体"/>
          <w:color w:val="000000" w:themeColor="text1"/>
          <w:szCs w:val="21"/>
          <w:highlight w:val="none"/>
        </w:rPr>
      </w:pPr>
      <w:r>
        <w:rPr>
          <w:rFonts w:hint="eastAsia" w:ascii="宋体" w:hAnsi="宋体" w:cs="宋体"/>
          <w:color w:val="000000" w:themeColor="text1"/>
          <w:szCs w:val="21"/>
          <w:highlight w:val="none"/>
        </w:rPr>
        <w:t>2．获取谈判文件时间及下载：</w:t>
      </w:r>
      <w:r>
        <w:rPr>
          <w:rFonts w:hint="eastAsia" w:ascii="宋体" w:hAnsi="宋体" w:cs="宋体"/>
          <w:color w:val="000000" w:themeColor="text1"/>
          <w:szCs w:val="21"/>
          <w:highlight w:val="none"/>
          <w:lang w:val="en-US" w:eastAsia="zh-CN"/>
        </w:rPr>
        <w:t>2022</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3</w:t>
      </w:r>
      <w:r>
        <w:rPr>
          <w:rFonts w:hint="eastAsia" w:ascii="宋体" w:hAnsi="宋体" w:cs="宋体"/>
          <w:color w:val="000000" w:themeColor="text1"/>
          <w:szCs w:val="21"/>
          <w:highlight w:val="none"/>
        </w:rPr>
        <w:t>月</w:t>
      </w:r>
      <w:r>
        <w:rPr>
          <w:rFonts w:hint="eastAsia" w:ascii="宋体" w:hAnsi="宋体" w:cs="宋体"/>
          <w:color w:val="000000" w:themeColor="text1"/>
          <w:szCs w:val="21"/>
          <w:highlight w:val="none"/>
          <w:lang w:val="en-US" w:eastAsia="zh-CN"/>
        </w:rPr>
        <w:t>10</w:t>
      </w:r>
      <w:r>
        <w:rPr>
          <w:rFonts w:hint="eastAsia" w:ascii="宋体" w:hAnsi="宋体" w:cs="宋体"/>
          <w:color w:val="000000" w:themeColor="text1"/>
          <w:szCs w:val="21"/>
          <w:highlight w:val="none"/>
        </w:rPr>
        <w:t>至</w:t>
      </w:r>
      <w:r>
        <w:rPr>
          <w:rFonts w:hint="eastAsia" w:ascii="宋体" w:hAnsi="宋体" w:cs="宋体"/>
          <w:color w:val="000000" w:themeColor="text1"/>
          <w:szCs w:val="21"/>
          <w:highlight w:val="none"/>
          <w:lang w:val="en-US" w:eastAsia="zh-CN"/>
        </w:rPr>
        <w:t xml:space="preserve"> 2022</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3</w:t>
      </w:r>
      <w:r>
        <w:rPr>
          <w:rFonts w:hint="eastAsia" w:ascii="宋体" w:hAnsi="宋体" w:cs="宋体"/>
          <w:color w:val="000000" w:themeColor="text1"/>
          <w:szCs w:val="21"/>
          <w:highlight w:val="none"/>
        </w:rPr>
        <w:t>月</w:t>
      </w:r>
      <w:r>
        <w:rPr>
          <w:rFonts w:hint="eastAsia" w:ascii="宋体" w:hAnsi="宋体" w:cs="宋体"/>
          <w:color w:val="000000" w:themeColor="text1"/>
          <w:szCs w:val="21"/>
          <w:highlight w:val="none"/>
          <w:lang w:val="en-US" w:eastAsia="zh-CN"/>
        </w:rPr>
        <w:t>17</w:t>
      </w:r>
      <w:r>
        <w:rPr>
          <w:rFonts w:hint="eastAsia" w:ascii="宋体" w:hAnsi="宋体" w:cs="宋体"/>
          <w:color w:val="000000" w:themeColor="text1"/>
          <w:szCs w:val="21"/>
          <w:highlight w:val="none"/>
        </w:rPr>
        <w:t>日，</w:t>
      </w:r>
      <w:r>
        <w:rPr>
          <w:rFonts w:hint="eastAsia" w:ascii="宋体" w:hAnsi="宋体" w:cs="宋体"/>
          <w:bCs/>
          <w:color w:val="000000" w:themeColor="text1"/>
          <w:highlight w:val="none"/>
        </w:rPr>
        <w:t>上午9:00～12:00，下午2:30～5:30</w:t>
      </w:r>
      <w:r>
        <w:rPr>
          <w:rFonts w:hint="eastAsia" w:ascii="宋体" w:hAnsi="宋体" w:cs="宋体"/>
          <w:color w:val="000000" w:themeColor="text1"/>
          <w:szCs w:val="21"/>
          <w:highlight w:val="none"/>
        </w:rPr>
        <w:t>（节假日除外）（北京时间）。</w:t>
      </w:r>
    </w:p>
    <w:p>
      <w:pPr>
        <w:spacing w:line="360" w:lineRule="auto"/>
        <w:ind w:left="318" w:firstLine="315" w:firstLineChars="150"/>
        <w:rPr>
          <w:rFonts w:ascii="宋体" w:hAnsi="宋体" w:cs="宋体"/>
          <w:color w:val="000000" w:themeColor="text1"/>
          <w:szCs w:val="21"/>
          <w:highlight w:val="none"/>
        </w:rPr>
      </w:pPr>
      <w:r>
        <w:rPr>
          <w:rFonts w:hint="eastAsia" w:ascii="宋体" w:hAnsi="宋体" w:cs="宋体"/>
          <w:color w:val="000000" w:themeColor="text1"/>
          <w:szCs w:val="21"/>
          <w:highlight w:val="none"/>
        </w:rPr>
        <w:t>3．获取谈判文件地点：阳江市江城区猫山四街33号A座2楼</w:t>
      </w: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05室。</w:t>
      </w:r>
    </w:p>
    <w:p>
      <w:pPr>
        <w:spacing w:line="360" w:lineRule="auto"/>
        <w:ind w:left="318" w:firstLine="210" w:firstLineChars="100"/>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 4．获取谈判文件方式：</w:t>
      </w:r>
      <w:r>
        <w:rPr>
          <w:rFonts w:hint="eastAsia" w:ascii="宋体" w:hAnsi="宋体"/>
          <w:bCs/>
          <w:color w:val="000000" w:themeColor="text1"/>
          <w:highlight w:val="none"/>
          <w:lang w:val="en-US" w:eastAsia="zh-CN"/>
        </w:rPr>
        <w:t>购买。</w:t>
      </w:r>
    </w:p>
    <w:p>
      <w:pPr>
        <w:spacing w:line="360" w:lineRule="auto"/>
        <w:ind w:left="318" w:firstLine="315" w:firstLineChars="150"/>
        <w:rPr>
          <w:rFonts w:ascii="宋体" w:hAnsi="宋体" w:cs="宋体"/>
          <w:color w:val="000000" w:themeColor="text1"/>
          <w:szCs w:val="21"/>
          <w:highlight w:val="none"/>
        </w:rPr>
      </w:pPr>
      <w:r>
        <w:rPr>
          <w:rFonts w:hint="eastAsia" w:ascii="宋体" w:hAnsi="宋体" w:cs="宋体"/>
          <w:color w:val="000000" w:themeColor="text1"/>
          <w:szCs w:val="21"/>
          <w:highlight w:val="none"/>
        </w:rPr>
        <w:t>5．谈判文件售价：谈判文件每套人民币300元，售后不退。</w:t>
      </w:r>
    </w:p>
    <w:p>
      <w:pPr>
        <w:spacing w:line="360" w:lineRule="auto"/>
        <w:ind w:left="283" w:leftChars="-1" w:hanging="285" w:hangingChars="136"/>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      6．购买谈判文件方式：现场发售。</w:t>
      </w:r>
    </w:p>
    <w:p>
      <w:pPr>
        <w:spacing w:line="360" w:lineRule="auto"/>
        <w:ind w:left="737" w:leftChars="251" w:hanging="210" w:hangingChars="100"/>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 7．购买谈判文件必须携带法定代表人证明书原件、法定代表人授权委托书原件、法定代表人身份证复印件、授权委托人身份证复印件和企业法人营业执照副本复印件及《购买标书登记表》（</w:t>
      </w:r>
      <w:r>
        <w:rPr>
          <w:rFonts w:hint="eastAsia" w:ascii="宋体" w:hAnsi="宋体" w:cs="宋体"/>
          <w:color w:val="000000" w:themeColor="text1"/>
          <w:highlight w:val="none"/>
        </w:rPr>
        <w:t>附表）</w:t>
      </w:r>
      <w:r>
        <w:rPr>
          <w:rFonts w:hint="eastAsia" w:ascii="宋体" w:hAnsi="宋体" w:cs="宋体"/>
          <w:color w:val="000000" w:themeColor="text1"/>
          <w:szCs w:val="21"/>
          <w:highlight w:val="none"/>
        </w:rPr>
        <w:t>加盖公章到指定地址购买。</w:t>
      </w:r>
      <w:r>
        <w:rPr>
          <w:rFonts w:hint="eastAsia" w:ascii="宋体" w:hAnsi="宋体" w:cs="宋体"/>
          <w:b/>
          <w:bCs/>
          <w:color w:val="000000" w:themeColor="text1"/>
          <w:highlight w:val="none"/>
        </w:rPr>
        <w:t>报名时投标单位的资料与以上报名条件不符合、不齐全、复印件不清晰或未盖红色公章的将不予受理</w:t>
      </w:r>
      <w:r>
        <w:rPr>
          <w:rFonts w:hint="eastAsia" w:ascii="宋体" w:hAnsi="宋体" w:cs="宋体"/>
          <w:bCs/>
          <w:color w:val="000000" w:themeColor="text1"/>
          <w:highlight w:val="none"/>
        </w:rPr>
        <w:t>。</w:t>
      </w:r>
    </w:p>
    <w:p>
      <w:pPr>
        <w:widowControl/>
        <w:numPr>
          <w:ilvl w:val="0"/>
          <w:numId w:val="7"/>
        </w:numPr>
        <w:tabs>
          <w:tab w:val="left" w:pos="502"/>
        </w:tabs>
        <w:adjustRightInd w:val="0"/>
        <w:snapToGrid w:val="0"/>
        <w:spacing w:line="360" w:lineRule="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报价截止时间、开标时间及地点</w:t>
      </w:r>
    </w:p>
    <w:p>
      <w:pPr>
        <w:widowControl/>
        <w:spacing w:line="360" w:lineRule="auto"/>
        <w:ind w:left="318" w:firstLine="105" w:firstLineChars="5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 xml:space="preserve"> 1. </w:t>
      </w:r>
      <w:r>
        <w:rPr>
          <w:color w:val="000000" w:themeColor="text1"/>
          <w:kern w:val="0"/>
          <w:szCs w:val="21"/>
          <w:highlight w:val="none"/>
        </w:rPr>
        <w:t> </w:t>
      </w:r>
      <w:r>
        <w:rPr>
          <w:rFonts w:hint="eastAsia" w:ascii="宋体" w:hAnsi="宋体" w:cs="Tahoma"/>
          <w:color w:val="000000" w:themeColor="text1"/>
          <w:highlight w:val="none"/>
        </w:rPr>
        <w:t>递交谈判响应文件</w:t>
      </w:r>
      <w:r>
        <w:rPr>
          <w:rFonts w:hint="eastAsia" w:ascii="宋体" w:hAnsi="宋体" w:cs="宋体"/>
          <w:color w:val="000000" w:themeColor="text1"/>
          <w:kern w:val="0"/>
          <w:szCs w:val="21"/>
          <w:highlight w:val="none"/>
        </w:rPr>
        <w:t>时间：</w:t>
      </w:r>
      <w:r>
        <w:rPr>
          <w:rFonts w:hint="eastAsia" w:ascii="宋体" w:hAnsi="宋体" w:cs="宋体"/>
          <w:color w:val="000000" w:themeColor="text1"/>
          <w:kern w:val="0"/>
          <w:szCs w:val="21"/>
          <w:highlight w:val="none"/>
          <w:lang w:val="en-US" w:eastAsia="zh-CN"/>
        </w:rPr>
        <w:t>2022</w:t>
      </w:r>
      <w:r>
        <w:rPr>
          <w:rFonts w:hint="eastAsia" w:ascii="宋体" w:hAnsi="宋体" w:cs="宋体"/>
          <w:color w:val="000000" w:themeColor="text1"/>
          <w:kern w:val="0"/>
          <w:szCs w:val="21"/>
          <w:highlight w:val="none"/>
        </w:rPr>
        <w:t>年</w:t>
      </w:r>
      <w:r>
        <w:rPr>
          <w:rFonts w:hint="eastAsia" w:ascii="宋体" w:hAnsi="宋体" w:cs="宋体"/>
          <w:color w:val="000000" w:themeColor="text1"/>
          <w:kern w:val="0"/>
          <w:szCs w:val="21"/>
          <w:highlight w:val="none"/>
          <w:lang w:val="en-US" w:eastAsia="zh-CN"/>
        </w:rPr>
        <w:t>3</w:t>
      </w:r>
      <w:r>
        <w:rPr>
          <w:rFonts w:hint="eastAsia" w:ascii="宋体" w:hAnsi="宋体" w:cs="宋体"/>
          <w:color w:val="000000" w:themeColor="text1"/>
          <w:kern w:val="0"/>
          <w:szCs w:val="21"/>
          <w:highlight w:val="none"/>
        </w:rPr>
        <w:t>月</w:t>
      </w:r>
      <w:r>
        <w:rPr>
          <w:rFonts w:hint="eastAsia" w:ascii="宋体" w:hAnsi="宋体" w:cs="宋体"/>
          <w:color w:val="000000" w:themeColor="text1"/>
          <w:kern w:val="0"/>
          <w:szCs w:val="21"/>
          <w:highlight w:val="none"/>
          <w:lang w:val="en-US" w:eastAsia="zh-CN"/>
        </w:rPr>
        <w:t>21</w:t>
      </w:r>
      <w:r>
        <w:rPr>
          <w:rFonts w:hint="eastAsia" w:ascii="宋体" w:hAnsi="宋体" w:cs="宋体"/>
          <w:color w:val="000000" w:themeColor="text1"/>
          <w:kern w:val="0"/>
          <w:szCs w:val="21"/>
          <w:highlight w:val="none"/>
        </w:rPr>
        <w:t>日</w:t>
      </w:r>
      <w:r>
        <w:rPr>
          <w:rFonts w:hint="eastAsia" w:ascii="宋体" w:hAnsi="宋体" w:cs="宋体"/>
          <w:color w:val="000000" w:themeColor="text1"/>
          <w:kern w:val="0"/>
          <w:szCs w:val="21"/>
          <w:highlight w:val="none"/>
          <w:lang w:val="en-US" w:eastAsia="zh-CN"/>
        </w:rPr>
        <w:t>14</w:t>
      </w:r>
      <w:r>
        <w:rPr>
          <w:rFonts w:hint="eastAsia" w:ascii="宋体" w:hAnsi="宋体" w:cs="宋体"/>
          <w:color w:val="000000" w:themeColor="text1"/>
          <w:kern w:val="0"/>
          <w:szCs w:val="21"/>
          <w:highlight w:val="none"/>
        </w:rPr>
        <w:t>:30-1</w:t>
      </w:r>
      <w:r>
        <w:rPr>
          <w:rFonts w:hint="eastAsia" w:ascii="宋体" w:hAnsi="宋体" w:cs="宋体"/>
          <w:color w:val="000000" w:themeColor="text1"/>
          <w:kern w:val="0"/>
          <w:szCs w:val="21"/>
          <w:highlight w:val="none"/>
          <w:lang w:val="en-US" w:eastAsia="zh-CN"/>
        </w:rPr>
        <w:t>5</w:t>
      </w:r>
      <w:r>
        <w:rPr>
          <w:rFonts w:hint="eastAsia" w:ascii="宋体" w:hAnsi="宋体" w:cs="宋体"/>
          <w:color w:val="000000" w:themeColor="text1"/>
          <w:kern w:val="0"/>
          <w:szCs w:val="21"/>
          <w:highlight w:val="none"/>
        </w:rPr>
        <w:t>:00 (北京时间)。</w:t>
      </w:r>
    </w:p>
    <w:p>
      <w:pPr>
        <w:widowControl/>
        <w:spacing w:line="360" w:lineRule="auto"/>
        <w:ind w:left="632" w:leftChars="151" w:hanging="315" w:hangingChars="15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 xml:space="preserve">  2.</w:t>
      </w:r>
      <w:r>
        <w:rPr>
          <w:color w:val="000000" w:themeColor="text1"/>
          <w:kern w:val="0"/>
          <w:szCs w:val="21"/>
          <w:highlight w:val="none"/>
        </w:rPr>
        <w:t>   </w:t>
      </w:r>
      <w:r>
        <w:rPr>
          <w:rFonts w:hint="eastAsia" w:ascii="宋体" w:hAnsi="宋体" w:cs="Tahoma"/>
          <w:color w:val="000000" w:themeColor="text1"/>
          <w:highlight w:val="none"/>
        </w:rPr>
        <w:t>递交谈判响应文件</w:t>
      </w:r>
      <w:r>
        <w:rPr>
          <w:rFonts w:hint="eastAsia" w:ascii="宋体" w:hAnsi="宋体" w:cs="宋体"/>
          <w:color w:val="000000" w:themeColor="text1"/>
          <w:kern w:val="0"/>
          <w:szCs w:val="21"/>
          <w:highlight w:val="none"/>
        </w:rPr>
        <w:t>地点：阳江市江城区猫山四街33号A座2楼</w:t>
      </w:r>
      <w:r>
        <w:rPr>
          <w:rFonts w:hint="eastAsia" w:ascii="宋体" w:hAnsi="宋体" w:cs="宋体"/>
          <w:color w:val="000000" w:themeColor="text1"/>
          <w:kern w:val="0"/>
          <w:szCs w:val="21"/>
          <w:highlight w:val="none"/>
          <w:lang w:val="en-US" w:eastAsia="zh-CN"/>
        </w:rPr>
        <w:t>201</w:t>
      </w:r>
      <w:r>
        <w:rPr>
          <w:rFonts w:hint="eastAsia" w:ascii="宋体" w:hAnsi="宋体" w:cs="宋体"/>
          <w:color w:val="000000" w:themeColor="text1"/>
          <w:kern w:val="0"/>
          <w:szCs w:val="21"/>
          <w:highlight w:val="none"/>
        </w:rPr>
        <w:t>开标室。</w:t>
      </w:r>
    </w:p>
    <w:p>
      <w:pPr>
        <w:widowControl/>
        <w:spacing w:line="360" w:lineRule="auto"/>
        <w:ind w:left="318"/>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 xml:space="preserve">  3.</w:t>
      </w:r>
      <w:r>
        <w:rPr>
          <w:color w:val="000000" w:themeColor="text1"/>
          <w:kern w:val="0"/>
          <w:szCs w:val="21"/>
          <w:highlight w:val="none"/>
        </w:rPr>
        <w:t>   </w:t>
      </w:r>
      <w:r>
        <w:rPr>
          <w:rFonts w:hint="eastAsia" w:ascii="宋体" w:hAnsi="宋体" w:cs="Tahoma"/>
          <w:color w:val="000000" w:themeColor="text1"/>
          <w:highlight w:val="none"/>
        </w:rPr>
        <w:t>报价截止时间（递交谈判响应文件截止时间）</w:t>
      </w:r>
      <w:r>
        <w:rPr>
          <w:rFonts w:hint="eastAsia" w:ascii="宋体" w:hAnsi="宋体" w:cs="宋体"/>
          <w:color w:val="000000" w:themeColor="text1"/>
          <w:kern w:val="0"/>
          <w:szCs w:val="21"/>
          <w:highlight w:val="none"/>
        </w:rPr>
        <w:t>：</w:t>
      </w:r>
      <w:r>
        <w:rPr>
          <w:rFonts w:hint="eastAsia" w:ascii="宋体" w:hAnsi="宋体" w:cs="宋体"/>
          <w:color w:val="000000" w:themeColor="text1"/>
          <w:kern w:val="0"/>
          <w:szCs w:val="21"/>
          <w:highlight w:val="none"/>
          <w:lang w:val="en-US" w:eastAsia="zh-CN"/>
        </w:rPr>
        <w:t>2022</w:t>
      </w:r>
      <w:r>
        <w:rPr>
          <w:rFonts w:hint="eastAsia" w:ascii="宋体" w:hAnsi="宋体" w:cs="宋体"/>
          <w:color w:val="000000" w:themeColor="text1"/>
          <w:kern w:val="0"/>
          <w:szCs w:val="21"/>
          <w:highlight w:val="none"/>
        </w:rPr>
        <w:t>年</w:t>
      </w:r>
      <w:r>
        <w:rPr>
          <w:rFonts w:hint="eastAsia" w:ascii="宋体" w:hAnsi="宋体" w:cs="宋体"/>
          <w:color w:val="000000" w:themeColor="text1"/>
          <w:kern w:val="0"/>
          <w:szCs w:val="21"/>
          <w:highlight w:val="none"/>
          <w:lang w:val="en-US" w:eastAsia="zh-CN"/>
        </w:rPr>
        <w:t>3</w:t>
      </w:r>
      <w:r>
        <w:rPr>
          <w:rFonts w:hint="eastAsia" w:ascii="宋体" w:hAnsi="宋体" w:cs="宋体"/>
          <w:color w:val="000000" w:themeColor="text1"/>
          <w:kern w:val="0"/>
          <w:szCs w:val="21"/>
          <w:highlight w:val="none"/>
        </w:rPr>
        <w:t>月</w:t>
      </w:r>
      <w:r>
        <w:rPr>
          <w:rFonts w:hint="eastAsia" w:ascii="宋体" w:hAnsi="宋体" w:cs="宋体"/>
          <w:color w:val="000000" w:themeColor="text1"/>
          <w:kern w:val="0"/>
          <w:szCs w:val="21"/>
          <w:highlight w:val="none"/>
          <w:lang w:val="en-US" w:eastAsia="zh-CN"/>
        </w:rPr>
        <w:t>21</w:t>
      </w:r>
      <w:r>
        <w:rPr>
          <w:rFonts w:hint="eastAsia" w:ascii="宋体" w:hAnsi="宋体" w:cs="宋体"/>
          <w:color w:val="000000" w:themeColor="text1"/>
          <w:kern w:val="0"/>
          <w:szCs w:val="21"/>
          <w:highlight w:val="none"/>
        </w:rPr>
        <w:t>日 1</w:t>
      </w:r>
      <w:r>
        <w:rPr>
          <w:rFonts w:hint="eastAsia" w:ascii="宋体" w:hAnsi="宋体" w:cs="宋体"/>
          <w:color w:val="000000" w:themeColor="text1"/>
          <w:kern w:val="0"/>
          <w:szCs w:val="21"/>
          <w:highlight w:val="none"/>
          <w:lang w:val="en-US" w:eastAsia="zh-CN"/>
        </w:rPr>
        <w:t>5</w:t>
      </w:r>
      <w:r>
        <w:rPr>
          <w:rFonts w:hint="eastAsia" w:ascii="宋体" w:hAnsi="宋体" w:cs="宋体"/>
          <w:color w:val="000000" w:themeColor="text1"/>
          <w:kern w:val="0"/>
          <w:szCs w:val="21"/>
          <w:highlight w:val="none"/>
        </w:rPr>
        <w:t>:00 (北京时间)。</w:t>
      </w:r>
    </w:p>
    <w:p>
      <w:pPr>
        <w:widowControl/>
        <w:spacing w:line="360" w:lineRule="auto"/>
        <w:ind w:left="318" w:firstLine="105" w:firstLineChars="5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 xml:space="preserve"> 4.</w:t>
      </w:r>
      <w:r>
        <w:rPr>
          <w:color w:val="000000" w:themeColor="text1"/>
          <w:kern w:val="0"/>
          <w:szCs w:val="21"/>
          <w:highlight w:val="none"/>
        </w:rPr>
        <w:t>   </w:t>
      </w:r>
      <w:r>
        <w:rPr>
          <w:rFonts w:hint="eastAsia" w:ascii="宋体" w:hAnsi="宋体" w:cs="Tahoma"/>
          <w:color w:val="000000" w:themeColor="text1"/>
          <w:highlight w:val="none"/>
        </w:rPr>
        <w:t>谈判开始时间</w:t>
      </w:r>
      <w:r>
        <w:rPr>
          <w:rFonts w:hint="eastAsia" w:ascii="宋体" w:hAnsi="宋体" w:cs="宋体"/>
          <w:color w:val="000000" w:themeColor="text1"/>
          <w:kern w:val="0"/>
          <w:szCs w:val="21"/>
          <w:highlight w:val="none"/>
        </w:rPr>
        <w:t>：</w:t>
      </w:r>
      <w:r>
        <w:rPr>
          <w:rFonts w:hint="eastAsia" w:ascii="宋体" w:hAnsi="宋体" w:cs="宋体"/>
          <w:color w:val="000000" w:themeColor="text1"/>
          <w:kern w:val="0"/>
          <w:szCs w:val="21"/>
          <w:highlight w:val="none"/>
          <w:lang w:val="en-US" w:eastAsia="zh-CN"/>
        </w:rPr>
        <w:t>2022</w:t>
      </w:r>
      <w:r>
        <w:rPr>
          <w:rFonts w:hint="eastAsia" w:ascii="宋体" w:hAnsi="宋体" w:cs="宋体"/>
          <w:color w:val="000000" w:themeColor="text1"/>
          <w:kern w:val="0"/>
          <w:szCs w:val="21"/>
          <w:highlight w:val="none"/>
        </w:rPr>
        <w:t>年</w:t>
      </w:r>
      <w:r>
        <w:rPr>
          <w:rFonts w:hint="eastAsia" w:ascii="宋体" w:hAnsi="宋体" w:cs="宋体"/>
          <w:color w:val="000000" w:themeColor="text1"/>
          <w:kern w:val="0"/>
          <w:szCs w:val="21"/>
          <w:highlight w:val="none"/>
          <w:lang w:val="en-US" w:eastAsia="zh-CN"/>
        </w:rPr>
        <w:t>3</w:t>
      </w:r>
      <w:r>
        <w:rPr>
          <w:rFonts w:hint="eastAsia" w:ascii="宋体" w:hAnsi="宋体" w:cs="宋体"/>
          <w:color w:val="000000" w:themeColor="text1"/>
          <w:kern w:val="0"/>
          <w:szCs w:val="21"/>
          <w:highlight w:val="none"/>
        </w:rPr>
        <w:t>月</w:t>
      </w:r>
      <w:r>
        <w:rPr>
          <w:rFonts w:hint="eastAsia" w:ascii="宋体" w:hAnsi="宋体" w:cs="宋体"/>
          <w:color w:val="000000" w:themeColor="text1"/>
          <w:kern w:val="0"/>
          <w:szCs w:val="21"/>
          <w:highlight w:val="none"/>
          <w:lang w:val="en-US" w:eastAsia="zh-CN"/>
        </w:rPr>
        <w:t>21</w:t>
      </w:r>
      <w:r>
        <w:rPr>
          <w:rFonts w:hint="eastAsia" w:ascii="宋体" w:hAnsi="宋体" w:cs="宋体"/>
          <w:color w:val="000000" w:themeColor="text1"/>
          <w:kern w:val="0"/>
          <w:szCs w:val="21"/>
          <w:highlight w:val="none"/>
        </w:rPr>
        <w:t>日 1</w:t>
      </w:r>
      <w:r>
        <w:rPr>
          <w:rFonts w:hint="eastAsia" w:ascii="宋体" w:hAnsi="宋体" w:cs="宋体"/>
          <w:color w:val="000000" w:themeColor="text1"/>
          <w:kern w:val="0"/>
          <w:szCs w:val="21"/>
          <w:highlight w:val="none"/>
          <w:lang w:val="en-US" w:eastAsia="zh-CN"/>
        </w:rPr>
        <w:t>5</w:t>
      </w:r>
      <w:r>
        <w:rPr>
          <w:rFonts w:hint="eastAsia" w:ascii="宋体" w:hAnsi="宋体" w:cs="宋体"/>
          <w:color w:val="000000" w:themeColor="text1"/>
          <w:kern w:val="0"/>
          <w:szCs w:val="21"/>
          <w:highlight w:val="none"/>
        </w:rPr>
        <w:t>:00  (北京时间)。</w:t>
      </w:r>
    </w:p>
    <w:p>
      <w:pPr>
        <w:widowControl/>
        <w:spacing w:line="360" w:lineRule="auto"/>
        <w:ind w:left="318"/>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 xml:space="preserve">  5.</w:t>
      </w:r>
      <w:r>
        <w:rPr>
          <w:color w:val="000000" w:themeColor="text1"/>
          <w:kern w:val="0"/>
          <w:szCs w:val="21"/>
          <w:highlight w:val="none"/>
        </w:rPr>
        <w:t>   </w:t>
      </w:r>
      <w:r>
        <w:rPr>
          <w:rFonts w:hint="eastAsia" w:ascii="宋体" w:hAnsi="宋体" w:cs="Tahoma"/>
          <w:color w:val="000000" w:themeColor="text1"/>
          <w:highlight w:val="none"/>
        </w:rPr>
        <w:t>谈判</w:t>
      </w:r>
      <w:r>
        <w:rPr>
          <w:rFonts w:hint="eastAsia" w:ascii="宋体" w:hAnsi="宋体" w:cs="宋体"/>
          <w:color w:val="000000" w:themeColor="text1"/>
          <w:kern w:val="0"/>
          <w:szCs w:val="21"/>
          <w:highlight w:val="none"/>
        </w:rPr>
        <w:t>地点：阳江市江城区猫山四街33号A座2楼</w:t>
      </w:r>
      <w:r>
        <w:rPr>
          <w:rFonts w:hint="eastAsia" w:ascii="宋体" w:hAnsi="宋体" w:cs="宋体"/>
          <w:color w:val="000000" w:themeColor="text1"/>
          <w:kern w:val="0"/>
          <w:szCs w:val="21"/>
          <w:highlight w:val="none"/>
          <w:lang w:val="en-US" w:eastAsia="zh-CN"/>
        </w:rPr>
        <w:t>202</w:t>
      </w:r>
      <w:r>
        <w:rPr>
          <w:rFonts w:hint="eastAsia" w:ascii="宋体" w:hAnsi="宋体" w:cs="宋体"/>
          <w:color w:val="000000" w:themeColor="text1"/>
          <w:kern w:val="0"/>
          <w:szCs w:val="21"/>
          <w:highlight w:val="none"/>
        </w:rPr>
        <w:t>评标室。</w:t>
      </w:r>
    </w:p>
    <w:p>
      <w:pPr>
        <w:widowControl/>
        <w:numPr>
          <w:ilvl w:val="0"/>
          <w:numId w:val="7"/>
        </w:numPr>
        <w:tabs>
          <w:tab w:val="left" w:pos="502"/>
          <w:tab w:val="left" w:pos="737"/>
        </w:tabs>
        <w:adjustRightInd w:val="0"/>
        <w:snapToGrid w:val="0"/>
        <w:spacing w:line="360" w:lineRule="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采购人、代理采购机构的名称、地址和联系方式</w:t>
      </w:r>
    </w:p>
    <w:p>
      <w:pPr>
        <w:widowControl/>
        <w:numPr>
          <w:ilvl w:val="0"/>
          <w:numId w:val="8"/>
        </w:numPr>
        <w:tabs>
          <w:tab w:val="left" w:pos="502"/>
          <w:tab w:val="left" w:pos="900"/>
          <w:tab w:val="clear" w:pos="363"/>
        </w:tabs>
        <w:adjustRightInd w:val="0"/>
        <w:snapToGrid w:val="0"/>
        <w:spacing w:line="360" w:lineRule="auto"/>
        <w:ind w:firstLine="177"/>
        <w:rPr>
          <w:rFonts w:ascii="宋体" w:hAnsi="宋体" w:cs="Tahoma"/>
          <w:color w:val="000000" w:themeColor="text1"/>
          <w:szCs w:val="21"/>
          <w:highlight w:val="none"/>
        </w:rPr>
      </w:pPr>
      <w:r>
        <w:rPr>
          <w:rFonts w:hint="eastAsia" w:ascii="宋体" w:hAnsi="宋体" w:cs="Tahoma"/>
          <w:color w:val="000000" w:themeColor="text1"/>
          <w:szCs w:val="21"/>
          <w:highlight w:val="none"/>
        </w:rPr>
        <w:t>采购人联系方式：</w:t>
      </w:r>
    </w:p>
    <w:p>
      <w:pPr>
        <w:tabs>
          <w:tab w:val="left" w:pos="735"/>
          <w:tab w:val="left" w:pos="4680"/>
        </w:tabs>
        <w:adjustRightInd w:val="0"/>
        <w:snapToGrid w:val="0"/>
        <w:spacing w:line="360" w:lineRule="auto"/>
        <w:ind w:firstLine="898" w:firstLineChars="428"/>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名  称：</w:t>
      </w:r>
      <w:r>
        <w:rPr>
          <w:rFonts w:hint="eastAsia" w:ascii="宋体" w:hAnsi="宋体"/>
          <w:color w:val="000000" w:themeColor="text1"/>
          <w:szCs w:val="21"/>
          <w:highlight w:val="none"/>
          <w:lang w:eastAsia="zh-CN"/>
        </w:rPr>
        <w:t>中国共产党阳西县委员会组织部</w:t>
      </w:r>
    </w:p>
    <w:p>
      <w:pPr>
        <w:widowControl/>
        <w:spacing w:line="360" w:lineRule="auto"/>
        <w:ind w:right="-255" w:firstLine="840" w:firstLineChars="400"/>
        <w:jc w:val="left"/>
        <w:rPr>
          <w:rFonts w:ascii="宋体" w:hAnsi="宋体"/>
          <w:color w:val="000000" w:themeColor="text1"/>
          <w:szCs w:val="21"/>
          <w:highlight w:val="none"/>
        </w:rPr>
      </w:pPr>
      <w:r>
        <w:rPr>
          <w:rFonts w:hint="eastAsia" w:ascii="宋体" w:hAnsi="宋体"/>
          <w:color w:val="000000" w:themeColor="text1"/>
          <w:szCs w:val="21"/>
          <w:highlight w:val="none"/>
        </w:rPr>
        <w:t>地   址：广东省阳江市阳西县广场路一号县府大院1号楼</w:t>
      </w:r>
    </w:p>
    <w:p>
      <w:pPr>
        <w:tabs>
          <w:tab w:val="left" w:pos="735"/>
          <w:tab w:val="left" w:pos="4680"/>
        </w:tabs>
        <w:adjustRightInd w:val="0"/>
        <w:snapToGrid w:val="0"/>
        <w:spacing w:line="360" w:lineRule="auto"/>
        <w:ind w:firstLine="898" w:firstLineChars="428"/>
        <w:rPr>
          <w:rFonts w:hint="eastAsia"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联 系 人：</w:t>
      </w:r>
      <w:r>
        <w:rPr>
          <w:rFonts w:hint="eastAsia" w:ascii="宋体" w:hAnsi="宋体"/>
          <w:color w:val="000000" w:themeColor="text1"/>
          <w:szCs w:val="21"/>
          <w:highlight w:val="none"/>
          <w:lang w:val="en-US" w:eastAsia="zh-CN"/>
        </w:rPr>
        <w:t>张明富</w:t>
      </w:r>
    </w:p>
    <w:p>
      <w:pPr>
        <w:tabs>
          <w:tab w:val="left" w:pos="735"/>
          <w:tab w:val="left" w:pos="4680"/>
        </w:tabs>
        <w:adjustRightInd w:val="0"/>
        <w:snapToGrid w:val="0"/>
        <w:spacing w:line="360" w:lineRule="auto"/>
        <w:ind w:firstLine="898" w:firstLineChars="428"/>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联系电话：</w:t>
      </w:r>
      <w:r>
        <w:rPr>
          <w:rFonts w:hint="eastAsia" w:ascii="宋体" w:hAnsi="宋体"/>
          <w:color w:val="000000" w:themeColor="text1"/>
          <w:szCs w:val="21"/>
          <w:highlight w:val="none"/>
          <w:lang w:val="en-US" w:eastAsia="zh-CN"/>
        </w:rPr>
        <w:t>0662-5598896</w:t>
      </w:r>
    </w:p>
    <w:p>
      <w:pPr>
        <w:widowControl/>
        <w:numPr>
          <w:ilvl w:val="0"/>
          <w:numId w:val="8"/>
        </w:numPr>
        <w:tabs>
          <w:tab w:val="left" w:pos="502"/>
          <w:tab w:val="left" w:pos="900"/>
          <w:tab w:val="clear" w:pos="363"/>
        </w:tabs>
        <w:adjustRightInd w:val="0"/>
        <w:snapToGrid w:val="0"/>
        <w:spacing w:line="360" w:lineRule="auto"/>
        <w:ind w:firstLine="177"/>
        <w:rPr>
          <w:rFonts w:ascii="宋体" w:hAnsi="宋体"/>
          <w:color w:val="000000" w:themeColor="text1"/>
          <w:szCs w:val="21"/>
          <w:highlight w:val="none"/>
        </w:rPr>
      </w:pPr>
      <w:r>
        <w:rPr>
          <w:rFonts w:hint="eastAsia" w:ascii="宋体" w:hAnsi="宋体" w:cs="Tahoma"/>
          <w:color w:val="000000" w:themeColor="text1"/>
          <w:szCs w:val="21"/>
          <w:highlight w:val="none"/>
        </w:rPr>
        <w:t>代理采购机构联系方式：</w:t>
      </w:r>
      <w:r>
        <w:rPr>
          <w:rFonts w:hint="eastAsia" w:ascii="宋体" w:hAnsi="宋体"/>
          <w:color w:val="000000" w:themeColor="text1"/>
          <w:szCs w:val="21"/>
          <w:highlight w:val="none"/>
        </w:rPr>
        <w:t xml:space="preserve">                   </w:t>
      </w:r>
      <w:r>
        <w:rPr>
          <w:rFonts w:hint="eastAsia" w:ascii="宋体" w:hAnsi="宋体"/>
          <w:color w:val="000000" w:themeColor="text1"/>
          <w:szCs w:val="21"/>
          <w:highlight w:val="none"/>
          <w:lang w:val="zh-CN"/>
        </w:rPr>
        <w:t>　　　　　　　</w:t>
      </w:r>
    </w:p>
    <w:p>
      <w:pPr>
        <w:tabs>
          <w:tab w:val="left" w:pos="735"/>
          <w:tab w:val="left" w:pos="4680"/>
        </w:tabs>
        <w:adjustRightInd w:val="0"/>
        <w:snapToGrid w:val="0"/>
        <w:spacing w:line="360" w:lineRule="auto"/>
        <w:ind w:firstLine="898" w:firstLineChars="428"/>
        <w:rPr>
          <w:rFonts w:ascii="宋体" w:hAnsi="宋体"/>
          <w:color w:val="000000" w:themeColor="text1"/>
          <w:szCs w:val="21"/>
          <w:highlight w:val="none"/>
        </w:rPr>
      </w:pPr>
      <w:bookmarkStart w:id="10" w:name="_Toc357151163"/>
      <w:bookmarkStart w:id="11" w:name="_Toc351986013"/>
      <w:bookmarkStart w:id="12" w:name="_Toc351985908"/>
      <w:bookmarkStart w:id="13" w:name="_Toc369180017"/>
      <w:bookmarkStart w:id="14" w:name="_Toc351988704"/>
      <w:bookmarkStart w:id="15" w:name="_Toc351986193"/>
      <w:bookmarkStart w:id="16" w:name="_Toc351987959"/>
      <w:bookmarkStart w:id="17" w:name="_Toc329242667"/>
      <w:bookmarkStart w:id="18" w:name="_Toc351990140"/>
      <w:bookmarkStart w:id="19" w:name="_Toc351987763"/>
      <w:bookmarkStart w:id="20" w:name="_Toc353522387"/>
      <w:r>
        <w:rPr>
          <w:rFonts w:hint="eastAsia" w:ascii="宋体" w:hAnsi="宋体"/>
          <w:color w:val="000000" w:themeColor="text1"/>
          <w:szCs w:val="21"/>
          <w:highlight w:val="none"/>
        </w:rPr>
        <w:t xml:space="preserve">名  称：广东业信采购招标有限公司   </w:t>
      </w:r>
    </w:p>
    <w:p>
      <w:pPr>
        <w:tabs>
          <w:tab w:val="left" w:pos="735"/>
          <w:tab w:val="left" w:pos="4680"/>
        </w:tabs>
        <w:adjustRightInd w:val="0"/>
        <w:snapToGrid w:val="0"/>
        <w:spacing w:line="360" w:lineRule="auto"/>
        <w:ind w:firstLine="898" w:firstLineChars="428"/>
        <w:rPr>
          <w:rFonts w:ascii="宋体" w:hAnsi="宋体"/>
          <w:color w:val="000000" w:themeColor="text1"/>
          <w:szCs w:val="21"/>
          <w:highlight w:val="none"/>
        </w:rPr>
      </w:pPr>
      <w:r>
        <w:rPr>
          <w:rFonts w:hint="eastAsia" w:ascii="宋体" w:hAnsi="宋体"/>
          <w:color w:val="000000" w:themeColor="text1"/>
          <w:szCs w:val="21"/>
          <w:highlight w:val="none"/>
        </w:rPr>
        <w:t xml:space="preserve">联系人：冯国辉　　　　         </w:t>
      </w:r>
    </w:p>
    <w:p>
      <w:pPr>
        <w:tabs>
          <w:tab w:val="left" w:pos="735"/>
          <w:tab w:val="left" w:pos="4680"/>
        </w:tabs>
        <w:adjustRightInd w:val="0"/>
        <w:snapToGrid w:val="0"/>
        <w:spacing w:line="360" w:lineRule="auto"/>
        <w:ind w:firstLine="898" w:firstLineChars="428"/>
        <w:rPr>
          <w:rFonts w:ascii="宋体" w:hAnsi="宋体"/>
          <w:color w:val="000000" w:themeColor="text1"/>
          <w:szCs w:val="21"/>
          <w:highlight w:val="none"/>
        </w:rPr>
      </w:pPr>
      <w:r>
        <w:rPr>
          <w:rFonts w:hint="eastAsia" w:ascii="宋体" w:hAnsi="宋体"/>
          <w:color w:val="000000" w:themeColor="text1"/>
          <w:szCs w:val="21"/>
          <w:highlight w:val="none"/>
        </w:rPr>
        <w:t xml:space="preserve">电话：0662-3167266                 </w:t>
      </w:r>
    </w:p>
    <w:p>
      <w:pPr>
        <w:tabs>
          <w:tab w:val="left" w:pos="735"/>
          <w:tab w:val="left" w:pos="4680"/>
        </w:tabs>
        <w:adjustRightInd w:val="0"/>
        <w:snapToGrid w:val="0"/>
        <w:spacing w:line="360" w:lineRule="auto"/>
        <w:ind w:firstLine="898" w:firstLineChars="428"/>
        <w:rPr>
          <w:rFonts w:ascii="宋体" w:hAnsi="宋体"/>
          <w:color w:val="000000" w:themeColor="text1"/>
          <w:szCs w:val="21"/>
          <w:highlight w:val="none"/>
        </w:rPr>
      </w:pPr>
      <w:r>
        <w:rPr>
          <w:rFonts w:hint="eastAsia" w:ascii="宋体" w:hAnsi="宋体"/>
          <w:color w:val="000000" w:themeColor="text1"/>
          <w:szCs w:val="21"/>
          <w:highlight w:val="none"/>
        </w:rPr>
        <w:t xml:space="preserve">传真：0662-2669666　　　　　       </w:t>
      </w:r>
    </w:p>
    <w:p>
      <w:pPr>
        <w:tabs>
          <w:tab w:val="left" w:pos="735"/>
          <w:tab w:val="left" w:pos="4680"/>
        </w:tabs>
        <w:adjustRightInd w:val="0"/>
        <w:snapToGrid w:val="0"/>
        <w:spacing w:line="360" w:lineRule="auto"/>
        <w:ind w:firstLine="898" w:firstLineChars="428"/>
        <w:rPr>
          <w:rFonts w:ascii="宋体" w:hAnsi="宋体"/>
          <w:color w:val="000000" w:themeColor="text1"/>
          <w:szCs w:val="21"/>
          <w:highlight w:val="none"/>
          <w:lang w:val="zh-CN"/>
        </w:rPr>
      </w:pPr>
      <w:r>
        <w:rPr>
          <w:rFonts w:hint="eastAsia" w:ascii="宋体" w:hAnsi="宋体"/>
          <w:color w:val="000000" w:themeColor="text1"/>
          <w:szCs w:val="21"/>
          <w:highlight w:val="none"/>
        </w:rPr>
        <w:t>联系地址：阳江市江城区猫山四街33号A座2楼</w:t>
      </w:r>
      <w:r>
        <w:rPr>
          <w:rFonts w:hint="eastAsia" w:ascii="宋体" w:hAnsi="宋体"/>
          <w:color w:val="000000" w:themeColor="text1"/>
          <w:szCs w:val="21"/>
          <w:highlight w:val="none"/>
          <w:lang w:val="zh-CN"/>
        </w:rPr>
        <w:t xml:space="preserve">　　　　　　           </w:t>
      </w:r>
    </w:p>
    <w:p>
      <w:pPr>
        <w:tabs>
          <w:tab w:val="left" w:pos="735"/>
          <w:tab w:val="left" w:pos="4680"/>
        </w:tabs>
        <w:adjustRightInd w:val="0"/>
        <w:snapToGrid w:val="0"/>
        <w:spacing w:line="360" w:lineRule="auto"/>
        <w:ind w:firstLine="898" w:firstLineChars="428"/>
        <w:rPr>
          <w:rFonts w:ascii="宋体" w:hAnsi="宋体" w:cs="宋体"/>
          <w:color w:val="000000" w:themeColor="text1"/>
          <w:szCs w:val="21"/>
          <w:highlight w:val="none"/>
          <w:u w:val="single"/>
        </w:rPr>
      </w:pPr>
      <w:r>
        <w:rPr>
          <w:rFonts w:hint="eastAsia" w:ascii="宋体" w:hAnsi="宋体" w:cs="宋体"/>
          <w:color w:val="000000" w:themeColor="text1"/>
          <w:szCs w:val="21"/>
          <w:highlight w:val="none"/>
        </w:rPr>
        <w:t>网址：http://www.yjcg.cc</w:t>
      </w:r>
    </w:p>
    <w:p>
      <w:pPr>
        <w:spacing w:line="360" w:lineRule="auto"/>
        <w:ind w:firstLine="3255" w:firstLineChars="1550"/>
        <w:rPr>
          <w:rFonts w:ascii="宋体" w:hAnsi="宋体" w:cs="宋体"/>
          <w:color w:val="000000" w:themeColor="text1"/>
          <w:szCs w:val="21"/>
          <w:highlight w:val="none"/>
        </w:rPr>
      </w:pPr>
    </w:p>
    <w:p>
      <w:pPr>
        <w:spacing w:line="360" w:lineRule="auto"/>
        <w:ind w:firstLine="3255" w:firstLineChars="1550"/>
        <w:rPr>
          <w:rFonts w:ascii="宋体" w:hAnsi="宋体"/>
          <w:color w:val="000000" w:themeColor="text1"/>
          <w:szCs w:val="21"/>
          <w:highlight w:val="none"/>
        </w:rPr>
      </w:pPr>
    </w:p>
    <w:p>
      <w:pPr>
        <w:spacing w:line="360" w:lineRule="auto"/>
        <w:ind w:firstLine="3255" w:firstLineChars="1550"/>
        <w:rPr>
          <w:rFonts w:ascii="宋体" w:hAnsi="宋体"/>
          <w:color w:val="000000" w:themeColor="text1"/>
          <w:szCs w:val="21"/>
          <w:highlight w:val="none"/>
        </w:rPr>
      </w:pPr>
    </w:p>
    <w:p>
      <w:pPr>
        <w:spacing w:line="360" w:lineRule="auto"/>
        <w:ind w:firstLine="3255" w:firstLineChars="1550"/>
        <w:rPr>
          <w:rFonts w:ascii="宋体" w:hAnsi="宋体"/>
          <w:color w:val="000000" w:themeColor="text1"/>
          <w:szCs w:val="21"/>
          <w:highlight w:val="none"/>
        </w:rPr>
      </w:pPr>
    </w:p>
    <w:p>
      <w:pPr>
        <w:spacing w:line="360" w:lineRule="auto"/>
        <w:ind w:firstLine="3255" w:firstLineChars="1550"/>
        <w:rPr>
          <w:rFonts w:ascii="宋体" w:hAnsi="宋体"/>
          <w:color w:val="000000" w:themeColor="text1"/>
          <w:szCs w:val="21"/>
          <w:highlight w:val="none"/>
        </w:rPr>
      </w:pPr>
      <w:r>
        <w:rPr>
          <w:rFonts w:hint="eastAsia" w:ascii="宋体" w:hAnsi="宋体"/>
          <w:color w:val="000000" w:themeColor="text1"/>
          <w:szCs w:val="21"/>
          <w:highlight w:val="none"/>
        </w:rPr>
        <w:t xml:space="preserve">                     </w:t>
      </w:r>
    </w:p>
    <w:p>
      <w:pPr>
        <w:spacing w:line="360" w:lineRule="auto"/>
        <w:ind w:left="6615" w:leftChars="2450" w:hanging="1470" w:hangingChars="700"/>
        <w:jc w:val="right"/>
        <w:rPr>
          <w:rFonts w:ascii="宋体" w:hAnsi="宋体"/>
          <w:color w:val="000000" w:themeColor="text1"/>
          <w:szCs w:val="21"/>
          <w:highlight w:val="none"/>
        </w:rPr>
      </w:pPr>
      <w:r>
        <w:rPr>
          <w:rFonts w:hint="eastAsia" w:ascii="宋体" w:hAnsi="宋体"/>
          <w:color w:val="000000" w:themeColor="text1"/>
          <w:szCs w:val="21"/>
          <w:highlight w:val="none"/>
        </w:rPr>
        <w:t xml:space="preserve">广东业信采购招标有限公司  </w:t>
      </w:r>
    </w:p>
    <w:p>
      <w:pPr>
        <w:spacing w:line="360" w:lineRule="auto"/>
        <w:ind w:left="6615" w:leftChars="2450" w:hanging="1470" w:hangingChars="700"/>
        <w:jc w:val="right"/>
        <w:rPr>
          <w:rFonts w:ascii="宋体" w:hAnsi="宋体"/>
          <w:color w:val="000000" w:themeColor="text1"/>
          <w:szCs w:val="21"/>
          <w:highlight w:val="none"/>
        </w:rPr>
      </w:pPr>
      <w:r>
        <w:rPr>
          <w:rFonts w:hint="eastAsia" w:ascii="宋体" w:hAnsi="宋体"/>
          <w:color w:val="000000" w:themeColor="text1"/>
          <w:szCs w:val="21"/>
          <w:highlight w:val="none"/>
        </w:rPr>
        <w:t xml:space="preserve">    </w:t>
      </w:r>
      <w:r>
        <w:rPr>
          <w:rFonts w:hint="eastAsia" w:ascii="宋体" w:hAnsi="宋体"/>
          <w:color w:val="000000" w:themeColor="text1"/>
          <w:szCs w:val="21"/>
          <w:highlight w:val="none"/>
          <w:lang w:val="en-US" w:eastAsia="zh-CN"/>
        </w:rPr>
        <w:t xml:space="preserve"> 2022</w:t>
      </w:r>
      <w:r>
        <w:rPr>
          <w:rFonts w:hint="eastAsia" w:ascii="宋体" w:hAnsi="宋体"/>
          <w:color w:val="000000" w:themeColor="text1"/>
          <w:szCs w:val="21"/>
          <w:highlight w:val="none"/>
        </w:rPr>
        <w:t>年</w:t>
      </w:r>
      <w:r>
        <w:rPr>
          <w:rFonts w:hint="eastAsia" w:ascii="宋体" w:hAnsi="宋体"/>
          <w:color w:val="000000" w:themeColor="text1"/>
          <w:szCs w:val="21"/>
          <w:highlight w:val="none"/>
          <w:lang w:val="en-US" w:eastAsia="zh-CN"/>
        </w:rPr>
        <w:t>3</w:t>
      </w:r>
      <w:r>
        <w:rPr>
          <w:rFonts w:hint="eastAsia" w:ascii="宋体" w:hAnsi="宋体"/>
          <w:color w:val="000000" w:themeColor="text1"/>
          <w:szCs w:val="21"/>
          <w:highlight w:val="none"/>
        </w:rPr>
        <w:t>月</w:t>
      </w:r>
      <w:r>
        <w:rPr>
          <w:rFonts w:hint="eastAsia" w:ascii="宋体" w:hAnsi="宋体"/>
          <w:color w:val="000000" w:themeColor="text1"/>
          <w:szCs w:val="21"/>
          <w:highlight w:val="none"/>
          <w:lang w:val="en-US" w:eastAsia="zh-CN"/>
        </w:rPr>
        <w:t>10</w:t>
      </w:r>
      <w:r>
        <w:rPr>
          <w:rFonts w:hint="eastAsia" w:ascii="宋体" w:hAnsi="宋体"/>
          <w:color w:val="000000" w:themeColor="text1"/>
          <w:szCs w:val="21"/>
          <w:highlight w:val="none"/>
        </w:rPr>
        <w:t>日</w:t>
      </w:r>
    </w:p>
    <w:bookmarkEnd w:id="10"/>
    <w:bookmarkEnd w:id="11"/>
    <w:bookmarkEnd w:id="12"/>
    <w:bookmarkEnd w:id="13"/>
    <w:bookmarkEnd w:id="14"/>
    <w:bookmarkEnd w:id="15"/>
    <w:bookmarkEnd w:id="16"/>
    <w:bookmarkEnd w:id="17"/>
    <w:bookmarkEnd w:id="18"/>
    <w:bookmarkEnd w:id="19"/>
    <w:bookmarkEnd w:id="20"/>
    <w:p>
      <w:pPr>
        <w:pStyle w:val="4"/>
        <w:numPr>
          <w:ilvl w:val="0"/>
          <w:numId w:val="0"/>
        </w:numPr>
        <w:spacing w:afterLines="50" w:line="390" w:lineRule="exact"/>
        <w:jc w:val="center"/>
        <w:rPr>
          <w:rFonts w:ascii="宋体" w:hAnsi="宋体"/>
          <w:color w:val="000000" w:themeColor="text1"/>
          <w:sz w:val="21"/>
          <w:szCs w:val="21"/>
          <w:highlight w:val="none"/>
        </w:rPr>
      </w:pPr>
      <w:bookmarkStart w:id="21" w:name="_Toc801"/>
      <w:bookmarkStart w:id="22" w:name="_Toc16126"/>
      <w:r>
        <w:rPr>
          <w:rFonts w:hint="eastAsia" w:ascii="宋体" w:hAnsi="宋体"/>
          <w:color w:val="000000" w:themeColor="text1"/>
          <w:sz w:val="21"/>
          <w:szCs w:val="21"/>
          <w:highlight w:val="none"/>
        </w:rPr>
        <w:t xml:space="preserve">第二部分 </w:t>
      </w:r>
      <w:bookmarkStart w:id="23" w:name="_Hlt23321722"/>
      <w:bookmarkEnd w:id="23"/>
      <w:bookmarkStart w:id="24" w:name="_Toc75570886"/>
      <w:bookmarkStart w:id="25" w:name="_Toc333935280"/>
      <w:bookmarkStart w:id="26" w:name="_Toc333935621"/>
      <w:bookmarkStart w:id="27" w:name="_Toc333238573"/>
      <w:bookmarkStart w:id="28" w:name="_Toc330459949"/>
      <w:bookmarkStart w:id="29" w:name="_Toc333237725"/>
      <w:bookmarkStart w:id="30" w:name="_Toc333237614"/>
      <w:r>
        <w:rPr>
          <w:rFonts w:hint="eastAsia" w:ascii="宋体" w:hAnsi="宋体"/>
          <w:color w:val="000000" w:themeColor="text1"/>
          <w:sz w:val="21"/>
          <w:szCs w:val="21"/>
          <w:highlight w:val="none"/>
        </w:rPr>
        <w:t>采购项目内容</w:t>
      </w:r>
      <w:bookmarkEnd w:id="21"/>
      <w:bookmarkEnd w:id="22"/>
    </w:p>
    <w:bookmarkEnd w:id="24"/>
    <w:bookmarkEnd w:id="25"/>
    <w:bookmarkEnd w:id="26"/>
    <w:bookmarkEnd w:id="27"/>
    <w:bookmarkEnd w:id="28"/>
    <w:bookmarkEnd w:id="29"/>
    <w:bookmarkEnd w:id="30"/>
    <w:p>
      <w:pPr>
        <w:pStyle w:val="4"/>
        <w:numPr>
          <w:ilvl w:val="0"/>
          <w:numId w:val="0"/>
        </w:numPr>
        <w:autoSpaceDE w:val="0"/>
        <w:autoSpaceDN w:val="0"/>
        <w:adjustRightInd w:val="0"/>
        <w:snapToGrid w:val="0"/>
        <w:spacing w:beforeLines="100" w:after="0" w:line="360" w:lineRule="auto"/>
        <w:jc w:val="left"/>
        <w:textAlignment w:val="baseline"/>
        <w:rPr>
          <w:rFonts w:hint="eastAsia" w:ascii="宋体" w:hAnsi="宋体" w:eastAsia="宋体"/>
          <w:color w:val="000000" w:themeColor="text1"/>
          <w:sz w:val="21"/>
          <w:szCs w:val="21"/>
          <w:highlight w:val="none"/>
          <w:lang w:eastAsia="zh-CN"/>
        </w:rPr>
      </w:pPr>
      <w:bookmarkStart w:id="31" w:name="_Toc351986014"/>
      <w:bookmarkStart w:id="32" w:name="_Toc351986194"/>
      <w:bookmarkStart w:id="33" w:name="_Toc351987960"/>
      <w:bookmarkStart w:id="34" w:name="_Toc452826427"/>
      <w:bookmarkStart w:id="35" w:name="_Toc369180018"/>
      <w:bookmarkStart w:id="36" w:name="_Toc519865383"/>
      <w:bookmarkStart w:id="37" w:name="_Toc353522388"/>
      <w:bookmarkStart w:id="38" w:name="_Toc351987764"/>
      <w:bookmarkStart w:id="39" w:name="_Toc357151164"/>
      <w:bookmarkStart w:id="40" w:name="_Toc351990141"/>
      <w:bookmarkStart w:id="41" w:name="_Toc351985909"/>
      <w:bookmarkStart w:id="42" w:name="_Toc329242668"/>
      <w:bookmarkStart w:id="43" w:name="_Toc351988705"/>
      <w:bookmarkStart w:id="44" w:name="_Toc29598"/>
      <w:bookmarkStart w:id="45" w:name="_Toc3633"/>
      <w:r>
        <w:rPr>
          <w:rFonts w:hint="eastAsia" w:ascii="宋体" w:hAnsi="宋体"/>
          <w:color w:val="000000" w:themeColor="text1"/>
          <w:sz w:val="21"/>
          <w:szCs w:val="21"/>
          <w:highlight w:val="none"/>
        </w:rPr>
        <w:t>项目编号：</w:t>
      </w:r>
      <w:bookmarkEnd w:id="31"/>
      <w:bookmarkEnd w:id="32"/>
      <w:bookmarkEnd w:id="33"/>
      <w:bookmarkEnd w:id="34"/>
      <w:bookmarkEnd w:id="35"/>
      <w:bookmarkEnd w:id="36"/>
      <w:bookmarkEnd w:id="37"/>
      <w:bookmarkEnd w:id="38"/>
      <w:bookmarkEnd w:id="39"/>
      <w:bookmarkEnd w:id="40"/>
      <w:bookmarkEnd w:id="41"/>
      <w:bookmarkEnd w:id="42"/>
      <w:bookmarkEnd w:id="43"/>
      <w:r>
        <w:rPr>
          <w:rFonts w:hint="eastAsia" w:ascii="宋体" w:hAnsi="宋体"/>
          <w:color w:val="000000" w:themeColor="text1"/>
          <w:sz w:val="21"/>
          <w:szCs w:val="21"/>
          <w:highlight w:val="none"/>
          <w:u w:val="single"/>
          <w:lang w:eastAsia="zh-CN"/>
        </w:rPr>
        <w:t>YXCG-20220303</w:t>
      </w:r>
      <w:bookmarkEnd w:id="44"/>
    </w:p>
    <w:p>
      <w:pPr>
        <w:pStyle w:val="5"/>
        <w:widowControl/>
        <w:numPr>
          <w:ilvl w:val="1"/>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rPr>
      </w:pPr>
      <w:bookmarkStart w:id="46" w:name="_Toc351990142"/>
      <w:bookmarkStart w:id="47" w:name="_Toc452826428"/>
      <w:bookmarkStart w:id="48" w:name="_Toc351987765"/>
      <w:bookmarkStart w:id="49" w:name="_Toc353522389"/>
      <w:bookmarkStart w:id="50" w:name="_Toc351985910"/>
      <w:bookmarkStart w:id="51" w:name="_Toc357151165"/>
      <w:bookmarkStart w:id="52" w:name="_Toc351986015"/>
      <w:bookmarkStart w:id="53" w:name="_Toc519865384"/>
      <w:bookmarkStart w:id="54" w:name="_Toc369180019"/>
      <w:bookmarkStart w:id="55" w:name="_Toc329242669"/>
      <w:bookmarkStart w:id="56" w:name="_Toc351988706"/>
      <w:bookmarkStart w:id="57" w:name="_Toc351987961"/>
      <w:bookmarkStart w:id="58" w:name="_Toc351986195"/>
      <w:bookmarkStart w:id="59" w:name="_Toc15661"/>
      <w:r>
        <w:rPr>
          <w:rFonts w:hint="eastAsia" w:ascii="宋体" w:hAnsi="宋体" w:eastAsia="宋体"/>
          <w:color w:val="000000" w:themeColor="text1"/>
          <w:kern w:val="44"/>
          <w:sz w:val="21"/>
          <w:szCs w:val="21"/>
          <w:highlight w:val="none"/>
        </w:rPr>
        <w:t>项目名称：</w:t>
      </w:r>
      <w:bookmarkEnd w:id="46"/>
      <w:bookmarkEnd w:id="47"/>
      <w:bookmarkEnd w:id="48"/>
      <w:bookmarkEnd w:id="49"/>
      <w:bookmarkEnd w:id="50"/>
      <w:bookmarkEnd w:id="51"/>
      <w:bookmarkEnd w:id="52"/>
      <w:bookmarkEnd w:id="53"/>
      <w:bookmarkEnd w:id="54"/>
      <w:bookmarkEnd w:id="55"/>
      <w:bookmarkEnd w:id="56"/>
      <w:bookmarkEnd w:id="57"/>
      <w:bookmarkEnd w:id="58"/>
      <w:r>
        <w:rPr>
          <w:rFonts w:hint="eastAsia" w:ascii="宋体" w:hAnsi="宋体" w:eastAsia="宋体"/>
          <w:color w:val="000000" w:themeColor="text1"/>
          <w:kern w:val="44"/>
          <w:sz w:val="21"/>
          <w:szCs w:val="21"/>
          <w:highlight w:val="none"/>
          <w:u w:val="single"/>
          <w:lang w:eastAsia="zh-CN"/>
        </w:rPr>
        <w:t>中共阳西县委组织部干部人事档案管理信息系统建设及档案整理数字化项目</w:t>
      </w:r>
      <w:bookmarkEnd w:id="59"/>
    </w:p>
    <w:p>
      <w:pPr>
        <w:pStyle w:val="5"/>
        <w:numPr>
          <w:ilvl w:val="0"/>
          <w:numId w:val="0"/>
        </w:numPr>
        <w:spacing w:beforeLines="150" w:after="0" w:line="360" w:lineRule="auto"/>
        <w:jc w:val="center"/>
        <w:rPr>
          <w:rFonts w:ascii="宋体" w:hAnsi="宋体" w:eastAsia="宋体"/>
          <w:color w:val="000000" w:themeColor="text1"/>
          <w:kern w:val="0"/>
          <w:sz w:val="21"/>
          <w:szCs w:val="21"/>
          <w:highlight w:val="none"/>
        </w:rPr>
      </w:pPr>
      <w:bookmarkStart w:id="60" w:name="_Toc14753"/>
      <w:r>
        <w:rPr>
          <w:rFonts w:ascii="宋体" w:hAnsi="宋体" w:eastAsia="宋体"/>
          <w:color w:val="000000" w:themeColor="text1"/>
          <w:kern w:val="0"/>
          <w:sz w:val="21"/>
          <w:szCs w:val="21"/>
          <w:highlight w:val="none"/>
        </w:rPr>
        <w:t xml:space="preserve">A  </w:t>
      </w:r>
      <w:r>
        <w:rPr>
          <w:rFonts w:hint="eastAsia" w:ascii="宋体" w:hAnsi="宋体" w:eastAsia="宋体"/>
          <w:color w:val="000000" w:themeColor="text1"/>
          <w:kern w:val="0"/>
          <w:sz w:val="21"/>
          <w:szCs w:val="21"/>
          <w:highlight w:val="none"/>
        </w:rPr>
        <w:t>商务要求</w:t>
      </w:r>
      <w:bookmarkEnd w:id="45"/>
      <w:bookmarkEnd w:id="60"/>
    </w:p>
    <w:tbl>
      <w:tblPr>
        <w:tblStyle w:val="45"/>
        <w:tblpPr w:leftFromText="180" w:rightFromText="180" w:vertAnchor="text" w:tblpXSpec="center" w:tblpY="1"/>
        <w:tblOverlap w:val="never"/>
        <w:tblW w:w="10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400"/>
        <w:gridCol w:w="1780"/>
        <w:gridCol w:w="5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73"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序号</w:t>
            </w:r>
          </w:p>
        </w:tc>
        <w:tc>
          <w:tcPr>
            <w:tcW w:w="2400"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项  目</w:t>
            </w:r>
          </w:p>
        </w:tc>
        <w:tc>
          <w:tcPr>
            <w:tcW w:w="6857"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rPr>
            </w:pPr>
            <w:r>
              <w:rPr>
                <w:rFonts w:ascii="宋体" w:hAnsi="宋体"/>
                <w:color w:val="000000" w:themeColor="text1"/>
                <w:szCs w:val="21"/>
                <w:highlight w:val="none"/>
              </w:rPr>
              <w:t>1</w:t>
            </w:r>
          </w:p>
        </w:tc>
        <w:tc>
          <w:tcPr>
            <w:tcW w:w="24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
                <w:color w:val="000000" w:themeColor="text1"/>
                <w:szCs w:val="21"/>
                <w:highlight w:val="none"/>
              </w:rPr>
            </w:pPr>
            <w:r>
              <w:rPr>
                <w:rFonts w:hint="eastAsia" w:ascii="宋体" w:hAnsi="宋体"/>
                <w:b/>
                <w:color w:val="000000" w:themeColor="text1"/>
                <w:szCs w:val="21"/>
                <w:highlight w:val="none"/>
              </w:rPr>
              <w:t>投标人投标资格要求</w:t>
            </w:r>
          </w:p>
        </w:tc>
        <w:tc>
          <w:tcPr>
            <w:tcW w:w="685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ascii="宋体" w:hAnsi="宋体"/>
                <w:color w:val="000000" w:themeColor="text1"/>
                <w:szCs w:val="21"/>
                <w:highlight w:val="none"/>
              </w:rPr>
            </w:pPr>
            <w:r>
              <w:rPr>
                <w:rFonts w:hint="eastAsia" w:ascii="宋体" w:hAnsi="宋体"/>
                <w:color w:val="000000" w:themeColor="text1"/>
                <w:szCs w:val="21"/>
                <w:highlight w:val="none"/>
              </w:rPr>
              <w:t>详见第一部份《</w:t>
            </w:r>
            <w:r>
              <w:rPr>
                <w:rFonts w:hint="eastAsia"/>
                <w:color w:val="000000" w:themeColor="text1"/>
                <w:szCs w:val="21"/>
                <w:highlight w:val="none"/>
              </w:rPr>
              <w:t>谈判</w:t>
            </w:r>
            <w:r>
              <w:rPr>
                <w:rFonts w:hint="eastAsia" w:ascii="宋体" w:hAnsi="宋体"/>
                <w:color w:val="000000" w:themeColor="text1"/>
                <w:szCs w:val="21"/>
                <w:highlight w:val="none"/>
              </w:rPr>
              <w:t>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2</w:t>
            </w:r>
          </w:p>
        </w:tc>
        <w:tc>
          <w:tcPr>
            <w:tcW w:w="24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b/>
                <w:color w:val="000000" w:themeColor="text1"/>
                <w:szCs w:val="21"/>
                <w:highlight w:val="none"/>
                <w:lang w:eastAsia="zh-CN"/>
              </w:rPr>
            </w:pPr>
            <w:r>
              <w:rPr>
                <w:rFonts w:hint="eastAsia" w:ascii="宋体" w:hAnsi="宋体"/>
                <w:b/>
                <w:color w:val="000000" w:themeColor="text1"/>
                <w:szCs w:val="21"/>
                <w:highlight w:val="none"/>
                <w:lang w:eastAsia="zh-CN"/>
              </w:rPr>
              <w:t>完工期</w:t>
            </w:r>
          </w:p>
        </w:tc>
        <w:tc>
          <w:tcPr>
            <w:tcW w:w="685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ascii="宋体" w:hAnsi="宋体"/>
                <w:color w:val="000000" w:themeColor="text1"/>
                <w:szCs w:val="21"/>
                <w:highlight w:val="none"/>
              </w:rPr>
            </w:pPr>
            <w:r>
              <w:rPr>
                <w:rFonts w:hint="eastAsia" w:ascii="宋体" w:hAnsi="宋体"/>
                <w:color w:val="000000" w:themeColor="text1"/>
                <w:szCs w:val="21"/>
                <w:highlight w:val="none"/>
              </w:rPr>
              <w:t>详见第一部份《</w:t>
            </w:r>
            <w:r>
              <w:rPr>
                <w:rFonts w:hint="eastAsia"/>
                <w:color w:val="000000" w:themeColor="text1"/>
                <w:szCs w:val="21"/>
                <w:highlight w:val="none"/>
              </w:rPr>
              <w:t>谈判</w:t>
            </w:r>
            <w:r>
              <w:rPr>
                <w:rFonts w:hint="eastAsia" w:ascii="宋体" w:hAnsi="宋体"/>
                <w:color w:val="000000" w:themeColor="text1"/>
                <w:szCs w:val="21"/>
                <w:highlight w:val="none"/>
              </w:rPr>
              <w:t>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773"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3</w:t>
            </w:r>
          </w:p>
        </w:tc>
        <w:tc>
          <w:tcPr>
            <w:tcW w:w="240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
                <w:color w:val="000000" w:themeColor="text1"/>
                <w:szCs w:val="21"/>
                <w:highlight w:val="none"/>
              </w:rPr>
            </w:pPr>
            <w:r>
              <w:rPr>
                <w:rFonts w:hint="eastAsia" w:ascii="宋体" w:hAnsi="宋体" w:eastAsia="宋体" w:cs="宋体"/>
                <w:b/>
                <w:bCs/>
                <w:lang w:val="en-US" w:eastAsia="zh-CN"/>
              </w:rPr>
              <w:t>进度要求</w:t>
            </w:r>
          </w:p>
        </w:tc>
        <w:tc>
          <w:tcPr>
            <w:tcW w:w="685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lang w:val="en-US" w:eastAsia="zh-CN"/>
              </w:rPr>
              <w:t>1.成交供应商</w:t>
            </w:r>
            <w:r>
              <w:rPr>
                <w:rFonts w:hint="eastAsia" w:ascii="宋体" w:hAnsi="宋体"/>
                <w:color w:val="000000" w:themeColor="text1"/>
                <w:szCs w:val="21"/>
                <w:highlight w:val="none"/>
              </w:rPr>
              <w:t>需在合同签订后30个工作日内，启动项目；</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lang w:val="en-US" w:eastAsia="zh-CN"/>
              </w:rPr>
              <w:t>2.</w:t>
            </w:r>
            <w:r>
              <w:rPr>
                <w:rFonts w:hint="eastAsia" w:ascii="宋体" w:hAnsi="宋体"/>
                <w:color w:val="000000" w:themeColor="text1"/>
                <w:szCs w:val="21"/>
                <w:highlight w:val="none"/>
              </w:rPr>
              <w:t>2023年6月15日前，完成项目验收；</w:t>
            </w:r>
          </w:p>
          <w:p>
            <w:pPr>
              <w:keepNext w:val="0"/>
              <w:keepLines w:val="0"/>
              <w:pageBreakBefore w:val="0"/>
              <w:widowControl w:val="0"/>
              <w:kinsoku/>
              <w:wordWrap/>
              <w:overflowPunct/>
              <w:topLinePunct w:val="0"/>
              <w:autoSpaceDE/>
              <w:autoSpaceDN/>
              <w:bidi w:val="0"/>
              <w:adjustRightInd/>
              <w:spacing w:line="320" w:lineRule="exact"/>
              <w:textAlignment w:val="auto"/>
              <w:rPr>
                <w:rFonts w:ascii="宋体" w:hAnsi="宋体"/>
                <w:color w:val="000000" w:themeColor="text1"/>
                <w:szCs w:val="21"/>
                <w:highlight w:val="none"/>
              </w:rPr>
            </w:pPr>
            <w:r>
              <w:rPr>
                <w:rFonts w:hint="eastAsia" w:ascii="宋体" w:hAnsi="宋体"/>
                <w:color w:val="000000" w:themeColor="text1"/>
                <w:szCs w:val="21"/>
                <w:highlight w:val="none"/>
                <w:lang w:val="en-US" w:eastAsia="zh-CN"/>
              </w:rPr>
              <w:t>3.</w:t>
            </w:r>
            <w:r>
              <w:rPr>
                <w:rFonts w:hint="eastAsia" w:ascii="宋体" w:hAnsi="宋体"/>
                <w:color w:val="000000" w:themeColor="text1"/>
                <w:szCs w:val="21"/>
                <w:highlight w:val="none"/>
              </w:rPr>
              <w:t>2023年6月30日前，完成培训。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73"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4</w:t>
            </w:r>
          </w:p>
        </w:tc>
        <w:tc>
          <w:tcPr>
            <w:tcW w:w="240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
                <w:color w:val="000000" w:themeColor="text1"/>
                <w:szCs w:val="21"/>
                <w:highlight w:val="none"/>
              </w:rPr>
            </w:pPr>
            <w:r>
              <w:rPr>
                <w:rFonts w:hint="eastAsia"/>
                <w:b/>
                <w:color w:val="000000" w:themeColor="text1"/>
                <w:highlight w:val="none"/>
              </w:rPr>
              <w:t>投标报价包括</w:t>
            </w:r>
          </w:p>
        </w:tc>
        <w:tc>
          <w:tcPr>
            <w:tcW w:w="685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lang w:val="en-US" w:eastAsia="zh-CN"/>
              </w:rPr>
              <w:t>完成本项目的一切费用。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5</w:t>
            </w:r>
          </w:p>
        </w:tc>
        <w:tc>
          <w:tcPr>
            <w:tcW w:w="24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
                <w:color w:val="000000" w:themeColor="text1"/>
                <w:szCs w:val="21"/>
                <w:highlight w:val="none"/>
              </w:rPr>
            </w:pPr>
            <w:r>
              <w:rPr>
                <w:rFonts w:hint="eastAsia"/>
                <w:b/>
                <w:color w:val="000000" w:themeColor="text1"/>
                <w:highlight w:val="none"/>
              </w:rPr>
              <w:t>合同签订要求</w:t>
            </w:r>
          </w:p>
        </w:tc>
        <w:tc>
          <w:tcPr>
            <w:tcW w:w="685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ascii="宋体" w:hAnsi="宋体"/>
                <w:color w:val="000000" w:themeColor="text1"/>
                <w:szCs w:val="21"/>
                <w:highlight w:val="none"/>
              </w:rPr>
            </w:pPr>
            <w:r>
              <w:rPr>
                <w:rFonts w:hint="eastAsia" w:ascii="宋体" w:hAnsi="宋体" w:eastAsia="宋体" w:cs="宋体"/>
              </w:rPr>
              <w:t>采购合同由</w:t>
            </w:r>
            <w:r>
              <w:rPr>
                <w:rFonts w:hint="eastAsia" w:ascii="宋体" w:hAnsi="宋体" w:eastAsia="宋体" w:cs="宋体"/>
                <w:lang w:val="en-US" w:eastAsia="zh-CN"/>
              </w:rPr>
              <w:t>成交供应商</w:t>
            </w:r>
            <w:r>
              <w:rPr>
                <w:rFonts w:hint="eastAsia" w:ascii="宋体" w:hAnsi="宋体" w:eastAsia="宋体" w:cs="宋体"/>
              </w:rPr>
              <w:t>与采购人双方签订，签订时间为《</w:t>
            </w:r>
            <w:r>
              <w:rPr>
                <w:rFonts w:hint="eastAsia" w:ascii="宋体" w:hAnsi="宋体" w:eastAsia="宋体" w:cs="宋体"/>
                <w:lang w:val="en-US" w:eastAsia="zh-CN"/>
              </w:rPr>
              <w:t>成交</w:t>
            </w:r>
            <w:r>
              <w:rPr>
                <w:rFonts w:hint="eastAsia" w:ascii="宋体" w:hAnsi="宋体" w:eastAsia="宋体" w:cs="宋体"/>
              </w:rPr>
              <w:t>通知书》发出之日起</w:t>
            </w:r>
            <w:r>
              <w:rPr>
                <w:rFonts w:hint="eastAsia" w:ascii="宋体" w:hAnsi="宋体" w:eastAsia="宋体" w:cs="宋体"/>
                <w:lang w:val="en-US" w:eastAsia="zh-CN"/>
              </w:rPr>
              <w:t>30</w:t>
            </w:r>
            <w:r>
              <w:rPr>
                <w:rFonts w:hint="eastAsia" w:ascii="宋体" w:hAnsi="宋体" w:eastAsia="宋体" w:cs="宋体"/>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73"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6</w:t>
            </w:r>
          </w:p>
        </w:tc>
        <w:tc>
          <w:tcPr>
            <w:tcW w:w="240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
                <w:color w:val="000000" w:themeColor="text1"/>
                <w:szCs w:val="21"/>
                <w:highlight w:val="none"/>
              </w:rPr>
            </w:pPr>
            <w:r>
              <w:rPr>
                <w:rFonts w:hint="eastAsia" w:ascii="宋体" w:hAnsi="宋体"/>
                <w:b/>
                <w:color w:val="000000" w:themeColor="text1"/>
                <w:szCs w:val="21"/>
                <w:highlight w:val="none"/>
                <w:lang w:val="en-US" w:eastAsia="zh-CN"/>
              </w:rPr>
              <w:t>完工</w:t>
            </w:r>
            <w:r>
              <w:rPr>
                <w:rFonts w:hint="eastAsia"/>
                <w:b/>
                <w:color w:val="000000" w:themeColor="text1"/>
                <w:highlight w:val="none"/>
              </w:rPr>
              <w:t>地点</w:t>
            </w:r>
          </w:p>
        </w:tc>
        <w:tc>
          <w:tcPr>
            <w:tcW w:w="685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olor w:val="000000" w:themeColor="text1"/>
                <w:szCs w:val="21"/>
                <w:highlight w:val="none"/>
                <w:lang w:val="zh-CN" w:eastAsia="zh-CN"/>
              </w:rPr>
            </w:pPr>
            <w:r>
              <w:rPr>
                <w:rFonts w:hint="eastAsia" w:ascii="宋体" w:hAnsi="宋体"/>
                <w:szCs w:val="24"/>
              </w:rPr>
              <w:t>采购人指定地点。成交供应商将设备运输到采购人指定地点，并负责设备的组装、调试，直至验收合格投入使用。还需提供配套的辅助设备、技术资料（包括操作手册、使用指南、维修指南或服务手册等）、使用所必需的备品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73"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lang w:val="en-US" w:eastAsia="zh-CN"/>
              </w:rPr>
              <w:t>7</w:t>
            </w:r>
          </w:p>
        </w:tc>
        <w:tc>
          <w:tcPr>
            <w:tcW w:w="240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s="Calibri"/>
                <w:b/>
                <w:color w:val="000000" w:themeColor="text1"/>
                <w:szCs w:val="21"/>
                <w:highlight w:val="none"/>
              </w:rPr>
            </w:pPr>
            <w:r>
              <w:rPr>
                <w:rFonts w:hint="eastAsia" w:ascii="宋体" w:hAnsi="宋体" w:eastAsia="宋体" w:cs="宋体"/>
                <w:b/>
                <w:bCs/>
                <w:lang w:val="en-US" w:eastAsia="zh-CN"/>
              </w:rPr>
              <w:t>付款方式</w:t>
            </w:r>
          </w:p>
        </w:tc>
        <w:tc>
          <w:tcPr>
            <w:tcW w:w="6857" w:type="dxa"/>
            <w:gridSpan w:val="2"/>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color w:val="000000" w:themeColor="text1"/>
                <w:highlight w:val="none"/>
                <w:lang w:val="en-US" w:eastAsia="zh-CN"/>
              </w:rPr>
            </w:pPr>
            <w:r>
              <w:rPr>
                <w:rFonts w:hint="eastAsia"/>
                <w:color w:val="000000" w:themeColor="text1"/>
                <w:highlight w:val="none"/>
                <w:lang w:val="en-US" w:eastAsia="zh-CN"/>
              </w:rPr>
              <w:t>1.成交供应商提供的全部硬件到货并经采购人验收合格后15个工作日内，采购人向成交供应商支付合同金额的70%。</w:t>
            </w:r>
          </w:p>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rPr>
            </w:pPr>
            <w:r>
              <w:rPr>
                <w:rFonts w:hint="eastAsia"/>
                <w:color w:val="000000" w:themeColor="text1"/>
                <w:highlight w:val="none"/>
                <w:lang w:val="en-US" w:eastAsia="zh-CN"/>
              </w:rPr>
              <w:t>2.成交供应商完成全部干部人事档案数字化工作，经采购人验收合格后15个工作日内，采购人支付成交供应商合同金额的30%。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73"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8</w:t>
            </w:r>
          </w:p>
        </w:tc>
        <w:tc>
          <w:tcPr>
            <w:tcW w:w="240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bCs/>
                <w:lang w:val="en-US" w:eastAsia="zh-CN"/>
              </w:rPr>
            </w:pPr>
            <w:r>
              <w:rPr>
                <w:rFonts w:hint="eastAsia" w:ascii="宋体" w:hAnsi="宋体" w:eastAsia="宋体" w:cs="宋体"/>
                <w:b/>
                <w:bCs/>
                <w:lang w:val="en-US" w:eastAsia="zh-CN"/>
              </w:rPr>
              <w:t>培训要求</w:t>
            </w:r>
          </w:p>
        </w:tc>
        <w:tc>
          <w:tcPr>
            <w:tcW w:w="6857" w:type="dxa"/>
            <w:gridSpan w:val="2"/>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color w:val="000000" w:themeColor="text1"/>
                <w:highlight w:val="none"/>
                <w:lang w:val="en-US" w:eastAsia="zh-CN"/>
              </w:rPr>
            </w:pPr>
            <w:r>
              <w:rPr>
                <w:rFonts w:hint="eastAsia" w:ascii="宋体" w:hAnsi="宋体" w:eastAsia="宋体" w:cs="宋体"/>
                <w:lang w:val="en-US" w:eastAsia="zh-CN"/>
              </w:rPr>
              <w:t>成交供应商完成采购人业务人员、系统维护人员的技术培训，提供不小于8小时的授课培训，移交系统使用资料和说明文件，指导采购人使用档案管理信息系统相关功能。采购人对档案管理人员开展档案数字化培训等工作，培训费、授课费、场地费等相关费用由成交供应商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73"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9</w:t>
            </w:r>
          </w:p>
        </w:tc>
        <w:tc>
          <w:tcPr>
            <w:tcW w:w="240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bCs/>
                <w:lang w:val="en-US" w:eastAsia="zh-CN"/>
              </w:rPr>
            </w:pPr>
            <w:r>
              <w:rPr>
                <w:rFonts w:hint="eastAsia" w:ascii="宋体" w:hAnsi="宋体" w:eastAsia="宋体" w:cs="宋体"/>
                <w:b/>
                <w:bCs/>
              </w:rPr>
              <w:t>验收</w:t>
            </w:r>
            <w:r>
              <w:rPr>
                <w:rFonts w:hint="eastAsia" w:ascii="宋体" w:hAnsi="宋体" w:eastAsia="宋体" w:cs="宋体"/>
                <w:b/>
                <w:bCs/>
                <w:lang w:val="en-US" w:eastAsia="zh-CN"/>
              </w:rPr>
              <w:t>要求</w:t>
            </w:r>
          </w:p>
        </w:tc>
        <w:tc>
          <w:tcPr>
            <w:tcW w:w="6857" w:type="dxa"/>
            <w:gridSpan w:val="2"/>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ind w:firstLine="420" w:firstLineChars="200"/>
              <w:textAlignment w:val="auto"/>
              <w:rPr>
                <w:rFonts w:hint="eastAsia"/>
                <w:color w:val="000000" w:themeColor="text1"/>
                <w:highlight w:val="none"/>
                <w:lang w:val="en-US" w:eastAsia="zh-CN"/>
              </w:rPr>
            </w:pPr>
            <w:r>
              <w:rPr>
                <w:rFonts w:hint="eastAsia"/>
                <w:color w:val="000000" w:themeColor="text1"/>
                <w:highlight w:val="none"/>
                <w:lang w:val="en-US" w:eastAsia="zh-CN"/>
              </w:rPr>
              <w:t>项目完成后，采购人对档案整理及数字化制作和档案管理系统应用内容进行验收，验收标准除需满足技术规范相关要求外，同时还需包括以下内容：</w:t>
            </w:r>
          </w:p>
          <w:p>
            <w:pPr>
              <w:keepNext w:val="0"/>
              <w:keepLines w:val="0"/>
              <w:pageBreakBefore w:val="0"/>
              <w:kinsoku/>
              <w:wordWrap/>
              <w:overflowPunct/>
              <w:topLinePunct w:val="0"/>
              <w:autoSpaceDE/>
              <w:autoSpaceDN/>
              <w:bidi w:val="0"/>
              <w:adjustRightInd/>
              <w:spacing w:line="320" w:lineRule="exact"/>
              <w:textAlignment w:val="auto"/>
              <w:rPr>
                <w:rFonts w:hint="eastAsia"/>
                <w:color w:val="000000" w:themeColor="text1"/>
                <w:highlight w:val="none"/>
                <w:lang w:val="en-US" w:eastAsia="zh-CN"/>
              </w:rPr>
            </w:pPr>
            <w:r>
              <w:rPr>
                <w:rFonts w:hint="eastAsia"/>
                <w:color w:val="000000" w:themeColor="text1"/>
                <w:highlight w:val="none"/>
                <w:lang w:val="en-US" w:eastAsia="zh-CN"/>
              </w:rPr>
              <w:t>1.成交供应商所交付的系统应满足双方确认的需求分析和技术规范，系统开发完成并且部署成功后需经采购人测试通过，确认所有系统功能模块符合要求，能够正常运行。</w:t>
            </w:r>
          </w:p>
          <w:p>
            <w:pPr>
              <w:keepNext w:val="0"/>
              <w:keepLines w:val="0"/>
              <w:pageBreakBefore w:val="0"/>
              <w:kinsoku/>
              <w:wordWrap/>
              <w:overflowPunct/>
              <w:topLinePunct w:val="0"/>
              <w:autoSpaceDE/>
              <w:autoSpaceDN/>
              <w:bidi w:val="0"/>
              <w:adjustRightInd/>
              <w:spacing w:line="320" w:lineRule="exact"/>
              <w:textAlignment w:val="auto"/>
              <w:rPr>
                <w:rFonts w:hint="eastAsia"/>
                <w:color w:val="000000" w:themeColor="text1"/>
                <w:highlight w:val="none"/>
                <w:lang w:val="en-US" w:eastAsia="zh-CN"/>
              </w:rPr>
            </w:pPr>
            <w:r>
              <w:rPr>
                <w:rFonts w:hint="eastAsia"/>
                <w:color w:val="000000" w:themeColor="text1"/>
                <w:highlight w:val="none"/>
                <w:lang w:val="en-US" w:eastAsia="zh-CN"/>
              </w:rPr>
              <w:t>2.成交供应商为采购人提供项目所有环节涉及到的技术资料，并且相关资料要以电子和纸质文档两种形式供采购人进行存档备份。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73"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10</w:t>
            </w:r>
          </w:p>
        </w:tc>
        <w:tc>
          <w:tcPr>
            <w:tcW w:w="240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bCs/>
                <w:lang w:val="en-US" w:eastAsia="zh-CN"/>
              </w:rPr>
            </w:pPr>
            <w:r>
              <w:rPr>
                <w:rFonts w:hint="eastAsia" w:ascii="宋体" w:hAnsi="宋体" w:eastAsia="宋体" w:cs="宋体"/>
                <w:b/>
                <w:bCs/>
                <w:lang w:val="en-US" w:eastAsia="zh-CN"/>
              </w:rPr>
              <w:t>售后服务要求</w:t>
            </w:r>
          </w:p>
        </w:tc>
        <w:tc>
          <w:tcPr>
            <w:tcW w:w="6857" w:type="dxa"/>
            <w:gridSpan w:val="2"/>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ind w:firstLine="420" w:firstLineChars="200"/>
              <w:textAlignment w:val="auto"/>
              <w:rPr>
                <w:rFonts w:hint="eastAsia"/>
                <w:color w:val="000000" w:themeColor="text1"/>
                <w:highlight w:val="none"/>
                <w:lang w:val="en-US" w:eastAsia="zh-CN"/>
              </w:rPr>
            </w:pPr>
            <w:r>
              <w:rPr>
                <w:rFonts w:hint="eastAsia"/>
                <w:color w:val="000000" w:themeColor="text1"/>
                <w:highlight w:val="none"/>
                <w:lang w:val="en-US" w:eastAsia="zh-CN"/>
              </w:rPr>
              <w:t>项目验收合格后质保期限1年，包含档案数字化制作及系统运维，项目集中实施阶段和质保期内要求：</w:t>
            </w:r>
          </w:p>
          <w:p>
            <w:pPr>
              <w:keepNext w:val="0"/>
              <w:keepLines w:val="0"/>
              <w:pageBreakBefore w:val="0"/>
              <w:kinsoku/>
              <w:wordWrap/>
              <w:overflowPunct/>
              <w:topLinePunct w:val="0"/>
              <w:autoSpaceDE/>
              <w:autoSpaceDN/>
              <w:bidi w:val="0"/>
              <w:adjustRightInd/>
              <w:spacing w:line="320" w:lineRule="exact"/>
              <w:textAlignment w:val="auto"/>
              <w:rPr>
                <w:rFonts w:hint="eastAsia"/>
                <w:color w:val="000000" w:themeColor="text1"/>
                <w:highlight w:val="none"/>
                <w:lang w:val="en-US" w:eastAsia="zh-CN"/>
              </w:rPr>
            </w:pPr>
            <w:r>
              <w:rPr>
                <w:rFonts w:hint="eastAsia"/>
                <w:color w:val="000000" w:themeColor="text1"/>
                <w:highlight w:val="none"/>
                <w:lang w:val="en-US" w:eastAsia="zh-CN"/>
              </w:rPr>
              <w:t>1.免费提供软件的升级服务；</w:t>
            </w:r>
          </w:p>
          <w:p>
            <w:pPr>
              <w:keepNext w:val="0"/>
              <w:keepLines w:val="0"/>
              <w:pageBreakBefore w:val="0"/>
              <w:kinsoku/>
              <w:wordWrap/>
              <w:overflowPunct/>
              <w:topLinePunct w:val="0"/>
              <w:autoSpaceDE/>
              <w:autoSpaceDN/>
              <w:bidi w:val="0"/>
              <w:adjustRightInd/>
              <w:spacing w:line="320" w:lineRule="exact"/>
              <w:textAlignment w:val="auto"/>
              <w:rPr>
                <w:rFonts w:hint="eastAsia"/>
                <w:color w:val="000000" w:themeColor="text1"/>
                <w:highlight w:val="none"/>
                <w:lang w:val="en-US" w:eastAsia="zh-CN"/>
              </w:rPr>
            </w:pPr>
            <w:r>
              <w:rPr>
                <w:rFonts w:hint="eastAsia"/>
                <w:color w:val="000000" w:themeColor="text1"/>
                <w:highlight w:val="none"/>
                <w:lang w:val="en-US" w:eastAsia="zh-CN"/>
              </w:rPr>
              <w:t>2.在质保期内，如成交供应商提供的项目交付成果有缺陷，或项目的性能和质量不符合要求时，成交供应商应及时排除缺陷、替换或更换出现故障的交付成果，相关费用由成交供应商承担。</w:t>
            </w:r>
          </w:p>
          <w:p>
            <w:pPr>
              <w:keepNext w:val="0"/>
              <w:keepLines w:val="0"/>
              <w:pageBreakBefore w:val="0"/>
              <w:kinsoku/>
              <w:wordWrap/>
              <w:overflowPunct/>
              <w:topLinePunct w:val="0"/>
              <w:autoSpaceDE/>
              <w:autoSpaceDN/>
              <w:bidi w:val="0"/>
              <w:adjustRightInd/>
              <w:spacing w:line="320" w:lineRule="exact"/>
              <w:textAlignment w:val="auto"/>
              <w:rPr>
                <w:rFonts w:hint="eastAsia"/>
                <w:color w:val="000000" w:themeColor="text1"/>
                <w:highlight w:val="none"/>
                <w:lang w:val="en-US" w:eastAsia="zh-CN"/>
              </w:rPr>
            </w:pPr>
            <w:r>
              <w:rPr>
                <w:rFonts w:hint="eastAsia"/>
                <w:color w:val="000000" w:themeColor="text1"/>
                <w:highlight w:val="none"/>
                <w:lang w:val="en-US" w:eastAsia="zh-CN"/>
              </w:rPr>
              <w:t>3.质保期内，如发现非人为因素导致的产品质量问题供货商应无条件退换，质保期和免费维修期相应顺延。</w:t>
            </w:r>
          </w:p>
          <w:p>
            <w:pPr>
              <w:keepNext w:val="0"/>
              <w:keepLines w:val="0"/>
              <w:pageBreakBefore w:val="0"/>
              <w:kinsoku/>
              <w:wordWrap/>
              <w:overflowPunct/>
              <w:topLinePunct w:val="0"/>
              <w:autoSpaceDE/>
              <w:autoSpaceDN/>
              <w:bidi w:val="0"/>
              <w:adjustRightInd/>
              <w:spacing w:line="320" w:lineRule="exact"/>
              <w:textAlignment w:val="auto"/>
              <w:rPr>
                <w:rFonts w:hint="eastAsia"/>
                <w:color w:val="000000" w:themeColor="text1"/>
                <w:highlight w:val="none"/>
                <w:lang w:val="en-US" w:eastAsia="zh-CN"/>
              </w:rPr>
            </w:pPr>
            <w:r>
              <w:rPr>
                <w:rFonts w:hint="eastAsia"/>
                <w:color w:val="000000" w:themeColor="text1"/>
                <w:highlight w:val="none"/>
                <w:lang w:val="en-US" w:eastAsia="zh-CN"/>
              </w:rPr>
              <w:t>4.硬件（含第三方软件）质保期按照产品原厂保修规定执行。</w:t>
            </w:r>
          </w:p>
          <w:p>
            <w:pPr>
              <w:keepNext w:val="0"/>
              <w:keepLines w:val="0"/>
              <w:pageBreakBefore w:val="0"/>
              <w:kinsoku/>
              <w:wordWrap/>
              <w:overflowPunct/>
              <w:topLinePunct w:val="0"/>
              <w:autoSpaceDE/>
              <w:autoSpaceDN/>
              <w:bidi w:val="0"/>
              <w:adjustRightInd/>
              <w:spacing w:line="320" w:lineRule="exact"/>
              <w:textAlignment w:val="auto"/>
              <w:rPr>
                <w:rFonts w:hint="eastAsia"/>
                <w:color w:val="000000" w:themeColor="text1"/>
                <w:highlight w:val="none"/>
                <w:lang w:val="en-US" w:eastAsia="zh-CN"/>
              </w:rPr>
            </w:pPr>
            <w:r>
              <w:rPr>
                <w:rFonts w:hint="eastAsia"/>
                <w:color w:val="000000" w:themeColor="text1"/>
                <w:highlight w:val="none"/>
                <w:lang w:val="en-US" w:eastAsia="zh-CN"/>
              </w:rPr>
              <w:t>5.质保期过后，成交供应商需继续提供系统咨询服务。如果采购人继续委托成交供应商进行运维服务，则双方另行签署维护协议。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lang w:val="en-US" w:eastAsia="zh-CN"/>
              </w:rPr>
              <w:t>11</w:t>
            </w:r>
          </w:p>
        </w:tc>
        <w:tc>
          <w:tcPr>
            <w:tcW w:w="2400"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
                <w:color w:val="000000" w:themeColor="text1"/>
                <w:szCs w:val="21"/>
                <w:highlight w:val="none"/>
              </w:rPr>
            </w:pPr>
            <w:r>
              <w:rPr>
                <w:rFonts w:hint="eastAsia" w:ascii="宋体" w:hAnsi="宋体"/>
                <w:b/>
                <w:color w:val="000000" w:themeColor="text1"/>
                <w:szCs w:val="21"/>
                <w:highlight w:val="none"/>
              </w:rPr>
              <w:t>投标保证金</w:t>
            </w:r>
          </w:p>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（应当以支票、汇票、本票或者金融机构、担保机构出具的保函等非现金形式提交）。</w:t>
            </w:r>
          </w:p>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rPr>
            </w:pPr>
            <w:r>
              <w:rPr>
                <w:rFonts w:hint="eastAsia" w:ascii="宋体" w:hAnsi="宋体"/>
                <w:b/>
                <w:color w:val="000000" w:themeColor="text1"/>
                <w:szCs w:val="21"/>
                <w:highlight w:val="none"/>
              </w:rPr>
              <w:t>提交主体：必须以投标人自身名义提交，</w:t>
            </w:r>
            <w:r>
              <w:rPr>
                <w:rFonts w:hint="eastAsia" w:ascii="宋体" w:hAnsi="宋体"/>
                <w:color w:val="000000" w:themeColor="text1"/>
                <w:szCs w:val="21"/>
                <w:highlight w:val="none"/>
              </w:rPr>
              <w:t>应注明“</w:t>
            </w:r>
            <w:r>
              <w:rPr>
                <w:rFonts w:ascii="宋体" w:hAnsi="宋体"/>
                <w:b/>
                <w:color w:val="000000" w:themeColor="text1"/>
                <w:szCs w:val="21"/>
                <w:highlight w:val="none"/>
              </w:rPr>
              <w:t>（</w:t>
            </w:r>
            <w:r>
              <w:rPr>
                <w:rFonts w:hint="eastAsia" w:ascii="宋体" w:hAnsi="宋体"/>
                <w:b/>
                <w:color w:val="000000" w:themeColor="text1"/>
                <w:szCs w:val="21"/>
                <w:highlight w:val="none"/>
              </w:rPr>
              <w:t>项目编号）投标保证金</w:t>
            </w:r>
            <w:r>
              <w:rPr>
                <w:rFonts w:hint="eastAsia" w:ascii="宋体" w:hAnsi="宋体"/>
                <w:color w:val="000000" w:themeColor="text1"/>
                <w:szCs w:val="21"/>
                <w:highlight w:val="none"/>
              </w:rPr>
              <w:t>”。</w:t>
            </w:r>
          </w:p>
        </w:tc>
        <w:tc>
          <w:tcPr>
            <w:tcW w:w="17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保证金数额</w:t>
            </w:r>
          </w:p>
        </w:tc>
        <w:tc>
          <w:tcPr>
            <w:tcW w:w="50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ind w:left="316" w:hanging="316" w:hangingChars="150"/>
              <w:jc w:val="left"/>
              <w:textAlignment w:val="auto"/>
              <w:rPr>
                <w:rFonts w:ascii="宋体" w:hAnsi="宋体"/>
                <w:b/>
                <w:color w:val="000000" w:themeColor="text1"/>
                <w:szCs w:val="21"/>
                <w:highlight w:val="none"/>
              </w:rPr>
            </w:pPr>
            <w:r>
              <w:rPr>
                <w:rFonts w:hint="eastAsia" w:ascii="宋体" w:hAnsi="宋体"/>
                <w:b/>
                <w:color w:val="000000" w:themeColor="text1"/>
                <w:szCs w:val="21"/>
                <w:highlight w:val="none"/>
              </w:rPr>
              <w:t>人民币</w:t>
            </w:r>
            <w:r>
              <w:rPr>
                <w:rFonts w:hint="eastAsia" w:ascii="宋体" w:hAnsi="宋体"/>
                <w:b/>
                <w:color w:val="000000" w:themeColor="text1"/>
                <w:szCs w:val="21"/>
                <w:highlight w:val="none"/>
                <w:lang w:val="en-US" w:eastAsia="zh-CN"/>
              </w:rPr>
              <w:t>壹</w:t>
            </w:r>
            <w:r>
              <w:rPr>
                <w:rFonts w:hint="eastAsia" w:ascii="宋体" w:hAnsi="宋体"/>
                <w:b/>
                <w:color w:val="000000" w:themeColor="text1"/>
                <w:szCs w:val="21"/>
                <w:highlight w:val="none"/>
              </w:rPr>
              <w:t>万</w:t>
            </w:r>
            <w:r>
              <w:rPr>
                <w:rFonts w:hint="eastAsia" w:ascii="宋体" w:hAnsi="宋体"/>
                <w:b/>
                <w:color w:val="000000" w:themeColor="text1"/>
                <w:szCs w:val="21"/>
                <w:highlight w:val="none"/>
                <w:lang w:val="en-US" w:eastAsia="zh-CN"/>
              </w:rPr>
              <w:t>伍仟</w:t>
            </w:r>
            <w:r>
              <w:rPr>
                <w:rFonts w:hint="eastAsia" w:ascii="宋体" w:hAnsi="宋体"/>
                <w:b/>
                <w:color w:val="000000" w:themeColor="text1"/>
                <w:szCs w:val="21"/>
                <w:highlight w:val="none"/>
              </w:rPr>
              <w:t>元整（￥</w:t>
            </w:r>
            <w:r>
              <w:rPr>
                <w:rFonts w:hint="eastAsia" w:ascii="宋体" w:hAnsi="宋体"/>
                <w:b/>
                <w:color w:val="000000" w:themeColor="text1"/>
                <w:szCs w:val="21"/>
                <w:highlight w:val="none"/>
                <w:lang w:val="en-US" w:eastAsia="zh-CN"/>
              </w:rPr>
              <w:t>15</w:t>
            </w:r>
            <w:r>
              <w:rPr>
                <w:rFonts w:hint="eastAsia" w:ascii="宋体" w:hAnsi="宋体"/>
                <w:b/>
                <w:color w:val="000000" w:themeColor="text1"/>
                <w:szCs w:val="21"/>
                <w:highlight w:val="none"/>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73"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rPr>
            </w:pPr>
          </w:p>
        </w:tc>
        <w:tc>
          <w:tcPr>
            <w:tcW w:w="24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rPr>
            </w:pPr>
          </w:p>
        </w:tc>
        <w:tc>
          <w:tcPr>
            <w:tcW w:w="17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rPr>
            </w:pPr>
            <w:r>
              <w:rPr>
                <w:rFonts w:hint="eastAsia" w:ascii="宋体" w:hAnsi="宋体"/>
                <w:bCs/>
                <w:color w:val="000000" w:themeColor="text1"/>
                <w:szCs w:val="21"/>
                <w:highlight w:val="none"/>
              </w:rPr>
              <w:t>开户名称</w:t>
            </w:r>
          </w:p>
        </w:tc>
        <w:tc>
          <w:tcPr>
            <w:tcW w:w="50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ascii="宋体" w:hAnsi="宋体"/>
                <w:b/>
                <w:bCs/>
                <w:color w:val="000000" w:themeColor="text1"/>
                <w:szCs w:val="21"/>
                <w:highlight w:val="none"/>
              </w:rPr>
            </w:pPr>
            <w:r>
              <w:rPr>
                <w:rFonts w:hint="eastAsia" w:ascii="宋体" w:hAnsi="宋体"/>
                <w:b/>
                <w:bCs/>
                <w:color w:val="000000" w:themeColor="text1"/>
                <w:szCs w:val="21"/>
                <w:highlight w:val="none"/>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rPr>
            </w:pPr>
          </w:p>
        </w:tc>
        <w:tc>
          <w:tcPr>
            <w:tcW w:w="240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ascii="宋体" w:hAnsi="宋体"/>
                <w:color w:val="000000" w:themeColor="text1"/>
                <w:szCs w:val="21"/>
                <w:highlight w:val="none"/>
              </w:rPr>
            </w:pPr>
          </w:p>
        </w:tc>
        <w:tc>
          <w:tcPr>
            <w:tcW w:w="17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rPr>
            </w:pPr>
            <w:r>
              <w:rPr>
                <w:rFonts w:hint="eastAsia" w:ascii="宋体" w:hAnsi="宋体"/>
                <w:bCs/>
                <w:color w:val="000000" w:themeColor="text1"/>
                <w:szCs w:val="21"/>
                <w:highlight w:val="none"/>
              </w:rPr>
              <w:t>账    号</w:t>
            </w:r>
          </w:p>
        </w:tc>
        <w:tc>
          <w:tcPr>
            <w:tcW w:w="50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ascii="宋体" w:hAnsi="宋体"/>
                <w:b/>
                <w:bCs/>
                <w:color w:val="000000" w:themeColor="text1"/>
                <w:szCs w:val="21"/>
                <w:highlight w:val="none"/>
              </w:rPr>
            </w:pPr>
            <w:r>
              <w:rPr>
                <w:rFonts w:hint="eastAsia" w:ascii="宋体" w:hAnsi="宋体"/>
                <w:b/>
                <w:bCs/>
                <w:color w:val="000000" w:themeColor="text1"/>
                <w:szCs w:val="21"/>
                <w:highlight w:val="none"/>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rPr>
            </w:pPr>
          </w:p>
        </w:tc>
        <w:tc>
          <w:tcPr>
            <w:tcW w:w="240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ascii="宋体" w:hAnsi="宋体"/>
                <w:color w:val="000000" w:themeColor="text1"/>
                <w:szCs w:val="21"/>
                <w:highlight w:val="none"/>
              </w:rPr>
            </w:pPr>
          </w:p>
        </w:tc>
        <w:tc>
          <w:tcPr>
            <w:tcW w:w="17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rPr>
            </w:pPr>
            <w:r>
              <w:rPr>
                <w:rFonts w:hint="eastAsia" w:ascii="宋体" w:hAnsi="宋体"/>
                <w:bCs/>
                <w:color w:val="000000" w:themeColor="text1"/>
                <w:szCs w:val="21"/>
                <w:highlight w:val="none"/>
              </w:rPr>
              <w:t>开户银行</w:t>
            </w:r>
          </w:p>
        </w:tc>
        <w:tc>
          <w:tcPr>
            <w:tcW w:w="50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ascii="宋体" w:hAnsi="宋体"/>
                <w:b/>
                <w:bCs/>
                <w:color w:val="000000" w:themeColor="text1"/>
                <w:szCs w:val="21"/>
                <w:highlight w:val="none"/>
              </w:rPr>
            </w:pPr>
            <w:r>
              <w:rPr>
                <w:rFonts w:hint="eastAsia" w:ascii="宋体" w:hAnsi="宋体"/>
                <w:b/>
                <w:bCs/>
                <w:color w:val="000000" w:themeColor="text1"/>
                <w:szCs w:val="21"/>
                <w:highlight w:val="none"/>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rPr>
            </w:pPr>
          </w:p>
        </w:tc>
        <w:tc>
          <w:tcPr>
            <w:tcW w:w="240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ascii="宋体" w:hAnsi="宋体"/>
                <w:color w:val="000000" w:themeColor="text1"/>
                <w:szCs w:val="21"/>
                <w:highlight w:val="none"/>
              </w:rPr>
            </w:pPr>
          </w:p>
        </w:tc>
        <w:tc>
          <w:tcPr>
            <w:tcW w:w="17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交纳时间</w:t>
            </w:r>
          </w:p>
        </w:tc>
        <w:tc>
          <w:tcPr>
            <w:tcW w:w="50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textAlignment w:val="auto"/>
              <w:rPr>
                <w:rFonts w:ascii="宋体" w:hAnsi="宋体"/>
                <w:color w:val="000000" w:themeColor="text1"/>
                <w:szCs w:val="21"/>
                <w:highlight w:val="none"/>
              </w:rPr>
            </w:pPr>
            <w:r>
              <w:rPr>
                <w:rFonts w:hint="eastAsia" w:ascii="宋体" w:hAnsi="宋体"/>
                <w:color w:val="000000" w:themeColor="text1"/>
                <w:szCs w:val="21"/>
                <w:highlight w:val="none"/>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773"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lang w:val="en-US" w:eastAsia="zh-CN"/>
              </w:rPr>
              <w:t>12</w:t>
            </w:r>
          </w:p>
        </w:tc>
        <w:tc>
          <w:tcPr>
            <w:tcW w:w="2400"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
                <w:color w:val="000000" w:themeColor="text1"/>
                <w:szCs w:val="21"/>
                <w:highlight w:val="none"/>
              </w:rPr>
            </w:pPr>
            <w:r>
              <w:rPr>
                <w:rFonts w:hint="eastAsia" w:ascii="宋体" w:hAnsi="宋体"/>
                <w:b/>
                <w:color w:val="000000" w:themeColor="text1"/>
                <w:szCs w:val="21"/>
                <w:highlight w:val="none"/>
              </w:rPr>
              <w:t>成交服务费</w:t>
            </w:r>
          </w:p>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rPr>
            </w:pPr>
            <w:r>
              <w:rPr>
                <w:rFonts w:hint="eastAsia" w:ascii="宋体" w:hAnsi="宋体"/>
                <w:bCs/>
                <w:color w:val="000000" w:themeColor="text1"/>
                <w:szCs w:val="21"/>
                <w:highlight w:val="none"/>
              </w:rPr>
              <w:t>（以银行转账、电汇方式提交）</w:t>
            </w:r>
          </w:p>
        </w:tc>
        <w:tc>
          <w:tcPr>
            <w:tcW w:w="17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rPr>
            </w:pPr>
            <w:r>
              <w:rPr>
                <w:rFonts w:hint="eastAsia" w:ascii="宋体" w:hAnsi="宋体"/>
                <w:color w:val="000000" w:themeColor="text1"/>
                <w:szCs w:val="21"/>
                <w:highlight w:val="none"/>
              </w:rPr>
              <w:t>收费标准：</w:t>
            </w:r>
          </w:p>
        </w:tc>
        <w:tc>
          <w:tcPr>
            <w:tcW w:w="50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ascii="宋体" w:hAnsi="宋体"/>
                <w:bCs/>
                <w:color w:val="000000" w:themeColor="text1"/>
                <w:szCs w:val="21"/>
                <w:highlight w:val="none"/>
              </w:rPr>
            </w:pPr>
            <w:r>
              <w:rPr>
                <w:rFonts w:hint="eastAsia" w:ascii="宋体" w:hAnsi="宋体"/>
                <w:bCs/>
                <w:color w:val="000000" w:themeColor="text1"/>
                <w:szCs w:val="21"/>
                <w:highlight w:val="none"/>
              </w:rPr>
              <w:t>根据发改价格[2011]534号文的规定</w:t>
            </w:r>
            <w:r>
              <w:rPr>
                <w:rFonts w:hint="eastAsia" w:ascii="宋体" w:hAnsi="宋体"/>
                <w:color w:val="000000" w:themeColor="text1"/>
                <w:szCs w:val="21"/>
                <w:highlight w:val="none"/>
              </w:rPr>
              <w:t>，招标代理服务费按差额定率累进法计算。成交服务费由成交供应商在领取成交通知书前以银行转账方式一次性支付。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rPr>
            </w:pPr>
          </w:p>
        </w:tc>
        <w:tc>
          <w:tcPr>
            <w:tcW w:w="24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rPr>
            </w:pPr>
          </w:p>
        </w:tc>
        <w:tc>
          <w:tcPr>
            <w:tcW w:w="17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rPr>
            </w:pPr>
            <w:r>
              <w:rPr>
                <w:rFonts w:hint="eastAsia" w:ascii="宋体" w:hAnsi="宋体"/>
                <w:bCs/>
                <w:color w:val="000000" w:themeColor="text1"/>
                <w:szCs w:val="21"/>
                <w:highlight w:val="none"/>
              </w:rPr>
              <w:t>开户名称</w:t>
            </w:r>
          </w:p>
        </w:tc>
        <w:tc>
          <w:tcPr>
            <w:tcW w:w="50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ascii="宋体" w:hAnsi="宋体"/>
                <w:bCs/>
                <w:color w:val="000000" w:themeColor="text1"/>
                <w:szCs w:val="21"/>
                <w:highlight w:val="none"/>
              </w:rPr>
            </w:pPr>
            <w:r>
              <w:rPr>
                <w:rFonts w:hint="eastAsia" w:ascii="宋体" w:hAnsi="宋体"/>
                <w:b/>
                <w:bCs/>
                <w:color w:val="000000" w:themeColor="text1"/>
                <w:szCs w:val="21"/>
                <w:highlight w:val="none"/>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rPr>
            </w:pPr>
          </w:p>
        </w:tc>
        <w:tc>
          <w:tcPr>
            <w:tcW w:w="24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rPr>
            </w:pPr>
          </w:p>
        </w:tc>
        <w:tc>
          <w:tcPr>
            <w:tcW w:w="17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rPr>
            </w:pPr>
            <w:r>
              <w:rPr>
                <w:rFonts w:hint="eastAsia" w:ascii="宋体" w:hAnsi="宋体"/>
                <w:bCs/>
                <w:color w:val="000000" w:themeColor="text1"/>
                <w:szCs w:val="21"/>
                <w:highlight w:val="none"/>
              </w:rPr>
              <w:t>账    号</w:t>
            </w:r>
          </w:p>
        </w:tc>
        <w:tc>
          <w:tcPr>
            <w:tcW w:w="50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ascii="宋体" w:hAnsi="宋体"/>
                <w:bCs/>
                <w:color w:val="000000" w:themeColor="text1"/>
                <w:szCs w:val="21"/>
                <w:highlight w:val="none"/>
              </w:rPr>
            </w:pPr>
            <w:r>
              <w:rPr>
                <w:rFonts w:hint="eastAsia" w:ascii="宋体" w:hAnsi="宋体"/>
                <w:b/>
                <w:bCs/>
                <w:color w:val="000000" w:themeColor="text1"/>
                <w:szCs w:val="21"/>
                <w:highlight w:val="none"/>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rPr>
            </w:pPr>
          </w:p>
        </w:tc>
        <w:tc>
          <w:tcPr>
            <w:tcW w:w="2400"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rPr>
            </w:pPr>
          </w:p>
        </w:tc>
        <w:tc>
          <w:tcPr>
            <w:tcW w:w="17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rPr>
            </w:pPr>
            <w:r>
              <w:rPr>
                <w:rFonts w:hint="eastAsia" w:ascii="宋体" w:hAnsi="宋体"/>
                <w:bCs/>
                <w:color w:val="000000" w:themeColor="text1"/>
                <w:szCs w:val="21"/>
                <w:highlight w:val="none"/>
              </w:rPr>
              <w:t>开户银行</w:t>
            </w:r>
          </w:p>
        </w:tc>
        <w:tc>
          <w:tcPr>
            <w:tcW w:w="50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ascii="宋体" w:hAnsi="宋体"/>
                <w:bCs/>
                <w:color w:val="000000" w:themeColor="text1"/>
                <w:szCs w:val="21"/>
                <w:highlight w:val="none"/>
              </w:rPr>
            </w:pPr>
            <w:r>
              <w:rPr>
                <w:rFonts w:hint="eastAsia" w:ascii="宋体" w:hAnsi="宋体"/>
                <w:b/>
                <w:bCs/>
                <w:color w:val="000000" w:themeColor="text1"/>
                <w:szCs w:val="21"/>
                <w:highlight w:val="none"/>
              </w:rPr>
              <w:t>中国农业银行股份有限公司阳江城北支行</w:t>
            </w:r>
          </w:p>
        </w:tc>
      </w:tr>
    </w:tbl>
    <w:p>
      <w:pPr>
        <w:rPr>
          <w:rFonts w:hint="eastAsia" w:ascii="宋体" w:hAnsi="宋体" w:eastAsia="宋体"/>
          <w:color w:val="000000" w:themeColor="text1"/>
          <w:kern w:val="0"/>
          <w:sz w:val="21"/>
          <w:szCs w:val="21"/>
          <w:highlight w:val="none"/>
        </w:rPr>
      </w:pPr>
      <w:r>
        <w:rPr>
          <w:rFonts w:hint="eastAsia" w:ascii="宋体" w:hAnsi="宋体" w:eastAsia="宋体"/>
          <w:color w:val="000000" w:themeColor="text1"/>
          <w:kern w:val="0"/>
          <w:sz w:val="21"/>
          <w:szCs w:val="21"/>
          <w:highlight w:val="none"/>
        </w:rPr>
        <w:br w:type="page"/>
      </w:r>
    </w:p>
    <w:p>
      <w:pPr>
        <w:pStyle w:val="5"/>
        <w:numPr>
          <w:ilvl w:val="0"/>
          <w:numId w:val="0"/>
        </w:numPr>
        <w:spacing w:beforeLines="150" w:after="0" w:line="360" w:lineRule="auto"/>
        <w:jc w:val="center"/>
        <w:rPr>
          <w:rFonts w:ascii="宋体" w:hAnsi="宋体" w:eastAsia="宋体"/>
          <w:color w:val="000000" w:themeColor="text1"/>
          <w:kern w:val="0"/>
          <w:sz w:val="21"/>
          <w:szCs w:val="21"/>
          <w:highlight w:val="none"/>
        </w:rPr>
      </w:pPr>
      <w:bookmarkStart w:id="61" w:name="_Toc31312"/>
      <w:r>
        <w:rPr>
          <w:rFonts w:hint="eastAsia" w:ascii="宋体" w:hAnsi="宋体" w:eastAsia="宋体"/>
          <w:color w:val="000000" w:themeColor="text1"/>
          <w:kern w:val="0"/>
          <w:sz w:val="21"/>
          <w:szCs w:val="21"/>
          <w:highlight w:val="none"/>
        </w:rPr>
        <w:t>B技术要求</w:t>
      </w:r>
      <w:bookmarkEnd w:id="61"/>
    </w:p>
    <w:p>
      <w:pPr>
        <w:rPr>
          <w:rFonts w:ascii="宋体" w:hAnsi="宋体"/>
          <w:bCs/>
          <w:color w:val="000000" w:themeColor="text1"/>
          <w:szCs w:val="21"/>
          <w:highlight w:val="none"/>
        </w:rPr>
      </w:pPr>
    </w:p>
    <w:p>
      <w:pPr>
        <w:bidi w:val="0"/>
        <w:spacing w:line="360" w:lineRule="auto"/>
        <w:rPr>
          <w:b/>
          <w:bCs/>
        </w:rPr>
      </w:pPr>
      <w:r>
        <w:rPr>
          <w:rFonts w:hint="eastAsia"/>
          <w:b/>
          <w:bCs/>
          <w:lang w:val="en-US" w:eastAsia="zh-CN"/>
        </w:rPr>
        <w:t>一、</w:t>
      </w:r>
      <w:r>
        <w:rPr>
          <w:rFonts w:hint="eastAsia"/>
          <w:b/>
          <w:bCs/>
        </w:rPr>
        <w:t>项目一览表</w:t>
      </w:r>
    </w:p>
    <w:tbl>
      <w:tblPr>
        <w:tblStyle w:val="45"/>
        <w:tblW w:w="8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7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1189" w:type="dxa"/>
            <w:shd w:val="clear" w:color="auto" w:fill="EEECE1"/>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rPr>
            </w:pPr>
            <w:r>
              <w:rPr>
                <w:rFonts w:hint="eastAsia" w:ascii="宋体" w:hAnsi="宋体"/>
                <w:b/>
                <w:lang w:val="en-US" w:eastAsia="zh-CN"/>
              </w:rPr>
              <w:t>序号</w:t>
            </w:r>
          </w:p>
        </w:tc>
        <w:tc>
          <w:tcPr>
            <w:tcW w:w="7039" w:type="dxa"/>
            <w:shd w:val="clear" w:color="auto" w:fill="EEECE1"/>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rPr>
            </w:pPr>
            <w:r>
              <w:rPr>
                <w:rFonts w:hint="eastAsia" w:ascii="宋体" w:hAnsi="宋体"/>
                <w:b/>
              </w:rPr>
              <w:t>采购内容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18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eastAsiaTheme="minorEastAsia"/>
                <w:bCs/>
                <w:lang w:val="en-US" w:eastAsia="zh-CN"/>
              </w:rPr>
            </w:pPr>
            <w:r>
              <w:rPr>
                <w:rFonts w:hint="eastAsia" w:ascii="宋体"/>
                <w:bCs/>
                <w:lang w:val="en-US" w:eastAsia="zh-CN"/>
              </w:rPr>
              <w:t>1</w:t>
            </w:r>
          </w:p>
        </w:tc>
        <w:tc>
          <w:tcPr>
            <w:tcW w:w="70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Cs/>
              </w:rPr>
            </w:pPr>
            <w:r>
              <w:rPr>
                <w:rFonts w:hint="eastAsia" w:ascii="宋体" w:hAnsi="宋体"/>
                <w:bCs/>
              </w:rPr>
              <w:t>中共阳西县</w:t>
            </w:r>
            <w:r>
              <w:rPr>
                <w:rFonts w:ascii="宋体" w:hAnsi="宋体"/>
                <w:bCs/>
              </w:rPr>
              <w:t>委</w:t>
            </w:r>
            <w:r>
              <w:rPr>
                <w:rFonts w:hint="eastAsia" w:ascii="宋体" w:hAnsi="宋体"/>
                <w:bCs/>
              </w:rPr>
              <w:t>组织部干部人事</w:t>
            </w:r>
            <w:r>
              <w:rPr>
                <w:rFonts w:ascii="宋体" w:hAnsi="宋体"/>
                <w:bCs/>
              </w:rPr>
              <w:t>档案信息系统管理建设项目</w:t>
            </w:r>
          </w:p>
        </w:tc>
      </w:tr>
    </w:tbl>
    <w:p>
      <w:pPr>
        <w:bidi w:val="0"/>
        <w:rPr>
          <w:rFonts w:hint="eastAsia"/>
          <w:lang w:val="en-US" w:eastAsia="zh-CN"/>
        </w:rPr>
      </w:pPr>
    </w:p>
    <w:p>
      <w:pPr>
        <w:pStyle w:val="24"/>
        <w:numPr>
          <w:ilvl w:val="0"/>
          <w:numId w:val="0"/>
        </w:numPr>
        <w:tabs>
          <w:tab w:val="left" w:pos="540"/>
        </w:tabs>
        <w:adjustRightInd w:val="0"/>
        <w:snapToGrid w:val="0"/>
        <w:spacing w:line="360" w:lineRule="auto"/>
        <w:rPr>
          <w:rFonts w:hAnsi="宋体"/>
          <w:b/>
        </w:rPr>
      </w:pPr>
      <w:r>
        <w:rPr>
          <w:rFonts w:hint="eastAsia"/>
          <w:b/>
          <w:bCs/>
          <w:lang w:val="en-US" w:eastAsia="zh-CN"/>
        </w:rPr>
        <w:t>二、</w:t>
      </w:r>
      <w:r>
        <w:rPr>
          <w:rFonts w:hint="eastAsia"/>
          <w:b/>
          <w:bCs/>
        </w:rPr>
        <w:t>项目基本概况：</w:t>
      </w:r>
    </w:p>
    <w:p>
      <w:pPr>
        <w:spacing w:line="360" w:lineRule="auto"/>
        <w:ind w:firstLine="420" w:firstLineChars="200"/>
      </w:pPr>
      <w:r>
        <w:rPr>
          <w:rFonts w:hint="eastAsia"/>
        </w:rPr>
        <w:t>为贯彻落实全国组织系统信息化建设工作座谈会精神和全国组织系统信息化工作规划，进一步推动全国干部档案工作信息化建设，促进干部档案信息的综合开发研究和深度开发利用，加快干部档案工作由传统方式向信息化方式转变，提升干部档案服务功能。</w:t>
      </w:r>
      <w:r>
        <w:t>2012年，中组部启动《推进全国干部档案数字化意见》课题，课题中提出干部档案数字化建设是组织系统信息化建设的重要组成部分，建立数字档案系统是对干部考核体系、干部档案制度的改革，是提高党的建设和组织工作科学化水平的重要手段，是当前和今后一个时期干部档案工作的重要任务。</w:t>
      </w:r>
    </w:p>
    <w:p>
      <w:pPr>
        <w:spacing w:line="360" w:lineRule="auto"/>
        <w:ind w:firstLine="420" w:firstLineChars="200"/>
      </w:pPr>
      <w:r>
        <w:rPr>
          <w:rFonts w:hint="eastAsia"/>
        </w:rPr>
        <w:t>干部档案日常管理工作情况：干部档案报送；干部档案的接收、审核、整理；干部档案材料接收、审核、鉴别归档；干部档案转递；移交死亡干部档案；干部档案的查询统计等工作；干部档案的库房管理等工作；提供干部档案查借阅服务，满足干部工作及办理案件、办理社会保险、办理公证等需要。</w:t>
      </w:r>
    </w:p>
    <w:p>
      <w:pPr>
        <w:spacing w:line="360" w:lineRule="auto"/>
        <w:ind w:firstLine="420" w:firstLineChars="200"/>
      </w:pPr>
      <w:r>
        <w:rPr>
          <w:rFonts w:hint="eastAsia"/>
        </w:rPr>
        <w:t>干部档案管理信息化水平低于单位内部整体管理信息化水平，干部档案日常业务的材料收集归档、查询利用、统计分析等工作还是采取纯人工的方式，导致干部档案工作质量和效率不高。干部档案查借阅量大，干部档案因反复查借阅，不可避免的带来原件受损，易出现撤换、涂改、伪造、遗失等问题。</w:t>
      </w:r>
    </w:p>
    <w:p>
      <w:pPr>
        <w:spacing w:line="360" w:lineRule="auto"/>
        <w:ind w:firstLine="420" w:firstLineChars="200"/>
      </w:pPr>
      <w:r>
        <w:rPr>
          <w:rFonts w:hint="eastAsia"/>
        </w:rPr>
        <w:t>干部档案统计分析难度大，难以为领导决策提供快捷准确的档案信息服务。</w:t>
      </w:r>
    </w:p>
    <w:p>
      <w:pPr>
        <w:spacing w:line="360" w:lineRule="auto"/>
        <w:ind w:firstLine="420" w:firstLineChars="200"/>
      </w:pPr>
      <w:r>
        <w:rPr>
          <w:rFonts w:hint="eastAsia"/>
        </w:rPr>
        <w:t>如何利用计算机信息技术来实现干部档案的有效采集、管理、查询、统计、分析，从而能够为干部管理工作提供强有力的信息参考决策服务，是当下干部档案管理工作迫切要解决的问题。各级组织部门应积极稳妥开展干部档案信息化工作，积极做好情况摸底、方案制定等前期准备。</w:t>
      </w:r>
    </w:p>
    <w:p>
      <w:pPr>
        <w:spacing w:line="360" w:lineRule="auto"/>
        <w:ind w:firstLine="420" w:firstLineChars="200"/>
      </w:pPr>
      <w:r>
        <w:t>干部档案管理工作是组织工作的一个重要组成部分，是做好干部工作的基本前提。干部档案数字化后，能够通过计算机实现干部档案的有效采集、档案接收转递、材料收集归档、日常查询、统计分析，从而大大提高干部档案管理工作的质量和效率。</w:t>
      </w:r>
    </w:p>
    <w:p>
      <w:pPr>
        <w:spacing w:line="360" w:lineRule="auto"/>
        <w:ind w:firstLine="420" w:firstLineChars="200"/>
      </w:pPr>
      <w:r>
        <w:t>近年来，部分</w:t>
      </w:r>
      <w:r>
        <w:rPr>
          <w:rFonts w:hint="eastAsia"/>
        </w:rPr>
        <w:t>组织</w:t>
      </w:r>
      <w:r>
        <w:t>部门在干部档案审核工作中发现，仍有个别档案存在涂改档案内容、伪造档案材料的现象，严重影响了干部档案的公信力。干部选拔任用工作推行了一系列重大改革举措，干部考察的方式方法有了很大改进，但要全面地、历史地考察和了解干部，查阅干部档案始终是一条重要途径。干部数字档案，能解决纸质干部档案查借阅过程中存在的耗时耗力等问题。干部工作人员能方便灵活地进行调阅干部数字档案，有利于干部档案在干部选拔任用工作中发挥重要作用。</w:t>
      </w:r>
    </w:p>
    <w:p>
      <w:pPr>
        <w:pStyle w:val="24"/>
        <w:numPr>
          <w:ilvl w:val="0"/>
          <w:numId w:val="9"/>
        </w:numPr>
        <w:tabs>
          <w:tab w:val="left" w:pos="540"/>
        </w:tabs>
        <w:adjustRightInd w:val="0"/>
        <w:snapToGrid w:val="0"/>
        <w:spacing w:line="360" w:lineRule="auto"/>
        <w:rPr>
          <w:rFonts w:hAnsi="宋体" w:cs="宋体"/>
          <w:b/>
          <w:bCs w:val="0"/>
          <w:szCs w:val="21"/>
        </w:rPr>
      </w:pPr>
      <w:r>
        <w:rPr>
          <w:rFonts w:hint="eastAsia" w:hAnsi="宋体" w:cs="宋体"/>
          <w:b/>
          <w:bCs w:val="0"/>
          <w:szCs w:val="21"/>
        </w:rPr>
        <w:t>项目所依据及参考的标准</w:t>
      </w:r>
    </w:p>
    <w:p>
      <w:pPr>
        <w:pStyle w:val="64"/>
        <w:numPr>
          <w:ilvl w:val="0"/>
          <w:numId w:val="10"/>
        </w:numPr>
        <w:spacing w:line="360" w:lineRule="auto"/>
        <w:ind w:firstLineChars="0"/>
      </w:pPr>
      <w:r>
        <w:t>《中华人民共和国档案法》</w:t>
      </w:r>
    </w:p>
    <w:p>
      <w:pPr>
        <w:pStyle w:val="64"/>
        <w:numPr>
          <w:ilvl w:val="0"/>
          <w:numId w:val="10"/>
        </w:numPr>
        <w:spacing w:line="360" w:lineRule="auto"/>
        <w:ind w:firstLineChars="0"/>
      </w:pPr>
      <w:r>
        <w:t>《中华人民共和国保守秘密法》</w:t>
      </w:r>
    </w:p>
    <w:p>
      <w:pPr>
        <w:pStyle w:val="64"/>
        <w:numPr>
          <w:ilvl w:val="0"/>
          <w:numId w:val="10"/>
        </w:numPr>
        <w:spacing w:line="360" w:lineRule="auto"/>
        <w:ind w:firstLineChars="0"/>
      </w:pPr>
      <w:r>
        <w:t>《</w:t>
      </w:r>
      <w:r>
        <w:rPr>
          <w:rFonts w:hint="eastAsia"/>
        </w:rPr>
        <w:t>干部人事档案数字化技术规范</w:t>
      </w:r>
      <w:r>
        <w:t>》GB/T</w:t>
      </w:r>
      <w:r>
        <w:rPr>
          <w:rFonts w:hint="eastAsia"/>
        </w:rPr>
        <w:t>33870-2017</w:t>
      </w:r>
    </w:p>
    <w:p>
      <w:pPr>
        <w:pStyle w:val="64"/>
        <w:numPr>
          <w:ilvl w:val="0"/>
          <w:numId w:val="10"/>
        </w:numPr>
        <w:spacing w:line="360" w:lineRule="auto"/>
        <w:ind w:firstLineChars="0"/>
      </w:pPr>
      <w:r>
        <w:t>《2016-2020年组织系统信息化工作规划》（组通字〔2016〕21号）</w:t>
      </w:r>
    </w:p>
    <w:p>
      <w:pPr>
        <w:pStyle w:val="64"/>
        <w:numPr>
          <w:ilvl w:val="0"/>
          <w:numId w:val="10"/>
        </w:numPr>
        <w:spacing w:line="360" w:lineRule="auto"/>
        <w:ind w:firstLineChars="0"/>
      </w:pPr>
      <w:r>
        <w:t>《干部档案工作条例》</w:t>
      </w:r>
    </w:p>
    <w:p>
      <w:pPr>
        <w:pStyle w:val="64"/>
        <w:numPr>
          <w:ilvl w:val="0"/>
          <w:numId w:val="10"/>
        </w:numPr>
        <w:spacing w:line="360" w:lineRule="auto"/>
        <w:ind w:firstLineChars="0"/>
      </w:pPr>
      <w:r>
        <w:t>《关于报送新任中管干部数字档案的通知》（组通字［2010］61号）</w:t>
      </w:r>
    </w:p>
    <w:p>
      <w:pPr>
        <w:pStyle w:val="64"/>
        <w:numPr>
          <w:ilvl w:val="0"/>
          <w:numId w:val="10"/>
        </w:numPr>
        <w:spacing w:line="360" w:lineRule="auto"/>
        <w:ind w:firstLineChars="0"/>
      </w:pPr>
      <w:r>
        <w:t>中组部《推进全国干部档案数字化意见》</w:t>
      </w:r>
    </w:p>
    <w:p>
      <w:pPr>
        <w:pStyle w:val="64"/>
        <w:numPr>
          <w:ilvl w:val="0"/>
          <w:numId w:val="10"/>
        </w:numPr>
        <w:spacing w:line="360" w:lineRule="auto"/>
        <w:ind w:firstLineChars="0"/>
      </w:pPr>
      <w:r>
        <w:t>中组部《全国组织干部人事管理信息系统信息结构体系标准》</w:t>
      </w:r>
    </w:p>
    <w:p>
      <w:pPr>
        <w:pStyle w:val="64"/>
        <w:numPr>
          <w:ilvl w:val="0"/>
          <w:numId w:val="10"/>
        </w:numPr>
        <w:spacing w:line="360" w:lineRule="auto"/>
        <w:ind w:firstLineChars="0"/>
      </w:pPr>
      <w:r>
        <w:t>《关于进一步从严管理干部档案的通知》</w:t>
      </w:r>
    </w:p>
    <w:p>
      <w:pPr>
        <w:pStyle w:val="64"/>
        <w:numPr>
          <w:ilvl w:val="0"/>
          <w:numId w:val="10"/>
        </w:numPr>
        <w:spacing w:line="360" w:lineRule="auto"/>
        <w:ind w:firstLineChars="0"/>
      </w:pPr>
      <w:r>
        <w:t>《计算机病毒防治管理办法》中华人民共和国公安部令第51号</w:t>
      </w:r>
    </w:p>
    <w:p>
      <w:pPr>
        <w:pStyle w:val="64"/>
        <w:numPr>
          <w:ilvl w:val="0"/>
          <w:numId w:val="10"/>
        </w:numPr>
        <w:spacing w:line="360" w:lineRule="auto"/>
        <w:ind w:firstLineChars="0"/>
      </w:pPr>
      <w:r>
        <w:t>《计算机软件工程规范国家标准汇编》GB/T16398-96</w:t>
      </w:r>
    </w:p>
    <w:p>
      <w:pPr>
        <w:pStyle w:val="64"/>
        <w:numPr>
          <w:ilvl w:val="0"/>
          <w:numId w:val="10"/>
        </w:numPr>
        <w:spacing w:line="360" w:lineRule="auto"/>
        <w:ind w:firstLineChars="0"/>
      </w:pPr>
      <w:r>
        <w:t>《涉及国家秘密的计算机信息系统安全保密方案设计指南》，国家保密局，2001年4月</w:t>
      </w:r>
    </w:p>
    <w:p>
      <w:pPr>
        <w:pStyle w:val="64"/>
        <w:numPr>
          <w:ilvl w:val="0"/>
          <w:numId w:val="10"/>
        </w:numPr>
        <w:spacing w:line="360" w:lineRule="auto"/>
        <w:ind w:firstLineChars="0"/>
      </w:pPr>
      <w:r>
        <w:t>《涉及国家秘密的计算机信息系统安全保密技术要求》，国家保密局，2000年7月</w:t>
      </w:r>
    </w:p>
    <w:p>
      <w:pPr>
        <w:pStyle w:val="64"/>
        <w:numPr>
          <w:ilvl w:val="0"/>
          <w:numId w:val="10"/>
        </w:numPr>
        <w:spacing w:line="360" w:lineRule="auto"/>
        <w:ind w:firstLineChars="0"/>
      </w:pPr>
      <w:r>
        <w:t>《计算机软件产品开发文件编制指南》GB/T 8567-2006</w:t>
      </w:r>
    </w:p>
    <w:p>
      <w:pPr>
        <w:pStyle w:val="24"/>
        <w:numPr>
          <w:ilvl w:val="0"/>
          <w:numId w:val="9"/>
        </w:numPr>
        <w:tabs>
          <w:tab w:val="left" w:pos="540"/>
        </w:tabs>
        <w:adjustRightInd w:val="0"/>
        <w:snapToGrid w:val="0"/>
        <w:spacing w:line="360" w:lineRule="auto"/>
        <w:rPr>
          <w:rFonts w:hAnsi="宋体" w:cs="宋体"/>
          <w:b/>
          <w:bCs w:val="0"/>
          <w:szCs w:val="21"/>
        </w:rPr>
      </w:pPr>
      <w:r>
        <w:rPr>
          <w:rFonts w:hint="eastAsia" w:hAnsi="宋体" w:cs="宋体"/>
          <w:b/>
          <w:bCs w:val="0"/>
          <w:szCs w:val="21"/>
        </w:rPr>
        <w:t>项目采购范围（本次招标的项目范围）</w:t>
      </w:r>
    </w:p>
    <w:p>
      <w:pPr>
        <w:rPr>
          <w:b/>
          <w:bCs/>
        </w:rPr>
      </w:pPr>
      <w:r>
        <w:rPr>
          <w:b/>
          <w:bCs/>
        </w:rPr>
        <w:t>软件</w:t>
      </w:r>
      <w:r>
        <w:rPr>
          <w:rFonts w:hint="eastAsia"/>
          <w:b/>
          <w:bCs/>
        </w:rPr>
        <w:t>开发</w:t>
      </w:r>
    </w:p>
    <w:tbl>
      <w:tblPr>
        <w:tblStyle w:val="46"/>
        <w:tblW w:w="8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7"/>
        <w:gridCol w:w="4415"/>
        <w:gridCol w:w="3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137"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4415"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项目内容</w:t>
            </w:r>
          </w:p>
        </w:tc>
        <w:tc>
          <w:tcPr>
            <w:tcW w:w="3254"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137"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4415"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干部档案管理信息系统</w:t>
            </w:r>
          </w:p>
        </w:tc>
        <w:tc>
          <w:tcPr>
            <w:tcW w:w="3254"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1套</w:t>
            </w:r>
          </w:p>
        </w:tc>
      </w:tr>
    </w:tbl>
    <w:p/>
    <w:p>
      <w:pPr>
        <w:rPr>
          <w:b/>
          <w:bCs/>
        </w:rPr>
      </w:pPr>
      <w:r>
        <w:rPr>
          <w:rFonts w:hint="eastAsia"/>
          <w:b/>
          <w:bCs/>
        </w:rPr>
        <w:t>设备</w:t>
      </w:r>
      <w:r>
        <w:rPr>
          <w:b/>
          <w:bCs/>
        </w:rPr>
        <w:t>采购</w:t>
      </w:r>
    </w:p>
    <w:tbl>
      <w:tblPr>
        <w:tblStyle w:val="46"/>
        <w:tblW w:w="8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7"/>
        <w:gridCol w:w="4415"/>
        <w:gridCol w:w="3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7" w:type="dxa"/>
            <w:vAlign w:val="center"/>
          </w:tcPr>
          <w:p>
            <w:pPr>
              <w:jc w:val="center"/>
              <w:rPr>
                <w:rFonts w:hint="eastAsia" w:ascii="宋体" w:hAnsi="宋体" w:eastAsia="宋体" w:cs="宋体"/>
              </w:rPr>
            </w:pPr>
            <w:r>
              <w:rPr>
                <w:rFonts w:hint="eastAsia" w:ascii="宋体" w:hAnsi="宋体" w:eastAsia="宋体" w:cs="宋体"/>
              </w:rPr>
              <w:t>序号</w:t>
            </w:r>
          </w:p>
        </w:tc>
        <w:tc>
          <w:tcPr>
            <w:tcW w:w="4415" w:type="dxa"/>
            <w:vAlign w:val="center"/>
          </w:tcPr>
          <w:p>
            <w:pPr>
              <w:jc w:val="center"/>
              <w:rPr>
                <w:rFonts w:hint="eastAsia" w:ascii="宋体" w:hAnsi="宋体" w:eastAsia="宋体" w:cs="宋体"/>
              </w:rPr>
            </w:pPr>
            <w:r>
              <w:rPr>
                <w:rFonts w:hint="eastAsia" w:ascii="宋体" w:hAnsi="宋体" w:eastAsia="宋体" w:cs="宋体"/>
              </w:rPr>
              <w:t>设备名称</w:t>
            </w:r>
          </w:p>
        </w:tc>
        <w:tc>
          <w:tcPr>
            <w:tcW w:w="3254" w:type="dxa"/>
            <w:vAlign w:val="center"/>
          </w:tcPr>
          <w:p>
            <w:pPr>
              <w:jc w:val="center"/>
              <w:rPr>
                <w:rFonts w:hint="eastAsia" w:ascii="宋体" w:hAnsi="宋体" w:eastAsia="宋体" w:cs="宋体"/>
              </w:rPr>
            </w:pPr>
            <w:r>
              <w:rPr>
                <w:rFonts w:hint="eastAsia" w:ascii="宋体" w:hAnsi="宋体" w:eastAsia="宋体" w:cs="宋体"/>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7" w:type="dxa"/>
            <w:vAlign w:val="center"/>
          </w:tcPr>
          <w:p>
            <w:pPr>
              <w:jc w:val="center"/>
              <w:rPr>
                <w:rFonts w:hint="eastAsia" w:ascii="宋体" w:hAnsi="宋体" w:eastAsia="宋体" w:cs="宋体"/>
              </w:rPr>
            </w:pPr>
            <w:r>
              <w:rPr>
                <w:rFonts w:hint="eastAsia" w:ascii="宋体" w:hAnsi="宋体" w:eastAsia="宋体" w:cs="宋体"/>
              </w:rPr>
              <w:t>1</w:t>
            </w:r>
          </w:p>
        </w:tc>
        <w:tc>
          <w:tcPr>
            <w:tcW w:w="4415" w:type="dxa"/>
            <w:vAlign w:val="center"/>
          </w:tcPr>
          <w:p>
            <w:pPr>
              <w:jc w:val="center"/>
              <w:rPr>
                <w:rFonts w:hint="eastAsia" w:ascii="宋体" w:hAnsi="宋体" w:eastAsia="宋体" w:cs="宋体"/>
                <w:bCs/>
                <w:color w:val="000000"/>
              </w:rPr>
            </w:pPr>
            <w:r>
              <w:rPr>
                <w:rFonts w:hint="eastAsia" w:ascii="宋体" w:hAnsi="宋体" w:eastAsia="宋体" w:cs="宋体"/>
                <w:bCs/>
                <w:color w:val="000000"/>
              </w:rPr>
              <w:t>采集工作站</w:t>
            </w:r>
          </w:p>
        </w:tc>
        <w:tc>
          <w:tcPr>
            <w:tcW w:w="3254" w:type="dxa"/>
            <w:vAlign w:val="center"/>
          </w:tcPr>
          <w:p>
            <w:pPr>
              <w:jc w:val="center"/>
              <w:rPr>
                <w:rFonts w:hint="eastAsia" w:ascii="宋体" w:hAnsi="宋体" w:eastAsia="宋体" w:cs="宋体"/>
              </w:rPr>
            </w:pPr>
            <w:r>
              <w:rPr>
                <w:rFonts w:hint="eastAsia" w:ascii="宋体" w:hAnsi="宋体" w:eastAsia="宋体" w:cs="宋体"/>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7" w:type="dxa"/>
            <w:vAlign w:val="center"/>
          </w:tcPr>
          <w:p>
            <w:pPr>
              <w:jc w:val="center"/>
              <w:rPr>
                <w:rFonts w:hint="eastAsia" w:ascii="宋体" w:hAnsi="宋体" w:eastAsia="宋体" w:cs="宋体"/>
              </w:rPr>
            </w:pPr>
            <w:r>
              <w:rPr>
                <w:rFonts w:hint="eastAsia" w:ascii="宋体" w:hAnsi="宋体" w:eastAsia="宋体" w:cs="宋体"/>
              </w:rPr>
              <w:t>2</w:t>
            </w:r>
          </w:p>
        </w:tc>
        <w:tc>
          <w:tcPr>
            <w:tcW w:w="4415" w:type="dxa"/>
            <w:vAlign w:val="center"/>
          </w:tcPr>
          <w:p>
            <w:pPr>
              <w:jc w:val="center"/>
              <w:rPr>
                <w:rFonts w:hint="eastAsia" w:ascii="宋体" w:hAnsi="宋体" w:eastAsia="宋体" w:cs="宋体"/>
                <w:bCs/>
                <w:color w:val="000000"/>
              </w:rPr>
            </w:pPr>
            <w:r>
              <w:rPr>
                <w:rFonts w:hint="eastAsia" w:ascii="宋体" w:hAnsi="宋体" w:eastAsia="宋体" w:cs="宋体"/>
                <w:bCs/>
                <w:color w:val="000000"/>
              </w:rPr>
              <w:t>采集终端</w:t>
            </w:r>
          </w:p>
        </w:tc>
        <w:tc>
          <w:tcPr>
            <w:tcW w:w="3254" w:type="dxa"/>
            <w:vAlign w:val="center"/>
          </w:tcPr>
          <w:p>
            <w:pPr>
              <w:jc w:val="center"/>
              <w:rPr>
                <w:rFonts w:hint="eastAsia" w:ascii="宋体" w:hAnsi="宋体" w:eastAsia="宋体" w:cs="宋体"/>
              </w:rPr>
            </w:pPr>
            <w:r>
              <w:rPr>
                <w:rFonts w:hint="eastAsia" w:ascii="宋体" w:hAnsi="宋体" w:eastAsia="宋体" w:cs="宋体"/>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7" w:type="dxa"/>
            <w:vAlign w:val="center"/>
          </w:tcPr>
          <w:p>
            <w:pPr>
              <w:jc w:val="center"/>
              <w:rPr>
                <w:rFonts w:hint="eastAsia" w:ascii="宋体" w:hAnsi="宋体" w:eastAsia="宋体" w:cs="宋体"/>
              </w:rPr>
            </w:pPr>
            <w:r>
              <w:rPr>
                <w:rFonts w:hint="eastAsia" w:ascii="宋体" w:hAnsi="宋体" w:eastAsia="宋体" w:cs="宋体"/>
              </w:rPr>
              <w:t>3</w:t>
            </w:r>
          </w:p>
        </w:tc>
        <w:tc>
          <w:tcPr>
            <w:tcW w:w="4415" w:type="dxa"/>
            <w:vAlign w:val="center"/>
          </w:tcPr>
          <w:p>
            <w:pPr>
              <w:jc w:val="center"/>
              <w:rPr>
                <w:rFonts w:hint="eastAsia" w:ascii="宋体" w:hAnsi="宋体" w:eastAsia="宋体" w:cs="宋体"/>
                <w:bCs/>
                <w:color w:val="000000"/>
              </w:rPr>
            </w:pPr>
            <w:r>
              <w:rPr>
                <w:rFonts w:hint="eastAsia" w:ascii="宋体" w:hAnsi="宋体" w:eastAsia="宋体" w:cs="宋体"/>
                <w:bCs/>
                <w:color w:val="000000"/>
              </w:rPr>
              <w:t>高级工作站</w:t>
            </w:r>
          </w:p>
        </w:tc>
        <w:tc>
          <w:tcPr>
            <w:tcW w:w="3254" w:type="dxa"/>
            <w:vAlign w:val="center"/>
          </w:tcPr>
          <w:p>
            <w:pPr>
              <w:jc w:val="center"/>
              <w:rPr>
                <w:rFonts w:hint="eastAsia" w:ascii="宋体" w:hAnsi="宋体" w:eastAsia="宋体" w:cs="宋体"/>
              </w:rPr>
            </w:pPr>
            <w:r>
              <w:rPr>
                <w:rFonts w:hint="eastAsia" w:ascii="宋体" w:hAnsi="宋体" w:eastAsia="宋体" w:cs="宋体"/>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7" w:type="dxa"/>
            <w:vAlign w:val="center"/>
          </w:tcPr>
          <w:p>
            <w:pPr>
              <w:jc w:val="center"/>
              <w:rPr>
                <w:rFonts w:hint="eastAsia" w:ascii="宋体" w:hAnsi="宋体" w:eastAsia="宋体" w:cs="宋体"/>
              </w:rPr>
            </w:pPr>
            <w:r>
              <w:rPr>
                <w:rFonts w:hint="eastAsia" w:ascii="宋体" w:hAnsi="宋体" w:eastAsia="宋体" w:cs="宋体"/>
              </w:rPr>
              <w:t>4</w:t>
            </w:r>
          </w:p>
        </w:tc>
        <w:tc>
          <w:tcPr>
            <w:tcW w:w="4415" w:type="dxa"/>
            <w:vAlign w:val="center"/>
          </w:tcPr>
          <w:p>
            <w:pPr>
              <w:jc w:val="center"/>
              <w:rPr>
                <w:rFonts w:hint="eastAsia" w:ascii="宋体" w:hAnsi="宋体" w:eastAsia="宋体" w:cs="宋体"/>
                <w:bCs/>
                <w:color w:val="000000"/>
              </w:rPr>
            </w:pPr>
            <w:r>
              <w:rPr>
                <w:rFonts w:hint="eastAsia" w:ascii="宋体" w:hAnsi="宋体" w:eastAsia="宋体" w:cs="宋体"/>
                <w:bCs/>
                <w:color w:val="000000"/>
              </w:rPr>
              <w:t>服务器操作系统</w:t>
            </w:r>
          </w:p>
        </w:tc>
        <w:tc>
          <w:tcPr>
            <w:tcW w:w="3254" w:type="dxa"/>
            <w:vAlign w:val="center"/>
          </w:tcPr>
          <w:p>
            <w:pPr>
              <w:jc w:val="center"/>
              <w:rPr>
                <w:rFonts w:hint="eastAsia" w:ascii="宋体" w:hAnsi="宋体" w:eastAsia="宋体" w:cs="宋体"/>
              </w:rPr>
            </w:pPr>
            <w:r>
              <w:rPr>
                <w:rFonts w:hint="eastAsia" w:ascii="宋体" w:hAnsi="宋体" w:eastAsia="宋体" w:cs="宋体"/>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7" w:type="dxa"/>
            <w:vAlign w:val="center"/>
          </w:tcPr>
          <w:p>
            <w:pPr>
              <w:jc w:val="center"/>
              <w:rPr>
                <w:rFonts w:hint="eastAsia" w:ascii="宋体" w:hAnsi="宋体" w:eastAsia="宋体" w:cs="宋体"/>
              </w:rPr>
            </w:pPr>
            <w:r>
              <w:rPr>
                <w:rFonts w:hint="eastAsia" w:ascii="宋体" w:hAnsi="宋体" w:eastAsia="宋体" w:cs="宋体"/>
              </w:rPr>
              <w:t>5</w:t>
            </w:r>
          </w:p>
        </w:tc>
        <w:tc>
          <w:tcPr>
            <w:tcW w:w="4415" w:type="dxa"/>
            <w:vAlign w:val="center"/>
          </w:tcPr>
          <w:p>
            <w:pPr>
              <w:jc w:val="center"/>
              <w:rPr>
                <w:rFonts w:hint="eastAsia" w:ascii="宋体" w:hAnsi="宋体" w:eastAsia="宋体" w:cs="宋体"/>
                <w:bCs/>
                <w:color w:val="000000"/>
              </w:rPr>
            </w:pPr>
            <w:r>
              <w:rPr>
                <w:rFonts w:hint="eastAsia" w:ascii="宋体" w:hAnsi="宋体" w:eastAsia="宋体" w:cs="宋体"/>
                <w:bCs/>
                <w:color w:val="000000"/>
              </w:rPr>
              <w:t>中间件</w:t>
            </w:r>
          </w:p>
        </w:tc>
        <w:tc>
          <w:tcPr>
            <w:tcW w:w="3254" w:type="dxa"/>
            <w:vAlign w:val="center"/>
          </w:tcPr>
          <w:p>
            <w:pPr>
              <w:jc w:val="center"/>
              <w:rPr>
                <w:rFonts w:hint="eastAsia" w:ascii="宋体" w:hAnsi="宋体" w:eastAsia="宋体" w:cs="宋体"/>
              </w:rPr>
            </w:pPr>
            <w:r>
              <w:rPr>
                <w:rFonts w:hint="eastAsia" w:ascii="宋体" w:hAnsi="宋体" w:eastAsia="宋体" w:cs="宋体"/>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7" w:type="dxa"/>
            <w:vAlign w:val="center"/>
          </w:tcPr>
          <w:p>
            <w:pPr>
              <w:jc w:val="center"/>
              <w:rPr>
                <w:rFonts w:hint="eastAsia" w:ascii="宋体" w:hAnsi="宋体" w:eastAsia="宋体" w:cs="宋体"/>
              </w:rPr>
            </w:pPr>
            <w:r>
              <w:rPr>
                <w:rFonts w:hint="eastAsia" w:ascii="宋体" w:hAnsi="宋体" w:eastAsia="宋体" w:cs="宋体"/>
              </w:rPr>
              <w:t>6</w:t>
            </w:r>
          </w:p>
        </w:tc>
        <w:tc>
          <w:tcPr>
            <w:tcW w:w="4415" w:type="dxa"/>
            <w:vAlign w:val="center"/>
          </w:tcPr>
          <w:p>
            <w:pPr>
              <w:jc w:val="center"/>
              <w:rPr>
                <w:rFonts w:hint="eastAsia" w:ascii="宋体" w:hAnsi="宋体" w:eastAsia="宋体" w:cs="宋体"/>
                <w:bCs/>
                <w:color w:val="000000"/>
              </w:rPr>
            </w:pPr>
            <w:r>
              <w:rPr>
                <w:rFonts w:hint="eastAsia" w:ascii="宋体" w:hAnsi="宋体" w:eastAsia="宋体" w:cs="宋体"/>
                <w:bCs/>
                <w:color w:val="000000"/>
              </w:rPr>
              <w:t>数据库</w:t>
            </w:r>
          </w:p>
        </w:tc>
        <w:tc>
          <w:tcPr>
            <w:tcW w:w="3254" w:type="dxa"/>
            <w:vAlign w:val="center"/>
          </w:tcPr>
          <w:p>
            <w:pPr>
              <w:jc w:val="center"/>
              <w:rPr>
                <w:rFonts w:hint="eastAsia" w:ascii="宋体" w:hAnsi="宋体" w:eastAsia="宋体" w:cs="宋体"/>
              </w:rPr>
            </w:pPr>
            <w:r>
              <w:rPr>
                <w:rFonts w:hint="eastAsia" w:ascii="宋体" w:hAnsi="宋体" w:eastAsia="宋体" w:cs="宋体"/>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7" w:type="dxa"/>
            <w:vAlign w:val="center"/>
          </w:tcPr>
          <w:p>
            <w:pPr>
              <w:jc w:val="center"/>
              <w:rPr>
                <w:rFonts w:hint="eastAsia" w:ascii="宋体" w:hAnsi="宋体" w:eastAsia="宋体" w:cs="宋体"/>
              </w:rPr>
            </w:pPr>
            <w:r>
              <w:rPr>
                <w:rFonts w:hint="eastAsia" w:ascii="宋体" w:hAnsi="宋体" w:eastAsia="宋体" w:cs="宋体"/>
              </w:rPr>
              <w:t>7</w:t>
            </w:r>
          </w:p>
        </w:tc>
        <w:tc>
          <w:tcPr>
            <w:tcW w:w="4415" w:type="dxa"/>
            <w:vAlign w:val="center"/>
          </w:tcPr>
          <w:p>
            <w:pPr>
              <w:jc w:val="center"/>
              <w:rPr>
                <w:rFonts w:hint="eastAsia" w:ascii="宋体" w:hAnsi="宋体" w:eastAsia="宋体" w:cs="宋体"/>
                <w:bCs/>
                <w:color w:val="000000"/>
              </w:rPr>
            </w:pPr>
            <w:r>
              <w:rPr>
                <w:rFonts w:hint="eastAsia" w:ascii="宋体" w:hAnsi="宋体" w:eastAsia="宋体" w:cs="宋体"/>
                <w:bCs/>
                <w:color w:val="000000"/>
              </w:rPr>
              <w:t>扫描仪</w:t>
            </w:r>
          </w:p>
        </w:tc>
        <w:tc>
          <w:tcPr>
            <w:tcW w:w="3254" w:type="dxa"/>
            <w:vAlign w:val="center"/>
          </w:tcPr>
          <w:p>
            <w:pPr>
              <w:jc w:val="center"/>
              <w:rPr>
                <w:rFonts w:hint="eastAsia" w:ascii="宋体" w:hAnsi="宋体" w:eastAsia="宋体" w:cs="宋体"/>
              </w:rPr>
            </w:pPr>
            <w:r>
              <w:rPr>
                <w:rFonts w:hint="eastAsia" w:ascii="宋体" w:hAnsi="宋体" w:eastAsia="宋体" w:cs="宋体"/>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7" w:type="dxa"/>
            <w:vAlign w:val="center"/>
          </w:tcPr>
          <w:p>
            <w:pPr>
              <w:jc w:val="center"/>
              <w:rPr>
                <w:rFonts w:hint="eastAsia" w:ascii="宋体" w:hAnsi="宋体" w:eastAsia="宋体" w:cs="宋体"/>
              </w:rPr>
            </w:pPr>
            <w:r>
              <w:rPr>
                <w:rFonts w:hint="eastAsia" w:ascii="宋体" w:hAnsi="宋体" w:eastAsia="宋体" w:cs="宋体"/>
              </w:rPr>
              <w:t>8</w:t>
            </w:r>
          </w:p>
        </w:tc>
        <w:tc>
          <w:tcPr>
            <w:tcW w:w="4415" w:type="dxa"/>
            <w:vAlign w:val="center"/>
          </w:tcPr>
          <w:p>
            <w:pPr>
              <w:jc w:val="center"/>
              <w:rPr>
                <w:rFonts w:hint="eastAsia" w:ascii="宋体" w:hAnsi="宋体" w:eastAsia="宋体" w:cs="宋体"/>
                <w:bCs/>
                <w:color w:val="000000"/>
              </w:rPr>
            </w:pPr>
            <w:r>
              <w:rPr>
                <w:rFonts w:hint="eastAsia" w:ascii="宋体" w:hAnsi="宋体" w:eastAsia="宋体" w:cs="宋体"/>
                <w:bCs/>
                <w:color w:val="000000"/>
              </w:rPr>
              <w:t>交换机</w:t>
            </w:r>
          </w:p>
        </w:tc>
        <w:tc>
          <w:tcPr>
            <w:tcW w:w="3254" w:type="dxa"/>
            <w:vAlign w:val="center"/>
          </w:tcPr>
          <w:p>
            <w:pPr>
              <w:jc w:val="center"/>
              <w:rPr>
                <w:rFonts w:hint="eastAsia" w:ascii="宋体" w:hAnsi="宋体" w:eastAsia="宋体" w:cs="宋体"/>
              </w:rPr>
            </w:pPr>
            <w:r>
              <w:rPr>
                <w:rFonts w:hint="eastAsia" w:ascii="宋体" w:hAnsi="宋体" w:eastAsia="宋体" w:cs="宋体"/>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7" w:type="dxa"/>
            <w:vAlign w:val="center"/>
          </w:tcPr>
          <w:p>
            <w:pPr>
              <w:jc w:val="center"/>
              <w:rPr>
                <w:rFonts w:hint="eastAsia" w:ascii="宋体" w:hAnsi="宋体" w:eastAsia="宋体" w:cs="宋体"/>
              </w:rPr>
            </w:pPr>
            <w:r>
              <w:rPr>
                <w:rFonts w:hint="eastAsia" w:ascii="宋体" w:hAnsi="宋体" w:eastAsia="宋体" w:cs="宋体"/>
              </w:rPr>
              <w:t>9</w:t>
            </w:r>
          </w:p>
        </w:tc>
        <w:tc>
          <w:tcPr>
            <w:tcW w:w="4415" w:type="dxa"/>
            <w:vAlign w:val="center"/>
          </w:tcPr>
          <w:p>
            <w:pPr>
              <w:jc w:val="center"/>
              <w:rPr>
                <w:rFonts w:hint="eastAsia" w:ascii="宋体" w:hAnsi="宋体" w:eastAsia="宋体" w:cs="宋体"/>
                <w:bCs/>
                <w:color w:val="000000"/>
              </w:rPr>
            </w:pPr>
            <w:r>
              <w:rPr>
                <w:rFonts w:hint="eastAsia" w:ascii="宋体" w:hAnsi="宋体" w:eastAsia="宋体" w:cs="宋体"/>
                <w:bCs/>
                <w:color w:val="000000"/>
              </w:rPr>
              <w:t>移动硬盘</w:t>
            </w:r>
          </w:p>
        </w:tc>
        <w:tc>
          <w:tcPr>
            <w:tcW w:w="3254" w:type="dxa"/>
            <w:vAlign w:val="center"/>
          </w:tcPr>
          <w:p>
            <w:pPr>
              <w:jc w:val="center"/>
              <w:rPr>
                <w:rFonts w:hint="eastAsia" w:ascii="宋体" w:hAnsi="宋体" w:eastAsia="宋体" w:cs="宋体"/>
              </w:rPr>
            </w:pPr>
            <w:r>
              <w:rPr>
                <w:rFonts w:hint="eastAsia" w:ascii="宋体" w:hAnsi="宋体" w:eastAsia="宋体" w:cs="宋体"/>
              </w:rPr>
              <w:t>1块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7" w:type="dxa"/>
            <w:vAlign w:val="center"/>
          </w:tcPr>
          <w:p>
            <w:pPr>
              <w:jc w:val="center"/>
              <w:rPr>
                <w:rFonts w:hint="eastAsia" w:ascii="宋体" w:hAnsi="宋体" w:eastAsia="宋体" w:cs="宋体"/>
              </w:rPr>
            </w:pPr>
            <w:r>
              <w:rPr>
                <w:rFonts w:hint="eastAsia" w:ascii="宋体" w:hAnsi="宋体" w:eastAsia="宋体" w:cs="宋体"/>
              </w:rPr>
              <w:t>10</w:t>
            </w:r>
          </w:p>
        </w:tc>
        <w:tc>
          <w:tcPr>
            <w:tcW w:w="4415" w:type="dxa"/>
            <w:vAlign w:val="center"/>
          </w:tcPr>
          <w:p>
            <w:pPr>
              <w:jc w:val="center"/>
              <w:rPr>
                <w:rFonts w:hint="eastAsia" w:ascii="宋体" w:hAnsi="宋体" w:eastAsia="宋体" w:cs="宋体"/>
                <w:bCs/>
                <w:color w:val="000000"/>
              </w:rPr>
            </w:pPr>
            <w:r>
              <w:rPr>
                <w:rFonts w:hint="eastAsia" w:ascii="宋体" w:hAnsi="宋体" w:eastAsia="宋体" w:cs="宋体"/>
                <w:bCs/>
                <w:color w:val="000000"/>
              </w:rPr>
              <w:t>机柜</w:t>
            </w:r>
          </w:p>
        </w:tc>
        <w:tc>
          <w:tcPr>
            <w:tcW w:w="3254" w:type="dxa"/>
            <w:vAlign w:val="center"/>
          </w:tcPr>
          <w:p>
            <w:pPr>
              <w:jc w:val="center"/>
              <w:rPr>
                <w:rFonts w:hint="eastAsia" w:ascii="宋体" w:hAnsi="宋体" w:eastAsia="宋体" w:cs="宋体"/>
              </w:rPr>
            </w:pPr>
            <w:r>
              <w:rPr>
                <w:rFonts w:hint="eastAsia" w:ascii="宋体" w:hAnsi="宋体" w:eastAsia="宋体" w:cs="宋体"/>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7" w:type="dxa"/>
            <w:vAlign w:val="center"/>
          </w:tcPr>
          <w:p>
            <w:pPr>
              <w:jc w:val="center"/>
              <w:rPr>
                <w:rFonts w:hint="eastAsia" w:ascii="宋体" w:hAnsi="宋体" w:eastAsia="宋体" w:cs="宋体"/>
              </w:rPr>
            </w:pPr>
            <w:r>
              <w:rPr>
                <w:rFonts w:hint="eastAsia" w:ascii="宋体" w:hAnsi="宋体" w:eastAsia="宋体" w:cs="宋体"/>
              </w:rPr>
              <w:t>11</w:t>
            </w:r>
          </w:p>
        </w:tc>
        <w:tc>
          <w:tcPr>
            <w:tcW w:w="4415" w:type="dxa"/>
            <w:vAlign w:val="center"/>
          </w:tcPr>
          <w:p>
            <w:pPr>
              <w:jc w:val="center"/>
              <w:rPr>
                <w:rFonts w:hint="eastAsia" w:ascii="宋体" w:hAnsi="宋体" w:eastAsia="宋体" w:cs="宋体"/>
                <w:bCs/>
                <w:color w:val="000000"/>
              </w:rPr>
            </w:pPr>
            <w:r>
              <w:rPr>
                <w:rFonts w:hint="eastAsia" w:ascii="宋体" w:hAnsi="宋体" w:eastAsia="宋体" w:cs="宋体"/>
                <w:bCs/>
                <w:color w:val="000000"/>
              </w:rPr>
              <w:t>打印一体机(干部档案专用)</w:t>
            </w:r>
          </w:p>
        </w:tc>
        <w:tc>
          <w:tcPr>
            <w:tcW w:w="3254" w:type="dxa"/>
            <w:vAlign w:val="center"/>
          </w:tcPr>
          <w:p>
            <w:pPr>
              <w:jc w:val="center"/>
              <w:rPr>
                <w:rFonts w:hint="eastAsia" w:ascii="宋体" w:hAnsi="宋体" w:eastAsia="宋体" w:cs="宋体"/>
              </w:rPr>
            </w:pPr>
            <w:r>
              <w:rPr>
                <w:rFonts w:hint="eastAsia" w:ascii="宋体" w:hAnsi="宋体" w:eastAsia="宋体" w:cs="宋体"/>
              </w:rPr>
              <w:t>1台</w:t>
            </w:r>
          </w:p>
        </w:tc>
      </w:tr>
    </w:tbl>
    <w:p>
      <w:pPr>
        <w:rPr>
          <w:b/>
          <w:bCs/>
        </w:rPr>
      </w:pPr>
      <w:r>
        <w:rPr>
          <w:rFonts w:hint="eastAsia"/>
          <w:b/>
          <w:bCs/>
        </w:rPr>
        <w:t>服务</w:t>
      </w:r>
      <w:r>
        <w:rPr>
          <w:b/>
          <w:bCs/>
        </w:rPr>
        <w:t>采购</w:t>
      </w:r>
    </w:p>
    <w:tbl>
      <w:tblPr>
        <w:tblStyle w:val="46"/>
        <w:tblW w:w="8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7"/>
        <w:gridCol w:w="4415"/>
        <w:gridCol w:w="3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137" w:type="dxa"/>
            <w:vAlign w:val="center"/>
          </w:tcPr>
          <w:p>
            <w:pPr>
              <w:jc w:val="center"/>
              <w:rPr>
                <w:rFonts w:hint="eastAsia" w:ascii="宋体" w:hAnsi="宋体" w:eastAsia="宋体" w:cs="宋体"/>
              </w:rPr>
            </w:pPr>
            <w:r>
              <w:rPr>
                <w:rFonts w:hint="eastAsia" w:ascii="宋体" w:hAnsi="宋体" w:eastAsia="宋体" w:cs="宋体"/>
              </w:rPr>
              <w:t>序号</w:t>
            </w:r>
          </w:p>
        </w:tc>
        <w:tc>
          <w:tcPr>
            <w:tcW w:w="4415" w:type="dxa"/>
            <w:vAlign w:val="center"/>
          </w:tcPr>
          <w:p>
            <w:pPr>
              <w:jc w:val="center"/>
              <w:rPr>
                <w:rFonts w:hint="eastAsia" w:ascii="宋体" w:hAnsi="宋体" w:eastAsia="宋体" w:cs="宋体"/>
              </w:rPr>
            </w:pPr>
            <w:r>
              <w:rPr>
                <w:rFonts w:hint="eastAsia" w:ascii="宋体" w:hAnsi="宋体" w:eastAsia="宋体" w:cs="宋体"/>
              </w:rPr>
              <w:t>项目内容</w:t>
            </w:r>
          </w:p>
        </w:tc>
        <w:tc>
          <w:tcPr>
            <w:tcW w:w="3254" w:type="dxa"/>
            <w:vAlign w:val="center"/>
          </w:tcPr>
          <w:p>
            <w:pPr>
              <w:jc w:val="center"/>
              <w:rPr>
                <w:rFonts w:hint="eastAsia" w:ascii="宋体" w:hAnsi="宋体" w:eastAsia="宋体" w:cs="宋体"/>
              </w:rPr>
            </w:pPr>
            <w:r>
              <w:rPr>
                <w:rFonts w:hint="eastAsia" w:ascii="宋体" w:hAnsi="宋体" w:eastAsia="宋体" w:cs="宋体"/>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137" w:type="dxa"/>
            <w:vAlign w:val="center"/>
          </w:tcPr>
          <w:p>
            <w:pPr>
              <w:jc w:val="center"/>
              <w:rPr>
                <w:rFonts w:hint="eastAsia" w:ascii="宋体" w:hAnsi="宋体" w:eastAsia="宋体" w:cs="宋体"/>
              </w:rPr>
            </w:pPr>
            <w:r>
              <w:rPr>
                <w:rFonts w:hint="eastAsia" w:ascii="宋体" w:hAnsi="宋体" w:eastAsia="宋体" w:cs="宋体"/>
              </w:rPr>
              <w:t>1</w:t>
            </w:r>
          </w:p>
        </w:tc>
        <w:tc>
          <w:tcPr>
            <w:tcW w:w="4415" w:type="dxa"/>
            <w:vAlign w:val="center"/>
          </w:tcPr>
          <w:p>
            <w:pPr>
              <w:jc w:val="center"/>
              <w:rPr>
                <w:rFonts w:hint="eastAsia" w:ascii="宋体" w:hAnsi="宋体" w:eastAsia="宋体" w:cs="宋体"/>
                <w:bCs/>
                <w:color w:val="000000"/>
              </w:rPr>
            </w:pPr>
            <w:r>
              <w:rPr>
                <w:rFonts w:hint="eastAsia" w:ascii="宋体" w:hAnsi="宋体" w:eastAsia="宋体" w:cs="宋体"/>
                <w:bCs/>
                <w:color w:val="000000"/>
              </w:rPr>
              <w:t>干部档案整理及数字化制作(整理编码、目录录入、打印装订、档案扫描、图像处理、高清制作、数据审核、改版换盒、数据备份)</w:t>
            </w:r>
          </w:p>
        </w:tc>
        <w:tc>
          <w:tcPr>
            <w:tcW w:w="3254" w:type="dxa"/>
            <w:vAlign w:val="center"/>
          </w:tcPr>
          <w:p>
            <w:pPr>
              <w:jc w:val="center"/>
              <w:rPr>
                <w:rFonts w:hint="eastAsia" w:ascii="宋体" w:hAnsi="宋体" w:eastAsia="宋体" w:cs="宋体"/>
              </w:rPr>
            </w:pPr>
            <w:r>
              <w:rPr>
                <w:rFonts w:hint="eastAsia" w:ascii="宋体" w:hAnsi="宋体" w:eastAsia="宋体" w:cs="宋体"/>
              </w:rPr>
              <w:t>1200卷</w:t>
            </w:r>
          </w:p>
        </w:tc>
      </w:tr>
    </w:tbl>
    <w:p>
      <w:pPr>
        <w:bidi w:val="0"/>
      </w:pPr>
    </w:p>
    <w:p>
      <w:pPr>
        <w:rPr>
          <w:b/>
          <w:bCs/>
        </w:rPr>
      </w:pPr>
      <w:r>
        <w:rPr>
          <w:rFonts w:hint="eastAsia"/>
          <w:b/>
          <w:bCs/>
        </w:rPr>
        <w:t>项目</w:t>
      </w:r>
      <w:r>
        <w:rPr>
          <w:b/>
          <w:bCs/>
        </w:rPr>
        <w:t>实施</w:t>
      </w:r>
    </w:p>
    <w:tbl>
      <w:tblPr>
        <w:tblStyle w:val="46"/>
        <w:tblW w:w="8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7"/>
        <w:gridCol w:w="4415"/>
        <w:gridCol w:w="3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137"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4415"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项目内容</w:t>
            </w:r>
          </w:p>
        </w:tc>
        <w:tc>
          <w:tcPr>
            <w:tcW w:w="3254"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137"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4415" w:type="dxa"/>
            <w:vAlign w:val="center"/>
          </w:tcPr>
          <w:p>
            <w:pPr>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技术培训</w:t>
            </w:r>
          </w:p>
        </w:tc>
        <w:tc>
          <w:tcPr>
            <w:tcW w:w="3254"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137"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c>
          <w:tcPr>
            <w:tcW w:w="4415" w:type="dxa"/>
            <w:vAlign w:val="center"/>
          </w:tcPr>
          <w:p>
            <w:pPr>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系统集成费用</w:t>
            </w:r>
          </w:p>
        </w:tc>
        <w:tc>
          <w:tcPr>
            <w:tcW w:w="3254"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1项</w:t>
            </w:r>
          </w:p>
        </w:tc>
      </w:tr>
    </w:tbl>
    <w:p>
      <w:pPr>
        <w:bidi w:val="0"/>
      </w:pPr>
    </w:p>
    <w:p>
      <w:pPr>
        <w:bidi w:val="0"/>
        <w:spacing w:line="360" w:lineRule="auto"/>
        <w:rPr>
          <w:b/>
          <w:bCs/>
        </w:rPr>
      </w:pPr>
      <w:r>
        <w:rPr>
          <w:rFonts w:hint="eastAsia"/>
          <w:b/>
          <w:bCs/>
          <w:lang w:val="en-US" w:eastAsia="zh-CN"/>
        </w:rPr>
        <w:t>三、</w:t>
      </w:r>
      <w:r>
        <w:rPr>
          <w:rFonts w:hint="eastAsia"/>
          <w:b/>
          <w:bCs/>
        </w:rPr>
        <w:t>项目服务内容</w:t>
      </w:r>
    </w:p>
    <w:p>
      <w:pPr>
        <w:spacing w:line="360" w:lineRule="auto"/>
        <w:rPr>
          <w:rFonts w:ascii="宋体" w:hAnsi="宋体"/>
          <w:b/>
          <w:bCs/>
        </w:rPr>
      </w:pPr>
      <w:r>
        <w:rPr>
          <w:rFonts w:hint="eastAsia" w:ascii="宋体" w:hAnsi="宋体"/>
          <w:b/>
          <w:bCs/>
        </w:rPr>
        <w:t>（一）系统架构</w:t>
      </w:r>
    </w:p>
    <w:p>
      <w:pPr>
        <w:spacing w:line="360" w:lineRule="auto"/>
        <w:ind w:firstLine="420" w:firstLineChars="200"/>
        <w:rPr>
          <w:rFonts w:ascii="宋体" w:hAnsi="宋体"/>
        </w:rPr>
      </w:pPr>
      <w:r>
        <w:rPr>
          <w:rFonts w:hint="eastAsia" w:ascii="宋体" w:hAnsi="宋体"/>
        </w:rPr>
        <w:t>干部人事档案管理系统主要是实现干部人事档案的采集、管理、存储、利用的生命周期管理。应用于组织系统、政企事业单位中管理人事档案的业务场景。功能方面，系统设计符合《干部人事档案数字化技术规范》（G-B/T33870-2017）和涉密信息系统建设要求。</w:t>
      </w:r>
    </w:p>
    <w:p>
      <w:pPr>
        <w:spacing w:line="360" w:lineRule="auto"/>
        <w:rPr>
          <w:rFonts w:ascii="宋体" w:hAnsi="宋体"/>
          <w:b/>
          <w:bCs/>
        </w:rPr>
      </w:pPr>
      <w:r>
        <w:rPr>
          <w:rFonts w:hint="eastAsia" w:ascii="宋体" w:hAnsi="宋体"/>
          <w:b/>
          <w:bCs/>
        </w:rPr>
        <w:t>（二）系统主要功能</w:t>
      </w:r>
    </w:p>
    <w:p>
      <w:pPr>
        <w:spacing w:line="360" w:lineRule="auto"/>
        <w:ind w:firstLine="420" w:firstLineChars="200"/>
        <w:rPr>
          <w:rFonts w:ascii="宋体" w:hAnsi="宋体"/>
        </w:rPr>
      </w:pPr>
      <w:r>
        <w:rPr>
          <w:rFonts w:hint="eastAsia" w:ascii="宋体" w:hAnsi="宋体"/>
        </w:rPr>
        <w:t>系统主要实现对县管干部档案数字化管理，切实提高干部档案工作质量和效率，系统主要包括干部人事档案采集系统和干部人事档案管理系统两个子系统。</w:t>
      </w:r>
    </w:p>
    <w:p>
      <w:pPr>
        <w:spacing w:line="360" w:lineRule="auto"/>
        <w:ind w:firstLine="420" w:firstLineChars="200"/>
        <w:rPr>
          <w:rFonts w:ascii="宋体" w:hAnsi="宋体"/>
        </w:rPr>
      </w:pPr>
      <w:r>
        <w:rPr>
          <w:rFonts w:hint="eastAsia" w:ascii="宋体" w:hAnsi="宋体"/>
        </w:rPr>
        <w:t>干部人事档案采集系统实现的主要功能包括档案数字化所需的人员查询、机构查询、机构树、新增人员、基本信息录入、目录信息录入、档案扫描、图像处理、高清处理、查看文件、整卷浏览、档案打印等功能；日常业务所需的数据导入、数据打包、批量目录、任免表导入等功能；系统管理所需的机构管理、人员调动、用户管理、更改密码、代码维护、参数设置、日志管理、工作量统计等功能。</w:t>
      </w:r>
    </w:p>
    <w:p>
      <w:pPr>
        <w:spacing w:line="360" w:lineRule="auto"/>
        <w:ind w:firstLine="482"/>
        <w:rPr>
          <w:rFonts w:ascii="宋体" w:hAnsi="宋体"/>
        </w:rPr>
      </w:pPr>
      <w:r>
        <w:rPr>
          <w:rFonts w:hint="eastAsia" w:ascii="宋体" w:hAnsi="宋体"/>
        </w:rPr>
        <w:t>干部人事档案管理系统主要功能包括档案查借阅所需的查阅申请、查阅审批、查阅授权、待查阅申请、已授权申请、查阅记录、审批记录、授权记录、打印记录等功能；日常业务所需的基本信息维护、档案查阅登记、档案借阅登记、档案接收登记、档案审批登记、档案入库登记、档案转递登记、材料接收登记、材料转出登记、档案审批演说等功能；系统维护所需的用户管理、机构管理、日志查询、代码维护、人员调动等功能；查询统计所需的业务统计、花名册、库存统计、高级查询等功能。</w:t>
      </w:r>
    </w:p>
    <w:p>
      <w:pPr>
        <w:spacing w:line="360" w:lineRule="auto"/>
        <w:ind w:firstLine="482"/>
        <w:rPr>
          <w:rFonts w:ascii="宋体" w:hAnsi="宋体"/>
          <w:b/>
        </w:rPr>
      </w:pPr>
      <w:r>
        <w:rPr>
          <w:rFonts w:hint="eastAsia" w:ascii="宋体" w:hAnsi="宋体"/>
          <w:b/>
        </w:rPr>
        <w:t>系统优势亮点</w:t>
      </w:r>
    </w:p>
    <w:p>
      <w:pPr>
        <w:spacing w:line="360" w:lineRule="auto"/>
        <w:ind w:firstLine="482"/>
        <w:rPr>
          <w:rFonts w:ascii="宋体" w:hAnsi="宋体"/>
        </w:rPr>
      </w:pPr>
      <w:r>
        <w:rPr>
          <w:rFonts w:hint="eastAsia" w:ascii="宋体" w:hAnsi="宋体"/>
          <w:b/>
        </w:rPr>
        <w:t>结构体系化：</w:t>
      </w:r>
      <w:r>
        <w:rPr>
          <w:rFonts w:hint="eastAsia" w:ascii="宋体" w:hAnsi="宋体"/>
        </w:rPr>
        <w:t>系统按照面向服务架构，模块式开发理念进行功能上实现。</w:t>
      </w:r>
    </w:p>
    <w:p>
      <w:pPr>
        <w:spacing w:line="360" w:lineRule="auto"/>
        <w:ind w:firstLine="482"/>
        <w:rPr>
          <w:rFonts w:ascii="宋体" w:hAnsi="宋体"/>
        </w:rPr>
      </w:pPr>
      <w:r>
        <w:rPr>
          <w:rFonts w:hint="eastAsia" w:ascii="宋体" w:hAnsi="宋体"/>
          <w:b/>
        </w:rPr>
        <w:t>数据标准化：</w:t>
      </w:r>
      <w:r>
        <w:rPr>
          <w:rFonts w:hint="eastAsia" w:ascii="宋体" w:hAnsi="宋体"/>
        </w:rPr>
        <w:t>按照行标对数据进行规范，方便系统的整合、迁移。</w:t>
      </w:r>
    </w:p>
    <w:p>
      <w:pPr>
        <w:spacing w:line="360" w:lineRule="auto"/>
        <w:ind w:firstLine="482"/>
        <w:rPr>
          <w:rFonts w:ascii="宋体" w:hAnsi="宋体"/>
        </w:rPr>
      </w:pPr>
      <w:r>
        <w:rPr>
          <w:rFonts w:hint="eastAsia" w:ascii="宋体" w:hAnsi="宋体"/>
          <w:b/>
        </w:rPr>
        <w:t>业务规范化：</w:t>
      </w:r>
      <w:r>
        <w:rPr>
          <w:rFonts w:hint="eastAsia" w:ascii="宋体" w:hAnsi="宋体"/>
        </w:rPr>
        <w:t>按照行业标准及实际场景设计业务功能，系统合规可靠。</w:t>
      </w:r>
    </w:p>
    <w:p>
      <w:pPr>
        <w:spacing w:line="360" w:lineRule="auto"/>
        <w:ind w:firstLine="482"/>
        <w:rPr>
          <w:rFonts w:ascii="宋体" w:hAnsi="宋体"/>
        </w:rPr>
      </w:pPr>
      <w:r>
        <w:rPr>
          <w:rFonts w:hint="eastAsia" w:ascii="宋体" w:hAnsi="宋体"/>
          <w:b/>
        </w:rPr>
        <w:t>权限精细化：</w:t>
      </w:r>
      <w:r>
        <w:rPr>
          <w:rFonts w:hint="eastAsia" w:ascii="宋体" w:hAnsi="宋体"/>
        </w:rPr>
        <w:t>采用三元分离设计，数据权限精细化管理。</w:t>
      </w:r>
    </w:p>
    <w:p>
      <w:pPr>
        <w:spacing w:line="360" w:lineRule="auto"/>
        <w:ind w:firstLine="482"/>
        <w:rPr>
          <w:rFonts w:ascii="宋体" w:hAnsi="宋体"/>
        </w:rPr>
      </w:pPr>
      <w:r>
        <w:rPr>
          <w:rFonts w:hint="eastAsia" w:ascii="宋体" w:hAnsi="宋体"/>
          <w:b/>
        </w:rPr>
        <w:t>数据加密化：</w:t>
      </w:r>
      <w:r>
        <w:rPr>
          <w:rFonts w:hint="eastAsia" w:ascii="宋体" w:hAnsi="宋体"/>
        </w:rPr>
        <w:t>采用国密加密算法和FTS文件传输加密技术保证数据存放、传输的安全性。</w:t>
      </w:r>
    </w:p>
    <w:p>
      <w:pPr>
        <w:spacing w:line="360" w:lineRule="auto"/>
        <w:ind w:firstLine="482"/>
        <w:jc w:val="center"/>
        <w:rPr>
          <w:b/>
          <w:sz w:val="24"/>
          <w:szCs w:val="24"/>
        </w:rPr>
      </w:pPr>
    </w:p>
    <w:p>
      <w:pPr>
        <w:spacing w:line="360" w:lineRule="auto"/>
        <w:ind w:firstLine="482"/>
        <w:jc w:val="center"/>
        <w:rPr>
          <w:b/>
          <w:sz w:val="24"/>
          <w:szCs w:val="24"/>
        </w:rPr>
      </w:pPr>
      <w:r>
        <w:rPr>
          <w:rFonts w:hint="eastAsia"/>
          <w:b/>
          <w:sz w:val="24"/>
          <w:szCs w:val="24"/>
        </w:rPr>
        <w:t>干部档案管理信息系统</w:t>
      </w:r>
    </w:p>
    <w:tbl>
      <w:tblPr>
        <w:tblStyle w:val="45"/>
        <w:tblW w:w="9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1529"/>
        <w:gridCol w:w="1102"/>
        <w:gridCol w:w="1103"/>
        <w:gridCol w:w="4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598" w:type="dxa"/>
            <w:gridSpan w:val="3"/>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20" w:lineRule="exact"/>
              <w:jc w:val="center"/>
              <w:textAlignment w:val="auto"/>
              <w:rPr>
                <w:rFonts w:ascii="宋体" w:hAnsi="宋体"/>
                <w:b/>
                <w:color w:val="000000"/>
              </w:rPr>
            </w:pPr>
            <w:r>
              <w:rPr>
                <w:rFonts w:hint="eastAsia" w:ascii="宋体" w:hAnsi="宋体"/>
                <w:b/>
                <w:color w:val="000000"/>
              </w:rPr>
              <w:t>产品或</w:t>
            </w:r>
            <w:r>
              <w:rPr>
                <w:rFonts w:ascii="宋体" w:hAnsi="宋体"/>
                <w:b/>
                <w:color w:val="000000"/>
              </w:rPr>
              <w:t>服务模块</w:t>
            </w:r>
          </w:p>
        </w:tc>
        <w:tc>
          <w:tcPr>
            <w:tcW w:w="5996" w:type="dxa"/>
            <w:gridSpan w:val="2"/>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20" w:lineRule="exact"/>
              <w:ind w:firstLine="103" w:firstLineChars="49"/>
              <w:jc w:val="center"/>
              <w:textAlignment w:val="auto"/>
              <w:rPr>
                <w:rFonts w:ascii="宋体" w:hAnsi="宋体"/>
                <w:b/>
                <w:color w:val="000000"/>
              </w:rPr>
            </w:pPr>
            <w:r>
              <w:rPr>
                <w:rFonts w:hint="eastAsia" w:ascii="宋体" w:hAnsi="宋体"/>
                <w:b/>
                <w:color w:val="000000"/>
              </w:rPr>
              <w:t>参数</w:t>
            </w:r>
            <w:r>
              <w:rPr>
                <w:rFonts w:ascii="宋体" w:hAnsi="宋体"/>
                <w:b/>
                <w:color w:val="000000"/>
              </w:rPr>
              <w:t>性质和内容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967"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hint="eastAsia" w:ascii="宋体" w:hAnsi="宋体"/>
                <w:color w:val="000000"/>
              </w:rPr>
              <w:t>干部</w:t>
            </w:r>
            <w:r>
              <w:rPr>
                <w:rFonts w:ascii="宋体" w:hAnsi="宋体"/>
                <w:color w:val="000000"/>
              </w:rPr>
              <w:t>人事档案管理信息系统</w:t>
            </w:r>
          </w:p>
        </w:tc>
        <w:tc>
          <w:tcPr>
            <w:tcW w:w="1529"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rPr>
            </w:pPr>
            <w:r>
              <w:rPr>
                <w:rFonts w:ascii="宋体" w:hAnsi="宋体"/>
                <w:color w:val="000000"/>
              </w:rPr>
              <w:t>采集系统</w:t>
            </w:r>
          </w:p>
        </w:tc>
        <w:tc>
          <w:tcPr>
            <w:tcW w:w="110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rPr>
            </w:pPr>
            <w:r>
              <w:rPr>
                <w:rFonts w:ascii="宋体" w:hAnsi="宋体"/>
                <w:color w:val="000000"/>
              </w:rPr>
              <w:t>数字档案采集</w:t>
            </w: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基本信息</w:t>
            </w:r>
          </w:p>
        </w:tc>
        <w:tc>
          <w:tcPr>
            <w:tcW w:w="48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新建客户基本信息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6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52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目录信息</w:t>
            </w:r>
          </w:p>
        </w:tc>
        <w:tc>
          <w:tcPr>
            <w:tcW w:w="48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录入目录信息，将样卷中的标准目录命名引入字典项，实现快速录入，可针对档案目录、档案脊背、姓名签进行打印，档案扫描件打印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6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52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档案扫描</w:t>
            </w:r>
          </w:p>
        </w:tc>
        <w:tc>
          <w:tcPr>
            <w:tcW w:w="48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纸质档案扫描，设置扫描仪，并将扫描后的数字档案上传至系统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96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52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图像处理</w:t>
            </w:r>
          </w:p>
        </w:tc>
        <w:tc>
          <w:tcPr>
            <w:tcW w:w="48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处理数字档案，实现纠偏，切边，扣取照片等功能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96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52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优化处理</w:t>
            </w:r>
          </w:p>
        </w:tc>
        <w:tc>
          <w:tcPr>
            <w:tcW w:w="48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处理数字档案，实现优化、纠偏，切边，扣取照片等功能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96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52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整卷浏览</w:t>
            </w:r>
          </w:p>
        </w:tc>
        <w:tc>
          <w:tcPr>
            <w:tcW w:w="48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浏览数字档案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96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52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数据处理</w:t>
            </w:r>
          </w:p>
        </w:tc>
        <w:tc>
          <w:tcPr>
            <w:tcW w:w="48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可根据新的GB/T 33870的标准进行数据导入和导出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96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52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机构管理</w:t>
            </w:r>
          </w:p>
        </w:tc>
        <w:tc>
          <w:tcPr>
            <w:tcW w:w="48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对机构树进行编辑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96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52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系统设置</w:t>
            </w:r>
          </w:p>
        </w:tc>
        <w:tc>
          <w:tcPr>
            <w:tcW w:w="48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用户管理，字典管理，代码维护，参数设置，密码更改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96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52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查询统计</w:t>
            </w:r>
          </w:p>
        </w:tc>
        <w:tc>
          <w:tcPr>
            <w:tcW w:w="48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产量统计，库存统计，操作日志，系统日志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96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52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rPr>
            </w:pPr>
            <w:r>
              <w:rPr>
                <w:rFonts w:ascii="宋体" w:hAnsi="宋体"/>
                <w:color w:val="000000"/>
              </w:rPr>
              <w:t>帮助</w:t>
            </w:r>
          </w:p>
        </w:tc>
        <w:tc>
          <w:tcPr>
            <w:tcW w:w="48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常用文件，帮助索引，系统注册，系统关于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6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52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安全管理</w:t>
            </w: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系统安全</w:t>
            </w:r>
          </w:p>
        </w:tc>
        <w:tc>
          <w:tcPr>
            <w:tcW w:w="48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图像文件存储加密、扫描文件缓存加密、“三员分离”管理功能、机密标识、特定计算机和扫描仪绑定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96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529"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管理系统</w:t>
            </w:r>
          </w:p>
        </w:tc>
        <w:tc>
          <w:tcPr>
            <w:tcW w:w="11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系统登录</w:t>
            </w: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登</w:t>
            </w:r>
            <w:r>
              <w:rPr>
                <w:rFonts w:hint="eastAsia" w:ascii="宋体" w:hAnsi="宋体"/>
                <w:color w:val="000000"/>
              </w:rPr>
              <w:t xml:space="preserve">    </w:t>
            </w:r>
            <w:r>
              <w:rPr>
                <w:rFonts w:ascii="宋体" w:hAnsi="宋体"/>
                <w:color w:val="000000"/>
              </w:rPr>
              <w:t>录</w:t>
            </w:r>
          </w:p>
        </w:tc>
        <w:tc>
          <w:tcPr>
            <w:tcW w:w="48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选择管档单位，输入用户名、密码进行用户登录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96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52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首页</w:t>
            </w: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修改密码</w:t>
            </w:r>
          </w:p>
        </w:tc>
        <w:tc>
          <w:tcPr>
            <w:tcW w:w="48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密码修改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96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52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头像上传</w:t>
            </w:r>
          </w:p>
        </w:tc>
        <w:tc>
          <w:tcPr>
            <w:tcW w:w="48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个人头像上传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96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52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右侧快捷功能</w:t>
            </w:r>
          </w:p>
        </w:tc>
        <w:tc>
          <w:tcPr>
            <w:tcW w:w="48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干部信息总库、干部数字档案、档案检索、档案名册、散材料库、材料接收、材料审核、材料归档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96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52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个人工作台</w:t>
            </w:r>
          </w:p>
        </w:tc>
        <w:tc>
          <w:tcPr>
            <w:tcW w:w="48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系统首页包括：日常办公、干部大数据展示、档案台账展示、代办事项、系统通知、知识库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6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52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干部人员管理</w:t>
            </w: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干部信息总库</w:t>
            </w:r>
          </w:p>
        </w:tc>
        <w:tc>
          <w:tcPr>
            <w:tcW w:w="48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对干部信息进行管理, 包括人员基本信息项、档案信息项、职务调动信息项、学历学位信息项、奖惩信息项、家庭成员及社会关系及档案情况数据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96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52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干部职务变动</w:t>
            </w:r>
          </w:p>
        </w:tc>
        <w:tc>
          <w:tcPr>
            <w:tcW w:w="48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调整干部的职务信息以及所属机构信息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96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52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干部数字档案</w:t>
            </w:r>
          </w:p>
        </w:tc>
        <w:tc>
          <w:tcPr>
            <w:tcW w:w="48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对干部档案目录进行登记、编辑调整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6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52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回收站</w:t>
            </w:r>
          </w:p>
        </w:tc>
        <w:tc>
          <w:tcPr>
            <w:tcW w:w="48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在干部信息总库中删除的信息进入回收站.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6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52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档案查询</w:t>
            </w: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档案检索</w:t>
            </w:r>
          </w:p>
        </w:tc>
        <w:tc>
          <w:tcPr>
            <w:tcW w:w="48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通过全库模糊检索和高级检索对干部人员进行精确定位；浏览自己权限范围内的数字档案，可以进行检索结果收藏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6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52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分级阅览</w:t>
            </w:r>
          </w:p>
        </w:tc>
        <w:tc>
          <w:tcPr>
            <w:tcW w:w="48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单位领导可浏览自己所在单位或者下级管档单位的干部对应数字档案。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6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52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档案名册</w:t>
            </w: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档案名册</w:t>
            </w:r>
          </w:p>
        </w:tc>
        <w:tc>
          <w:tcPr>
            <w:tcW w:w="48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根据特定检索条件管理自己的档案名册,可生成静态名册和动态名册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96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52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档案查借阅</w:t>
            </w: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纸质档案查阅管理</w:t>
            </w:r>
          </w:p>
        </w:tc>
        <w:tc>
          <w:tcPr>
            <w:tcW w:w="48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纸质档案查阅登记，查阅审批单上传，查阅记录查询统计。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96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52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纸质档案借阅管理</w:t>
            </w:r>
          </w:p>
        </w:tc>
        <w:tc>
          <w:tcPr>
            <w:tcW w:w="4893" w:type="dxa"/>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纸质档案借阅登记，借阅审批单上传，借阅归还管理，借阅记录查询统计。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96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52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数字档案查阅申请</w:t>
            </w:r>
          </w:p>
        </w:tc>
        <w:tc>
          <w:tcPr>
            <w:tcW w:w="4893" w:type="dxa"/>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查档用户选择查阅档案，填写查阅表单并提交查档申请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96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52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数字档案查阅记录</w:t>
            </w:r>
          </w:p>
        </w:tc>
        <w:tc>
          <w:tcPr>
            <w:tcW w:w="4893" w:type="dxa"/>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展示查档用户的所有申请记录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96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52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数字档案查阅审批</w:t>
            </w:r>
          </w:p>
        </w:tc>
        <w:tc>
          <w:tcPr>
            <w:tcW w:w="4893" w:type="dxa"/>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业务部门领导查阅申请表单并审批是否允许查阅档案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96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52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数字档案查阅管理</w:t>
            </w:r>
          </w:p>
        </w:tc>
        <w:tc>
          <w:tcPr>
            <w:tcW w:w="48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数字档案查阅申请、审批、授权、档案浏览，进度管理、流程图展示等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96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52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外来人员查借阅管理</w:t>
            </w:r>
          </w:p>
        </w:tc>
        <w:tc>
          <w:tcPr>
            <w:tcW w:w="48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外来人员查阅具体流程,.查借阅申请、审批、授权、档案浏览，进度管理、流程图展示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96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52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档案材料管理</w:t>
            </w: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散材料库</w:t>
            </w:r>
          </w:p>
        </w:tc>
        <w:tc>
          <w:tcPr>
            <w:tcW w:w="48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针对不需要归档或者从档案中撤出的部分材料形成的材料库，便于日常查询使用。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6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52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材料接收</w:t>
            </w:r>
          </w:p>
        </w:tc>
        <w:tc>
          <w:tcPr>
            <w:tcW w:w="48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对零散材料进行线下接收并进行登记，可针对材料接收记录进行查询。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96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52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材料审核</w:t>
            </w:r>
          </w:p>
        </w:tc>
        <w:tc>
          <w:tcPr>
            <w:tcW w:w="48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针对接收的材料进行审核，审核要点主要从真实、全面、规范三方面进行审核。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6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52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材料归档</w:t>
            </w:r>
          </w:p>
        </w:tc>
        <w:tc>
          <w:tcPr>
            <w:tcW w:w="48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通过审核的材料进入待归档材料库，待归档材料库可进行批量归档，归档后，档案材料相关信息直接进入到对应的干部档案目录中，形成新的目录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96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52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材料转递</w:t>
            </w:r>
          </w:p>
        </w:tc>
        <w:tc>
          <w:tcPr>
            <w:tcW w:w="48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登记材料转递情况并做回执记录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96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52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材料催收</w:t>
            </w:r>
          </w:p>
        </w:tc>
        <w:tc>
          <w:tcPr>
            <w:tcW w:w="48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登记下级单位差缺材料情况，形成催收记录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96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52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催收处理</w:t>
            </w:r>
          </w:p>
        </w:tc>
        <w:tc>
          <w:tcPr>
            <w:tcW w:w="48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对已回复或已处理的记录，进行登记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6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52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台账管理</w:t>
            </w:r>
          </w:p>
        </w:tc>
        <w:tc>
          <w:tcPr>
            <w:tcW w:w="48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对接收、审核、转递、归档等状态的材料进行按时间段统计展示。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96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52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档案日常管理</w:t>
            </w: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档案接收</w:t>
            </w:r>
          </w:p>
        </w:tc>
        <w:tc>
          <w:tcPr>
            <w:tcW w:w="48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对接收的档案进行登记操作。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6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52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档案审核</w:t>
            </w:r>
          </w:p>
        </w:tc>
        <w:tc>
          <w:tcPr>
            <w:tcW w:w="48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按照纸质档案审核评分标准和数字档案评分标准对纸质档案和数字档案进行评分，评分合格后，转入待入库列表。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96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52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档案入库</w:t>
            </w:r>
          </w:p>
        </w:tc>
        <w:tc>
          <w:tcPr>
            <w:tcW w:w="48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针对审核通过的档案进行批量办理档案入库。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96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52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档案转递</w:t>
            </w:r>
          </w:p>
        </w:tc>
        <w:tc>
          <w:tcPr>
            <w:tcW w:w="48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对在库的干部档案进行转递移交处理，可批量转递，并自动生成档案转递单，可进行转递单打印，在收到接收单位转回的转递回执单之后，可将转递回执单登记上传。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6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52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档案催收</w:t>
            </w:r>
          </w:p>
        </w:tc>
        <w:tc>
          <w:tcPr>
            <w:tcW w:w="48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登记下级单位未及时报送档案或缺档的情况，形成催收记录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96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52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催收处理</w:t>
            </w:r>
          </w:p>
        </w:tc>
        <w:tc>
          <w:tcPr>
            <w:tcW w:w="48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对已回复或已处理的记录，进行登记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6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52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台账管理</w:t>
            </w:r>
          </w:p>
        </w:tc>
        <w:tc>
          <w:tcPr>
            <w:tcW w:w="48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对接收、审核、转递、归档等状态的档案进行按时间段统计展示。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96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52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数据利用分析</w:t>
            </w: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数据概览</w:t>
            </w:r>
          </w:p>
        </w:tc>
        <w:tc>
          <w:tcPr>
            <w:tcW w:w="48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针对全库的数据进行分析，形成全库的数据概览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96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52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查询统计</w:t>
            </w:r>
          </w:p>
        </w:tc>
        <w:tc>
          <w:tcPr>
            <w:tcW w:w="48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针对全库的数据、业务进行查询统计分析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96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52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用户权限管理</w:t>
            </w: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系统用户管理</w:t>
            </w:r>
          </w:p>
        </w:tc>
        <w:tc>
          <w:tcPr>
            <w:tcW w:w="48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创建与维护系统的机构与用户信息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96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52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系统角色管理</w:t>
            </w:r>
          </w:p>
        </w:tc>
        <w:tc>
          <w:tcPr>
            <w:tcW w:w="48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创建与维护系统的角色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96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52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系统权限设置</w:t>
            </w:r>
          </w:p>
        </w:tc>
        <w:tc>
          <w:tcPr>
            <w:tcW w:w="48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对用户进行权限与角色的分配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96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52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密码初始化</w:t>
            </w:r>
          </w:p>
        </w:tc>
        <w:tc>
          <w:tcPr>
            <w:tcW w:w="48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对用户的密码进行初始化管理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96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52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日志审计管理</w:t>
            </w: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登录日志审计</w:t>
            </w:r>
          </w:p>
        </w:tc>
        <w:tc>
          <w:tcPr>
            <w:tcW w:w="48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对用户的登录日志进行审计，采用三员管理的情况下，日志审计会根据三员要求进行分权限审计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96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52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操作日志审计</w:t>
            </w:r>
          </w:p>
        </w:tc>
        <w:tc>
          <w:tcPr>
            <w:tcW w:w="48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对用户的操作日志进行审计，采用三员管理的情况下，日志审计会根据三员要求进行分权限审计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96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52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系统维护</w:t>
            </w: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组织机构管理</w:t>
            </w:r>
          </w:p>
        </w:tc>
        <w:tc>
          <w:tcPr>
            <w:tcW w:w="48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对干部的组织机构进行信息维护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96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52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档案数据管理</w:t>
            </w:r>
          </w:p>
        </w:tc>
        <w:tc>
          <w:tcPr>
            <w:tcW w:w="48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干部数字档案可以形成标准数据包，数据包采用元数据格式管理，方便信息系统数据的交换。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96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52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档案日志管理</w:t>
            </w:r>
          </w:p>
        </w:tc>
        <w:tc>
          <w:tcPr>
            <w:tcW w:w="48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功能包含：档案浏览日志、档案打印日志</w:t>
            </w:r>
            <w:r>
              <w:rPr>
                <w:rFonts w:ascii="宋体" w:hAnsi="宋体"/>
                <w:color w:val="000000"/>
              </w:rPr>
              <w:br w:type="textWrapping"/>
            </w:r>
            <w:r>
              <w:rPr>
                <w:rFonts w:ascii="宋体" w:hAnsi="宋体"/>
                <w:color w:val="000000"/>
              </w:rPr>
              <w:t>查看查档人员对数字档案的浏览与打印记录，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96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52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工作台管理</w:t>
            </w:r>
          </w:p>
        </w:tc>
        <w:tc>
          <w:tcPr>
            <w:tcW w:w="48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功能包含：工作台配置、工作常用表、角色工作台设置</w:t>
            </w:r>
            <w:r>
              <w:rPr>
                <w:rFonts w:ascii="宋体" w:hAnsi="宋体"/>
                <w:color w:val="000000"/>
              </w:rPr>
              <w:br w:type="textWrapping"/>
            </w:r>
            <w:r>
              <w:rPr>
                <w:rFonts w:ascii="宋体" w:hAnsi="宋体"/>
                <w:color w:val="000000"/>
              </w:rPr>
              <w:t>工作台配置：定义工作台模板</w:t>
            </w:r>
            <w:r>
              <w:rPr>
                <w:rFonts w:ascii="宋体" w:hAnsi="宋体"/>
                <w:color w:val="000000"/>
              </w:rPr>
              <w:br w:type="textWrapping"/>
            </w:r>
            <w:r>
              <w:rPr>
                <w:rFonts w:ascii="宋体" w:hAnsi="宋体"/>
                <w:color w:val="000000"/>
              </w:rPr>
              <w:t>工作常用表：收集展示工作中常用到的表单与文档</w:t>
            </w:r>
            <w:r>
              <w:rPr>
                <w:rFonts w:ascii="宋体" w:hAnsi="宋体"/>
                <w:color w:val="000000"/>
              </w:rPr>
              <w:br w:type="textWrapping"/>
            </w:r>
            <w:r>
              <w:rPr>
                <w:rFonts w:ascii="宋体" w:hAnsi="宋体"/>
                <w:color w:val="000000"/>
              </w:rPr>
              <w:t>角色工作台设置：为角色设置工作台模板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jc w:val="center"/>
        </w:trPr>
        <w:tc>
          <w:tcPr>
            <w:tcW w:w="96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52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知识库管理</w:t>
            </w:r>
          </w:p>
        </w:tc>
        <w:tc>
          <w:tcPr>
            <w:tcW w:w="48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功能包含：知识库管理、通讯录管理、通知维护</w:t>
            </w:r>
            <w:r>
              <w:rPr>
                <w:rFonts w:ascii="宋体" w:hAnsi="宋体"/>
                <w:color w:val="000000"/>
              </w:rPr>
              <w:br w:type="textWrapping"/>
            </w:r>
            <w:r>
              <w:rPr>
                <w:rFonts w:ascii="宋体" w:hAnsi="宋体"/>
                <w:color w:val="000000"/>
              </w:rPr>
              <w:t>知识库管理：搜集干部档案的规章、法规、标准、工作条例等，把该信息资源通过系统的上传发布模块登记</w:t>
            </w:r>
            <w:r>
              <w:rPr>
                <w:rFonts w:ascii="宋体" w:hAnsi="宋体"/>
                <w:color w:val="000000"/>
              </w:rPr>
              <w:br w:type="textWrapping"/>
            </w:r>
            <w:r>
              <w:rPr>
                <w:rFonts w:ascii="宋体" w:hAnsi="宋体"/>
                <w:color w:val="000000"/>
              </w:rPr>
              <w:t>通讯录管理：干部档案通讯录将管档机构的联系人加入到通讯录，可以迅速查询对应的联系人，电话等方式。</w:t>
            </w:r>
            <w:r>
              <w:rPr>
                <w:rFonts w:ascii="宋体" w:hAnsi="宋体"/>
                <w:color w:val="000000"/>
              </w:rPr>
              <w:br w:type="textWrapping"/>
            </w:r>
            <w:r>
              <w:rPr>
                <w:rFonts w:ascii="宋体" w:hAnsi="宋体"/>
                <w:color w:val="000000"/>
              </w:rPr>
              <w:t>通知维护：对系统公告进行维护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6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52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系统参数设置</w:t>
            </w:r>
          </w:p>
        </w:tc>
        <w:tc>
          <w:tcPr>
            <w:tcW w:w="48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对系统参数进行设置，包括：三员管理、是否展开机构树、是否启用四角码、档案水印、密码设置、自动退出时间、UMSP设置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96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52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查档终端IP配置</w:t>
            </w:r>
          </w:p>
        </w:tc>
        <w:tc>
          <w:tcPr>
            <w:tcW w:w="48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终端查档机器的IP配置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96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52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代码字典项关联</w:t>
            </w:r>
          </w:p>
        </w:tc>
        <w:tc>
          <w:tcPr>
            <w:tcW w:w="48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干部档案管理总库中管理数据代码的项进行设置。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96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p>
        </w:tc>
        <w:tc>
          <w:tcPr>
            <w:tcW w:w="2631"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rPr>
            </w:pPr>
            <w:r>
              <w:rPr>
                <w:rFonts w:ascii="宋体" w:hAnsi="宋体"/>
                <w:color w:val="000000"/>
              </w:rPr>
              <w:t>安全支撑平台</w:t>
            </w: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系统安全</w:t>
            </w:r>
          </w:p>
        </w:tc>
        <w:tc>
          <w:tcPr>
            <w:tcW w:w="48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olor w:val="000000"/>
              </w:rPr>
            </w:pPr>
            <w:r>
              <w:rPr>
                <w:rFonts w:ascii="宋体" w:hAnsi="宋体"/>
                <w:color w:val="000000"/>
              </w:rPr>
              <w:t>图像文件加密技术、“三员分离”管理功能、机密标识、特定计算机绑定技术、UMSP文件加密传输技术（确保本地无缓存）、分区域授权、电子文件阅读服务、数字水印技术（水印可定制），API接口方便系统拓展和数据利用</w:t>
            </w:r>
          </w:p>
        </w:tc>
      </w:tr>
    </w:tbl>
    <w:p>
      <w:pPr>
        <w:spacing w:line="360" w:lineRule="auto"/>
        <w:ind w:firstLine="420" w:firstLineChars="200"/>
      </w:pPr>
    </w:p>
    <w:p>
      <w:pPr>
        <w:pStyle w:val="24"/>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档案数字化加工要求</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针对合格的干部人事档案，应按照《干部人事档案数字化技术规范》标准及中组部下发的《关于报送新人中管干部数字档案的通知》（组通字〔2010〕61号）等进行人员建库，目录建库，档案扫描，原始图像处理，高清图像处理，数据存储，质量验收，数据备份。具体要求包括：</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针对本项目的实际情况分析，需设计干部档案数字化流程图，此流程完全针对项目的工作内容和特点而设计，在项目实施中参照此工作流程进行档案扫描加工工作。</w:t>
      </w: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登记出库</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档案出库前，须履行出库手续，填写档案出库登记单（或交接单），逐卷清点无误后办理交接出库。</w:t>
      </w: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档案整理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对档案扫描之前，根据档案管理情况，对干部档案进行适当整理，并做出页码标识，做到材料分类准确、排列有序；材料类序号和页码填写准确；无损坏文字的材料，确保干部纸质档案质量。如果发现材料顺序与原始档案目录不一致的情况，应当向项目环节组长或项目负责人提问，整理环节需按以下步骤进行：</w:t>
      </w: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拆除装订</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如档案上的装订物影响扫描工作进行，应拆除装订物，拆除装订物时应注意保护档案不受损害。</w:t>
      </w: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材料分类</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按照《干部档案工作条例》、《干部档案整理工作细则》（组通字〔1991〕11号）和《关于报送新任中管干部数字档案的通知》（组通字〔2010〕61号）等文件要求对干部档案材料进行分类。</w:t>
      </w: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排序编码</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每类干部档案材料，都要根据材料内容的内在联系和材料之间的衔接或材料的形成时间顺序排列。</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单面书写或打印材料在右上角编写类号和序号，右下角编写页码；双面书写或打印材料在正面右上角编写类号和序号，右下角编写页码，在背面左下角编码页码；类号及页码统一用阿拉伯数字从1开始编写（如1-1为第一类的第一份材料，4-1-1为第四类中第一小类的第一份材料）；根据实际情况对原有纸质档案材料中页码进行修改；凡有图文、有表格的页面，每面作为一页（有封面的材料从封面开始编写页码）；空白纸和托裱衬纸不计页数；复印件和原件应视为一份材料，统一编写页码；有些证书等材料，可按文字水平方向及纸质档案浏览方向编写两个类号和页码。</w:t>
      </w: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页面修整</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破损严重、无法直接进行扫描的档案，应先进行技术修整，折皱不平而影响扫描质量的原件应先铺平。</w:t>
      </w: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人员建库</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参照《干部任免审批表》填写说明进行人员基本信息录入，包括：</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“姓名”，填写户籍登记所用的姓名；</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“性别”，填写男或女；</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“民族”，填写民族的全称，如汉族、维吾尔族等；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“出生日期”，填写出生年月；</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“身份证号”，填写公安机关对（公民）居民给出的唯一的、终身不变的法定号码。</w:t>
      </w: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目录建库</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应根据统一的档案目录格式进行档案目录录入，包括：</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“类号”，填写材料类号；</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“序号”，填写材料所属分类中的序号；</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“材料名称”，根据材料题目填写，无题目的材料，应拟定题目；</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“材料形成时间”，一般采用材料落款标明的最后时间，复制的档案材料，采用原材料形成时间；</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“页数”，填写每份材料的页码数；</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“备注”，填写需要说明的情况。</w:t>
      </w: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档案扫描</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应根据纸质档案材料的具体情况，采用合理的扫描方式进行扫描。</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扫描仪应符合 GB/T 18788 平板式扫描仪通用规范的规定，亮度和对比度为中值，无偏移。</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扫描方式包括（但不限于）：大幅面档案宜采用大幅面扫描仪扫描，也可采用小幅面扫描后的图像拼接方式处理；纸张状况较差、容易损坏的档案，应采用平板扫描方式；对于纸张较薄的档案，若扫描时发生背页字迹透印而影响图像阅读的现象，应在背页后垫白色衬底扫描。</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扫描色彩模式应采用真彩色24位RGB模式扫描。</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扫描分辨率应采用300 dpi分辨率扫描。</w:t>
      </w: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原始图像处理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应对扫描后的图像进行图像处理，包括：</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纠偏处理：对偏斜度＞1°的图像应进行纠偏处理，纠偏后距离显示器25cm～40cm观看图像应没有明显偏斜。对方向不正确的图像应旋转还原，以符合阅读习惯。</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裁边处理：纠偏后的图像应进行裁边处理，去除扫描过程中产生的白边或黑边。</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像拼接：对大幅面档案材料进行分区扫描形成的多幅图像，应进行拼接处理，合并为一个完整的原始图像，以保证数字档案图像的完整性。</w:t>
      </w: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高清图像处理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宜使用计算机软件或人工方式对原始图像数据进行处理，得到高清图像数据。</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原始图像中带有黑白、彩色照片的，可单独处理，以使高清图像中的照片得到更佳的视觉效果或与原始图像的视觉效果相符。</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原始图像中带有印章的图像区域可单独处理，使其更加清晰可辨。</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带有身份证、学历证件、复印件及带有防伪技术的原始图像，或内容特别不清晰的红色或紫色背景的早期麻纸基材，高清处理后仍不具较好辨识效果的，可直接引用原始图像数据，也可使用专业图像处理软件进行处理，处理不应改变或破坏档案信息。</w:t>
      </w: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数据存储</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图像数据应采用JPEG格式存储。原始图像数据存储压缩率≥80％。高清图像数据不进行压缩。</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原始图像数据和高清图像数据应分不同文件夹保存。</w:t>
      </w: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数据验收</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应对全部数字档案成品进行质量验收。</w:t>
      </w: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数据备份</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经验收合格的档案目录信息、原始图像数据、高清图像数据应及时进行备份。</w:t>
      </w:r>
    </w:p>
    <w:p>
      <w:pPr>
        <w:bidi w:val="0"/>
        <w:spacing w:line="360" w:lineRule="auto"/>
        <w:rPr>
          <w:b/>
          <w:bCs/>
        </w:rPr>
      </w:pPr>
      <w:r>
        <w:rPr>
          <w:rFonts w:hint="eastAsia"/>
          <w:b/>
          <w:bCs/>
          <w:lang w:val="en-US" w:eastAsia="zh-CN"/>
        </w:rPr>
        <w:t>（三）</w:t>
      </w:r>
      <w:r>
        <w:rPr>
          <w:rFonts w:hint="eastAsia"/>
          <w:b/>
          <w:bCs/>
        </w:rPr>
        <w:t>硬件</w:t>
      </w:r>
      <w:r>
        <w:rPr>
          <w:b/>
          <w:bCs/>
        </w:rPr>
        <w:t>要求</w:t>
      </w:r>
    </w:p>
    <w:tbl>
      <w:tblPr>
        <w:tblStyle w:val="46"/>
        <w:tblW w:w="9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1756"/>
        <w:gridCol w:w="6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75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设备名称</w:t>
            </w:r>
          </w:p>
        </w:tc>
        <w:tc>
          <w:tcPr>
            <w:tcW w:w="662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详细参数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75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采集工作站</w:t>
            </w:r>
          </w:p>
        </w:tc>
        <w:tc>
          <w:tcPr>
            <w:tcW w:w="662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33" w:firstLineChars="16"/>
              <w:textAlignment w:val="auto"/>
              <w:rPr>
                <w:rFonts w:hint="eastAsia" w:ascii="宋体" w:hAnsi="宋体" w:eastAsia="宋体" w:cs="宋体"/>
                <w:sz w:val="21"/>
                <w:szCs w:val="21"/>
              </w:rPr>
            </w:pPr>
            <w:r>
              <w:rPr>
                <w:rFonts w:hint="eastAsia" w:ascii="宋体" w:hAnsi="宋体" w:eastAsia="宋体" w:cs="宋体"/>
                <w:bCs/>
                <w:color w:val="000000"/>
                <w:sz w:val="21"/>
                <w:szCs w:val="21"/>
              </w:rPr>
              <w:t>不低于4G 1T DVD刻录 2G显卡19.5英寸显示器 Win7操作系统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75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采集终端</w:t>
            </w:r>
          </w:p>
        </w:tc>
        <w:tc>
          <w:tcPr>
            <w:tcW w:w="6626"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品牌：国产产品</w:t>
            </w:r>
          </w:p>
          <w:p>
            <w:pPr>
              <w:keepNext w:val="0"/>
              <w:keepLines w:val="0"/>
              <w:pageBreakBefore w:val="0"/>
              <w:widowControl w:val="0"/>
              <w:kinsoku/>
              <w:wordWrap/>
              <w:overflowPunct/>
              <w:topLinePunct w:val="0"/>
              <w:autoSpaceDE/>
              <w:autoSpaceDN/>
              <w:bidi w:val="0"/>
              <w:adjustRightInd/>
              <w:snapToGrid/>
              <w:spacing w:line="320" w:lineRule="exact"/>
              <w:ind w:firstLine="33" w:firstLineChars="16"/>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不低于8GB/256GB SSD/国产化64位专用系统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75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高级工作站</w:t>
            </w:r>
          </w:p>
        </w:tc>
        <w:tc>
          <w:tcPr>
            <w:tcW w:w="662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33" w:firstLineChars="16"/>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品牌：国产产品</w:t>
            </w:r>
          </w:p>
          <w:p>
            <w:pPr>
              <w:keepNext w:val="0"/>
              <w:keepLines w:val="0"/>
              <w:pageBreakBefore w:val="0"/>
              <w:widowControl w:val="0"/>
              <w:kinsoku/>
              <w:wordWrap/>
              <w:overflowPunct/>
              <w:topLinePunct w:val="0"/>
              <w:autoSpaceDE/>
              <w:autoSpaceDN/>
              <w:bidi w:val="0"/>
              <w:adjustRightInd/>
              <w:snapToGrid/>
              <w:spacing w:line="320" w:lineRule="exact"/>
              <w:ind w:firstLine="33" w:firstLineChars="16"/>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内部硬盘支架数：不低于14*2.5寸/3.5寸盘位</w:t>
            </w:r>
          </w:p>
          <w:p>
            <w:pPr>
              <w:keepNext w:val="0"/>
              <w:keepLines w:val="0"/>
              <w:pageBreakBefore w:val="0"/>
              <w:widowControl w:val="0"/>
              <w:kinsoku/>
              <w:wordWrap/>
              <w:overflowPunct/>
              <w:topLinePunct w:val="0"/>
              <w:autoSpaceDE/>
              <w:autoSpaceDN/>
              <w:bidi w:val="0"/>
              <w:adjustRightInd/>
              <w:snapToGrid/>
              <w:spacing w:line="320" w:lineRule="exact"/>
              <w:ind w:firstLine="33" w:firstLineChars="16"/>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CPU:不低于1颗64核数主频2.2GHz</w:t>
            </w:r>
          </w:p>
          <w:p>
            <w:pPr>
              <w:keepNext w:val="0"/>
              <w:keepLines w:val="0"/>
              <w:pageBreakBefore w:val="0"/>
              <w:widowControl w:val="0"/>
              <w:kinsoku/>
              <w:wordWrap/>
              <w:overflowPunct/>
              <w:topLinePunct w:val="0"/>
              <w:autoSpaceDE/>
              <w:autoSpaceDN/>
              <w:bidi w:val="0"/>
              <w:adjustRightInd/>
              <w:snapToGrid/>
              <w:spacing w:line="320" w:lineRule="exact"/>
              <w:ind w:firstLine="33" w:firstLineChars="16"/>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内存：不低于64GB</w:t>
            </w:r>
          </w:p>
          <w:p>
            <w:pPr>
              <w:keepNext w:val="0"/>
              <w:keepLines w:val="0"/>
              <w:pageBreakBefore w:val="0"/>
              <w:widowControl w:val="0"/>
              <w:kinsoku/>
              <w:wordWrap/>
              <w:overflowPunct/>
              <w:topLinePunct w:val="0"/>
              <w:autoSpaceDE/>
              <w:autoSpaceDN/>
              <w:bidi w:val="0"/>
              <w:adjustRightInd/>
              <w:snapToGrid/>
              <w:spacing w:line="320" w:lineRule="exact"/>
              <w:ind w:firstLine="33" w:firstLineChars="16"/>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硬盘：不低于480GB SSD*1+2T*3</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其他配件：冗余电源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175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bCs/>
                <w:color w:val="000000"/>
                <w:sz w:val="21"/>
                <w:szCs w:val="21"/>
              </w:rPr>
              <w:t>操作系统</w:t>
            </w:r>
          </w:p>
        </w:tc>
        <w:tc>
          <w:tcPr>
            <w:tcW w:w="662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国产操作系统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175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中间件</w:t>
            </w:r>
          </w:p>
        </w:tc>
        <w:tc>
          <w:tcPr>
            <w:tcW w:w="662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33" w:firstLineChars="16"/>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国产中间件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175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数据库</w:t>
            </w:r>
          </w:p>
        </w:tc>
        <w:tc>
          <w:tcPr>
            <w:tcW w:w="662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33" w:firstLineChars="16"/>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国产数据库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175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扫描仪</w:t>
            </w:r>
          </w:p>
        </w:tc>
        <w:tc>
          <w:tcPr>
            <w:tcW w:w="662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33" w:firstLineChars="16"/>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A3平板扫描仪</w:t>
            </w:r>
          </w:p>
          <w:p>
            <w:pPr>
              <w:keepNext w:val="0"/>
              <w:keepLines w:val="0"/>
              <w:pageBreakBefore w:val="0"/>
              <w:widowControl w:val="0"/>
              <w:kinsoku/>
              <w:wordWrap/>
              <w:overflowPunct/>
              <w:topLinePunct w:val="0"/>
              <w:autoSpaceDE/>
              <w:autoSpaceDN/>
              <w:bidi w:val="0"/>
              <w:adjustRightInd/>
              <w:snapToGrid/>
              <w:spacing w:line="320" w:lineRule="exact"/>
              <w:ind w:firstLine="33" w:firstLineChars="16"/>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支持格式：支持JPG、多页TIFF、多页PDF格式</w:t>
            </w:r>
          </w:p>
          <w:p>
            <w:pPr>
              <w:keepNext w:val="0"/>
              <w:keepLines w:val="0"/>
              <w:pageBreakBefore w:val="0"/>
              <w:widowControl w:val="0"/>
              <w:kinsoku/>
              <w:wordWrap/>
              <w:overflowPunct/>
              <w:topLinePunct w:val="0"/>
              <w:autoSpaceDE/>
              <w:autoSpaceDN/>
              <w:bidi w:val="0"/>
              <w:adjustRightInd/>
              <w:snapToGrid/>
              <w:spacing w:line="320" w:lineRule="exact"/>
              <w:ind w:firstLine="33" w:firstLineChars="16"/>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光学分辨率:大于300dpi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8</w:t>
            </w:r>
          </w:p>
        </w:tc>
        <w:tc>
          <w:tcPr>
            <w:tcW w:w="175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交换机</w:t>
            </w:r>
          </w:p>
        </w:tc>
        <w:tc>
          <w:tcPr>
            <w:tcW w:w="662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33" w:firstLineChars="16"/>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产品类型：千兆以太网</w:t>
            </w:r>
          </w:p>
          <w:p>
            <w:pPr>
              <w:keepNext w:val="0"/>
              <w:keepLines w:val="0"/>
              <w:pageBreakBefore w:val="0"/>
              <w:widowControl w:val="0"/>
              <w:kinsoku/>
              <w:wordWrap/>
              <w:overflowPunct/>
              <w:topLinePunct w:val="0"/>
              <w:autoSpaceDE/>
              <w:autoSpaceDN/>
              <w:bidi w:val="0"/>
              <w:adjustRightInd/>
              <w:snapToGrid/>
              <w:spacing w:line="320" w:lineRule="exact"/>
              <w:ind w:firstLine="33" w:firstLineChars="16"/>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传输速率：10/100/1000Mbps;</w:t>
            </w:r>
          </w:p>
          <w:p>
            <w:pPr>
              <w:keepNext w:val="0"/>
              <w:keepLines w:val="0"/>
              <w:pageBreakBefore w:val="0"/>
              <w:widowControl w:val="0"/>
              <w:kinsoku/>
              <w:wordWrap/>
              <w:overflowPunct/>
              <w:topLinePunct w:val="0"/>
              <w:autoSpaceDE/>
              <w:autoSpaceDN/>
              <w:bidi w:val="0"/>
              <w:adjustRightInd/>
              <w:snapToGrid/>
              <w:spacing w:line="320" w:lineRule="exact"/>
              <w:ind w:firstLine="33" w:firstLineChars="16"/>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端口数量:不低于16个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9</w:t>
            </w:r>
          </w:p>
        </w:tc>
        <w:tc>
          <w:tcPr>
            <w:tcW w:w="175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移动硬盘</w:t>
            </w:r>
          </w:p>
        </w:tc>
        <w:tc>
          <w:tcPr>
            <w:tcW w:w="662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33" w:firstLineChars="16"/>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性能不低于2TB 移动硬盘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9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c>
          <w:tcPr>
            <w:tcW w:w="175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机柜</w:t>
            </w:r>
          </w:p>
        </w:tc>
        <w:tc>
          <w:tcPr>
            <w:tcW w:w="662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33" w:firstLineChars="16"/>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规格：18U(1米)</w:t>
            </w:r>
          </w:p>
          <w:p>
            <w:pPr>
              <w:keepNext w:val="0"/>
              <w:keepLines w:val="0"/>
              <w:pageBreakBefore w:val="0"/>
              <w:widowControl w:val="0"/>
              <w:kinsoku/>
              <w:wordWrap/>
              <w:overflowPunct/>
              <w:topLinePunct w:val="0"/>
              <w:autoSpaceDE/>
              <w:autoSpaceDN/>
              <w:bidi w:val="0"/>
              <w:adjustRightInd/>
              <w:snapToGrid/>
              <w:spacing w:line="320" w:lineRule="exact"/>
              <w:ind w:firstLine="33" w:firstLineChars="16"/>
              <w:jc w:val="left"/>
              <w:textAlignment w:val="auto"/>
              <w:rPr>
                <w:rFonts w:hint="eastAsia" w:ascii="宋体" w:hAnsi="宋体" w:eastAsia="宋体" w:cs="宋体"/>
                <w:color w:val="000000"/>
                <w:sz w:val="21"/>
                <w:szCs w:val="21"/>
              </w:rPr>
            </w:pPr>
            <w:r>
              <w:rPr>
                <w:rFonts w:hint="eastAsia" w:ascii="宋体" w:hAnsi="宋体" w:eastAsia="宋体" w:cs="宋体"/>
                <w:bCs/>
                <w:color w:val="000000"/>
                <w:sz w:val="21"/>
                <w:szCs w:val="21"/>
              </w:rPr>
              <w:t>600*1000*18U（宽*深*高）。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9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11</w:t>
            </w:r>
          </w:p>
        </w:tc>
        <w:tc>
          <w:tcPr>
            <w:tcW w:w="175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打印一体机</w:t>
            </w:r>
          </w:p>
        </w:tc>
        <w:tc>
          <w:tcPr>
            <w:tcW w:w="662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幅面：不低于A4</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功能：复印、打印</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bCs/>
                <w:color w:val="000000"/>
                <w:sz w:val="21"/>
                <w:szCs w:val="21"/>
              </w:rPr>
              <w:t>打印速度：</w:t>
            </w:r>
            <w:r>
              <w:rPr>
                <w:rFonts w:hint="eastAsia" w:ascii="宋体" w:hAnsi="宋体" w:eastAsia="宋体" w:cs="宋体"/>
                <w:sz w:val="21"/>
                <w:szCs w:val="21"/>
              </w:rPr>
              <w:t>黑白打印不低于10页/分钟</w:t>
            </w:r>
          </w:p>
        </w:tc>
      </w:tr>
    </w:tbl>
    <w:p>
      <w:pPr>
        <w:bidi w:val="0"/>
      </w:pPr>
    </w:p>
    <w:p>
      <w:pPr>
        <w:bidi w:val="0"/>
        <w:spacing w:line="360" w:lineRule="auto"/>
        <w:rPr>
          <w:b/>
          <w:bCs/>
        </w:rPr>
      </w:pPr>
      <w:r>
        <w:rPr>
          <w:rFonts w:hint="eastAsia"/>
          <w:b/>
          <w:bCs/>
          <w:lang w:val="en-US" w:eastAsia="zh-CN"/>
        </w:rPr>
        <w:t>四、</w:t>
      </w:r>
      <w:r>
        <w:rPr>
          <w:rFonts w:hint="eastAsia"/>
          <w:b/>
          <w:bCs/>
        </w:rPr>
        <w:t>服务要求</w:t>
      </w:r>
    </w:p>
    <w:p>
      <w:pPr>
        <w:pStyle w:val="64"/>
        <w:numPr>
          <w:ilvl w:val="0"/>
          <w:numId w:val="0"/>
        </w:numPr>
        <w:spacing w:line="360" w:lineRule="auto"/>
        <w:ind w:leftChars="0"/>
        <w:rPr>
          <w:rFonts w:ascii="宋体" w:hAnsi="宋体" w:cs="宋体"/>
          <w:b/>
          <w:bCs/>
        </w:rPr>
      </w:pPr>
      <w:r>
        <w:rPr>
          <w:rFonts w:hint="eastAsia" w:ascii="宋体" w:hAnsi="宋体" w:cs="宋体"/>
          <w:b/>
          <w:bCs/>
          <w:lang w:eastAsia="zh-CN"/>
        </w:rPr>
        <w:t>（</w:t>
      </w:r>
      <w:r>
        <w:rPr>
          <w:rFonts w:hint="eastAsia" w:ascii="宋体" w:hAnsi="宋体" w:cs="宋体"/>
          <w:b/>
          <w:bCs/>
          <w:lang w:val="en-US" w:eastAsia="zh-CN"/>
        </w:rPr>
        <w:t>一</w:t>
      </w:r>
      <w:r>
        <w:rPr>
          <w:rFonts w:hint="eastAsia" w:ascii="宋体" w:hAnsi="宋体" w:cs="宋体"/>
          <w:b/>
          <w:bCs/>
          <w:lang w:eastAsia="zh-CN"/>
        </w:rPr>
        <w:t>）</w:t>
      </w:r>
      <w:r>
        <w:rPr>
          <w:rFonts w:hint="eastAsia" w:ascii="宋体" w:hAnsi="宋体" w:cs="宋体"/>
          <w:b/>
          <w:bCs/>
        </w:rPr>
        <w:t>保密</w:t>
      </w:r>
      <w:r>
        <w:rPr>
          <w:rFonts w:ascii="宋体" w:hAnsi="宋体" w:cs="宋体"/>
          <w:b/>
          <w:bCs/>
        </w:rPr>
        <w:t>要求</w:t>
      </w:r>
    </w:p>
    <w:p>
      <w:pPr>
        <w:pStyle w:val="24"/>
        <w:spacing w:line="360" w:lineRule="auto"/>
        <w:ind w:firstLine="420" w:firstLineChars="200"/>
      </w:pPr>
      <w:r>
        <w:rPr>
          <w:rFonts w:hint="eastAsia"/>
        </w:rPr>
        <w:t>双方应遵守国家法律法规，保守国家秘密、工作秘密和商业秘密。国家秘密是指关系国家的</w:t>
      </w:r>
      <w:r>
        <w:t>安全利益，依照法定程序确定，在一定时间内只限一定范围的人员知悉的事项；工作秘密是指国家工作部门或工作人员所拥有的、不能擅自公开的以机关、单位为主体的那一部分事项；商业秘密是指不为公众所熟悉、能为权利人带来经济利益，具有实用性并经权利人采取保密措施的技术信息和经营信息。</w:t>
      </w:r>
    </w:p>
    <w:p>
      <w:pPr>
        <w:pStyle w:val="24"/>
        <w:spacing w:line="360" w:lineRule="auto"/>
        <w:ind w:firstLine="420" w:firstLineChars="200"/>
      </w:pPr>
      <w:r>
        <w:rPr>
          <w:rFonts w:hint="eastAsia"/>
          <w:lang w:eastAsia="zh-CN"/>
        </w:rPr>
        <w:t>成交供应商</w:t>
      </w:r>
      <w:r>
        <w:t>不得将采购人的档案资料以任何方式向外泄露，不得以任何方式（纸质、硬盘、磁盘、光盘、软盘等载体）将采购人信息资料带离采购人为</w:t>
      </w:r>
      <w:r>
        <w:rPr>
          <w:rFonts w:hint="eastAsia"/>
          <w:lang w:eastAsia="zh-CN"/>
        </w:rPr>
        <w:t>成交供应商</w:t>
      </w:r>
      <w:r>
        <w:t>提供的工作现场，不得擅自将采购人信息资料的相关数据存在</w:t>
      </w:r>
      <w:r>
        <w:rPr>
          <w:rFonts w:hint="eastAsia"/>
          <w:lang w:eastAsia="zh-CN"/>
        </w:rPr>
        <w:t>成交供应商</w:t>
      </w:r>
      <w:r>
        <w:t>设备上。在工作期间不得使用手机和相机等设备。</w:t>
      </w:r>
    </w:p>
    <w:p>
      <w:pPr>
        <w:pStyle w:val="24"/>
        <w:spacing w:line="360" w:lineRule="auto"/>
        <w:ind w:firstLine="420" w:firstLineChars="200"/>
      </w:pPr>
      <w:r>
        <w:t>双方需签订《保密协议》，如</w:t>
      </w:r>
      <w:r>
        <w:rPr>
          <w:rFonts w:hint="eastAsia"/>
          <w:lang w:eastAsia="zh-CN"/>
        </w:rPr>
        <w:t>成交供应商</w:t>
      </w:r>
      <w:r>
        <w:t>故意或者过失泄露秘密，除承担违约责任外，还应承担相应的法律责任。</w:t>
      </w:r>
      <w:r>
        <w:rPr>
          <w:rFonts w:hint="eastAsia"/>
          <w:lang w:eastAsia="zh-CN"/>
        </w:rPr>
        <w:t>成交供应商</w:t>
      </w:r>
      <w:r>
        <w:t>应当加强对参与该项目的所有</w:t>
      </w:r>
      <w:r>
        <w:rPr>
          <w:rFonts w:hint="eastAsia"/>
          <w:lang w:eastAsia="zh-CN"/>
        </w:rPr>
        <w:t>成交供应商</w:t>
      </w:r>
      <w:r>
        <w:t>工作人员的保密教育。项目结束后，应进行离岗安全保密教育，签订离岗保密承诺书。</w:t>
      </w:r>
    </w:p>
    <w:p>
      <w:pPr>
        <w:pStyle w:val="64"/>
        <w:numPr>
          <w:ilvl w:val="0"/>
          <w:numId w:val="0"/>
        </w:numPr>
        <w:spacing w:line="360" w:lineRule="auto"/>
        <w:ind w:leftChars="0"/>
        <w:rPr>
          <w:rFonts w:ascii="宋体" w:hAnsi="宋体" w:cs="宋体"/>
          <w:b/>
          <w:bCs/>
        </w:rPr>
      </w:pPr>
      <w:r>
        <w:rPr>
          <w:rFonts w:hint="eastAsia" w:ascii="宋体" w:hAnsi="宋体" w:cs="宋体"/>
          <w:b/>
          <w:bCs/>
          <w:lang w:eastAsia="zh-CN"/>
        </w:rPr>
        <w:t>（</w:t>
      </w:r>
      <w:r>
        <w:rPr>
          <w:rFonts w:hint="eastAsia" w:ascii="宋体" w:hAnsi="宋体" w:cs="宋体"/>
          <w:b/>
          <w:bCs/>
          <w:lang w:val="en-US" w:eastAsia="zh-CN"/>
        </w:rPr>
        <w:t>二</w:t>
      </w:r>
      <w:r>
        <w:rPr>
          <w:rFonts w:hint="eastAsia" w:ascii="宋体" w:hAnsi="宋体" w:cs="宋体"/>
          <w:b/>
          <w:bCs/>
          <w:lang w:eastAsia="zh-CN"/>
        </w:rPr>
        <w:t>）</w:t>
      </w:r>
      <w:r>
        <w:rPr>
          <w:rFonts w:hint="eastAsia" w:ascii="宋体" w:hAnsi="宋体" w:cs="宋体"/>
          <w:b/>
          <w:bCs/>
        </w:rPr>
        <w:t>系统对接要求</w:t>
      </w:r>
    </w:p>
    <w:p>
      <w:pPr>
        <w:pStyle w:val="64"/>
        <w:spacing w:line="360" w:lineRule="auto"/>
        <w:ind w:left="0" w:leftChars="0" w:firstLine="420" w:firstLineChars="200"/>
        <w:jc w:val="left"/>
      </w:pPr>
      <w:r>
        <w:rPr>
          <w:rFonts w:hint="eastAsia"/>
        </w:rPr>
        <w:t>可以实现干部档案管理信息系统与市级</w:t>
      </w:r>
      <w:r>
        <w:t>单位</w:t>
      </w:r>
      <w:r>
        <w:rPr>
          <w:rFonts w:hint="eastAsia"/>
        </w:rPr>
        <w:t>干部档案管理信息系统无缝对接，根据技术规范系统对接内容要求，投标供应商需提供系统对接承诺书，承诺实现系统对接。</w:t>
      </w:r>
    </w:p>
    <w:p>
      <w:pPr>
        <w:rPr>
          <w:rFonts w:ascii="宋体" w:hAnsi="宋体"/>
          <w:bCs/>
          <w:color w:val="000000" w:themeColor="text1"/>
          <w:szCs w:val="21"/>
          <w:highlight w:val="none"/>
        </w:rPr>
      </w:pPr>
    </w:p>
    <w:p>
      <w:pPr>
        <w:rPr>
          <w:rFonts w:ascii="宋体" w:hAnsi="宋体"/>
          <w:bCs/>
          <w:color w:val="000000" w:themeColor="text1"/>
          <w:szCs w:val="21"/>
          <w:highlight w:val="none"/>
        </w:rPr>
      </w:pPr>
    </w:p>
    <w:p>
      <w:pPr>
        <w:rPr>
          <w:rFonts w:ascii="宋体" w:hAnsi="宋体"/>
          <w:bCs/>
          <w:color w:val="000000" w:themeColor="text1"/>
          <w:szCs w:val="21"/>
          <w:highlight w:val="none"/>
        </w:rPr>
      </w:pPr>
    </w:p>
    <w:p>
      <w:pPr>
        <w:rPr>
          <w:rFonts w:ascii="宋体" w:hAnsi="宋体"/>
          <w:bCs/>
          <w:color w:val="000000" w:themeColor="text1"/>
          <w:szCs w:val="21"/>
          <w:highlight w:val="none"/>
        </w:rPr>
      </w:pPr>
    </w:p>
    <w:p>
      <w:pPr>
        <w:rPr>
          <w:rFonts w:ascii="宋体" w:hAnsi="宋体"/>
          <w:bCs/>
          <w:color w:val="000000" w:themeColor="text1"/>
          <w:szCs w:val="21"/>
          <w:highlight w:val="none"/>
        </w:rPr>
      </w:pPr>
    </w:p>
    <w:p>
      <w:pPr>
        <w:rPr>
          <w:rFonts w:hint="eastAsia"/>
          <w:color w:val="000000" w:themeColor="text1"/>
          <w:kern w:val="0"/>
          <w:sz w:val="21"/>
          <w:szCs w:val="21"/>
          <w:highlight w:val="none"/>
        </w:rPr>
      </w:pPr>
      <w:bookmarkStart w:id="62" w:name="_Toc353522392"/>
      <w:bookmarkStart w:id="63" w:name="_Toc351987964"/>
      <w:bookmarkStart w:id="64" w:name="_Toc351988709"/>
      <w:bookmarkStart w:id="65" w:name="_Toc351987768"/>
      <w:bookmarkStart w:id="66" w:name="_Toc357151175"/>
      <w:bookmarkStart w:id="67" w:name="_Toc369180022"/>
      <w:bookmarkStart w:id="68" w:name="_Toc351990145"/>
      <w:r>
        <w:rPr>
          <w:rFonts w:hint="eastAsia"/>
          <w:color w:val="000000" w:themeColor="text1"/>
          <w:kern w:val="0"/>
          <w:sz w:val="21"/>
          <w:szCs w:val="21"/>
          <w:highlight w:val="none"/>
        </w:rPr>
        <w:br w:type="page"/>
      </w:r>
    </w:p>
    <w:p>
      <w:pPr>
        <w:pStyle w:val="5"/>
        <w:widowControl/>
        <w:numPr>
          <w:ilvl w:val="0"/>
          <w:numId w:val="0"/>
        </w:numPr>
        <w:autoSpaceDE w:val="0"/>
        <w:autoSpaceDN w:val="0"/>
        <w:adjustRightInd w:val="0"/>
        <w:snapToGrid w:val="0"/>
        <w:spacing w:beforeLines="150" w:after="0" w:line="360" w:lineRule="auto"/>
        <w:jc w:val="center"/>
        <w:textAlignment w:val="baseline"/>
        <w:rPr>
          <w:color w:val="000000" w:themeColor="text1"/>
          <w:kern w:val="0"/>
          <w:sz w:val="21"/>
          <w:szCs w:val="21"/>
          <w:highlight w:val="none"/>
        </w:rPr>
      </w:pPr>
      <w:bookmarkStart w:id="69" w:name="_Toc4560"/>
      <w:r>
        <w:rPr>
          <w:rFonts w:hint="eastAsia"/>
          <w:color w:val="000000" w:themeColor="text1"/>
          <w:kern w:val="0"/>
          <w:sz w:val="21"/>
          <w:szCs w:val="21"/>
          <w:highlight w:val="none"/>
        </w:rPr>
        <w:t>第三部分 谈判须知</w:t>
      </w:r>
      <w:bookmarkEnd w:id="69"/>
    </w:p>
    <w:p>
      <w:pPr>
        <w:pStyle w:val="5"/>
        <w:numPr>
          <w:ilvl w:val="0"/>
          <w:numId w:val="0"/>
        </w:numPr>
        <w:spacing w:line="360" w:lineRule="auto"/>
        <w:jc w:val="center"/>
        <w:rPr>
          <w:rFonts w:ascii="宋体" w:hAnsi="宋体"/>
          <w:color w:val="000000" w:themeColor="text1"/>
          <w:kern w:val="0"/>
          <w:sz w:val="24"/>
          <w:highlight w:val="none"/>
        </w:rPr>
      </w:pPr>
      <w:bookmarkStart w:id="70" w:name="_Toc434832495"/>
      <w:bookmarkStart w:id="71" w:name="_Toc458956865"/>
      <w:bookmarkStart w:id="72" w:name="_Toc2966"/>
      <w:r>
        <w:rPr>
          <w:rFonts w:hint="eastAsia" w:ascii="宋体" w:hAnsi="宋体"/>
          <w:color w:val="000000" w:themeColor="text1"/>
          <w:kern w:val="0"/>
          <w:sz w:val="24"/>
          <w:highlight w:val="none"/>
        </w:rPr>
        <w:t>谈判须知前附表</w:t>
      </w:r>
      <w:bookmarkEnd w:id="70"/>
      <w:bookmarkEnd w:id="71"/>
      <w:bookmarkEnd w:id="72"/>
    </w:p>
    <w:tbl>
      <w:tblPr>
        <w:tblStyle w:val="45"/>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rPr>
            </w:pPr>
            <w:r>
              <w:rPr>
                <w:rFonts w:hint="eastAsia"/>
                <w:color w:val="000000" w:themeColor="text1"/>
                <w:highlight w:val="none"/>
              </w:rPr>
              <w:t>单一来源小组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rPr>
            </w:pPr>
            <w:r>
              <w:rPr>
                <w:rFonts w:hint="eastAsia" w:ascii="宋体"/>
                <w:bCs/>
                <w:color w:val="000000" w:themeColor="text1"/>
                <w:highlight w:val="none"/>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rPr>
              <w:t>专家数量共</w:t>
            </w:r>
            <w:r>
              <w:rPr>
                <w:rFonts w:hint="eastAsia" w:ascii="宋体"/>
                <w:b/>
                <w:bCs/>
                <w:color w:val="000000" w:themeColor="text1"/>
                <w:highlight w:val="none"/>
                <w:u w:val="single"/>
                <w:lang w:val="en-US" w:eastAsia="zh-CN"/>
              </w:rPr>
              <w:t>3</w:t>
            </w:r>
            <w:r>
              <w:rPr>
                <w:rFonts w:hint="eastAsia" w:ascii="宋体"/>
                <w:b/>
                <w:bCs/>
                <w:color w:val="000000" w:themeColor="text1"/>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color w:val="000000" w:themeColor="text1"/>
                <w:szCs w:val="21"/>
                <w:highlight w:val="none"/>
              </w:rPr>
            </w:pPr>
            <w:r>
              <w:rPr>
                <w:rFonts w:hint="eastAsia" w:ascii="宋体"/>
                <w:bCs/>
                <w:color w:val="000000" w:themeColor="text1"/>
                <w:highlight w:val="none"/>
              </w:rPr>
              <w:t>投标人在每一份谈判文件上明确标明 “正本”或“副本”。将正本及副本分别</w:t>
            </w:r>
            <w:r>
              <w:rPr>
                <w:rFonts w:hint="eastAsia" w:ascii="宋体" w:hAnsi="宋体"/>
                <w:bCs/>
                <w:color w:val="000000" w:themeColor="text1"/>
                <w:highlight w:val="none"/>
              </w:rPr>
              <w:t>密封在不透明的外层封装中，</w:t>
            </w:r>
            <w:r>
              <w:rPr>
                <w:rFonts w:hint="eastAsia"/>
                <w:color w:val="000000" w:themeColor="text1"/>
                <w:szCs w:val="21"/>
                <w:highlight w:val="none"/>
              </w:rPr>
              <w:t>封面需按谈判文件封面格式要求标注并加盖公章。电子文件单独密封</w:t>
            </w:r>
            <w:r>
              <w:rPr>
                <w:rFonts w:hint="eastAsia" w:ascii="宋体" w:hAnsi="宋体"/>
                <w:bCs/>
                <w:color w:val="000000" w:themeColor="text1"/>
                <w:szCs w:val="21"/>
                <w:highlight w:val="none"/>
              </w:rPr>
              <w:t>不透明的外层封装中</w:t>
            </w:r>
            <w:r>
              <w:rPr>
                <w:rFonts w:hint="eastAsia"/>
                <w:color w:val="000000" w:themeColor="text1"/>
                <w:szCs w:val="21"/>
                <w:highlight w:val="none"/>
              </w:rPr>
              <w:t>，在封面上注明“（公司名称）投标电子版”，</w:t>
            </w:r>
            <w:r>
              <w:rPr>
                <w:color w:val="000000" w:themeColor="text1"/>
                <w:szCs w:val="21"/>
                <w:highlight w:val="none"/>
              </w:rPr>
              <w:t>所有文件密封袋的封口处应加盖投标人</w:t>
            </w:r>
            <w:r>
              <w:rPr>
                <w:rFonts w:hint="eastAsia"/>
                <w:color w:val="000000" w:themeColor="text1"/>
                <w:szCs w:val="21"/>
                <w:highlight w:val="none"/>
              </w:rPr>
              <w:t>公章或密封章。</w:t>
            </w:r>
          </w:p>
          <w:p>
            <w:pPr>
              <w:spacing w:line="360" w:lineRule="exact"/>
              <w:jc w:val="left"/>
              <w:rPr>
                <w:rFonts w:ascii="宋体" w:hAnsi="宋体"/>
                <w:b/>
                <w:color w:val="000000" w:themeColor="text1"/>
                <w:szCs w:val="21"/>
                <w:highlight w:val="none"/>
                <w:shd w:val="pct10" w:color="auto" w:fill="FFFFFF"/>
              </w:rPr>
            </w:pPr>
            <w:r>
              <w:rPr>
                <w:rFonts w:hint="eastAsia"/>
                <w:b/>
                <w:color w:val="000000" w:themeColor="text1"/>
                <w:szCs w:val="21"/>
                <w:highlight w:val="none"/>
              </w:rPr>
              <w:t>正本</w:t>
            </w:r>
            <w:r>
              <w:rPr>
                <w:rFonts w:hint="eastAsia" w:ascii="宋体"/>
                <w:b/>
                <w:bCs/>
                <w:color w:val="000000" w:themeColor="text1"/>
                <w:highlight w:val="none"/>
                <w:u w:val="single"/>
              </w:rPr>
              <w:t>1</w:t>
            </w:r>
            <w:r>
              <w:rPr>
                <w:rFonts w:hint="eastAsia" w:ascii="宋体"/>
                <w:b/>
                <w:bCs/>
                <w:color w:val="000000" w:themeColor="text1"/>
                <w:highlight w:val="none"/>
              </w:rPr>
              <w:t>份,</w:t>
            </w:r>
            <w:r>
              <w:rPr>
                <w:rFonts w:hint="eastAsia" w:ascii="宋体" w:hAnsi="宋体"/>
                <w:b/>
                <w:bCs/>
                <w:color w:val="000000" w:themeColor="text1"/>
                <w:highlight w:val="none"/>
              </w:rPr>
              <w:t xml:space="preserve"> 副本</w:t>
            </w:r>
            <w:r>
              <w:rPr>
                <w:rFonts w:hint="eastAsia" w:ascii="宋体" w:hAnsi="宋体"/>
                <w:b/>
                <w:bCs/>
                <w:color w:val="000000" w:themeColor="text1"/>
                <w:highlight w:val="none"/>
                <w:u w:val="single"/>
                <w:lang w:val="en-US" w:eastAsia="zh-CN"/>
              </w:rPr>
              <w:t>2</w:t>
            </w:r>
            <w:r>
              <w:rPr>
                <w:rFonts w:hint="eastAsia" w:ascii="宋体" w:hAnsi="宋体"/>
                <w:b/>
                <w:bCs/>
                <w:color w:val="000000" w:themeColor="text1"/>
                <w:highlight w:val="none"/>
              </w:rPr>
              <w:t>份,</w:t>
            </w:r>
            <w:r>
              <w:rPr>
                <w:rFonts w:hint="eastAsia"/>
                <w:b/>
                <w:color w:val="000000" w:themeColor="text1"/>
                <w:szCs w:val="21"/>
                <w:highlight w:val="none"/>
              </w:rPr>
              <w:t>电子文件</w:t>
            </w:r>
            <w:r>
              <w:rPr>
                <w:rFonts w:hint="eastAsia" w:ascii="宋体"/>
                <w:b/>
                <w:bCs/>
                <w:color w:val="000000" w:themeColor="text1"/>
                <w:highlight w:val="none"/>
                <w:u w:val="single"/>
              </w:rPr>
              <w:t>1</w:t>
            </w:r>
            <w:r>
              <w:rPr>
                <w:rFonts w:hint="eastAsia" w:ascii="宋体"/>
                <w:b/>
                <w:bCs/>
                <w:color w:val="000000" w:themeColor="text1"/>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rPr>
            </w:pPr>
            <w:r>
              <w:rPr>
                <w:rFonts w:hint="eastAsia"/>
                <w:color w:val="000000" w:themeColor="text1"/>
                <w:highlight w:val="none"/>
              </w:rPr>
              <w:t>为了方便唱标，投标人在递交谈判文件的同时，向代理采购机构提交包含“报价一览表”、“投标保证金”、“分项报价表”、“保证金退付书”</w:t>
            </w:r>
            <w:r>
              <w:rPr>
                <w:rFonts w:hint="eastAsia" w:ascii="宋体" w:hAnsi="宋体"/>
                <w:color w:val="000000" w:themeColor="text1"/>
                <w:szCs w:val="21"/>
                <w:highlight w:val="none"/>
              </w:rPr>
              <w:t>、“法定代表人证明书”</w:t>
            </w:r>
            <w:r>
              <w:rPr>
                <w:rFonts w:hint="eastAsia"/>
                <w:color w:val="000000" w:themeColor="text1"/>
                <w:highlight w:val="none"/>
              </w:rPr>
              <w:t>和</w:t>
            </w:r>
            <w:r>
              <w:rPr>
                <w:rFonts w:hint="eastAsia" w:ascii="宋体" w:hAnsi="宋体"/>
                <w:color w:val="000000" w:themeColor="text1"/>
                <w:szCs w:val="21"/>
                <w:highlight w:val="none"/>
              </w:rPr>
              <w:t>“法定代表人</w:t>
            </w:r>
            <w:r>
              <w:rPr>
                <w:rFonts w:ascii="宋体" w:hAnsi="宋体"/>
                <w:color w:val="000000" w:themeColor="text1"/>
                <w:szCs w:val="21"/>
                <w:highlight w:val="none"/>
              </w:rPr>
              <w:t>授权书</w:t>
            </w:r>
            <w:r>
              <w:rPr>
                <w:rFonts w:hint="eastAsia" w:ascii="宋体" w:hAnsi="宋体"/>
                <w:color w:val="000000" w:themeColor="text1"/>
                <w:szCs w:val="21"/>
                <w:highlight w:val="none"/>
              </w:rPr>
              <w:t>”</w:t>
            </w:r>
            <w:r>
              <w:rPr>
                <w:rFonts w:hint="eastAsia"/>
                <w:color w:val="000000" w:themeColor="text1"/>
                <w:highlight w:val="none"/>
              </w:rPr>
              <w:t>的密封袋，</w:t>
            </w:r>
            <w:r>
              <w:rPr>
                <w:rFonts w:hint="eastAsia"/>
                <w:color w:val="000000" w:themeColor="text1"/>
                <w:szCs w:val="21"/>
                <w:highlight w:val="none"/>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rPr>
            </w:pPr>
            <w:r>
              <w:rPr>
                <w:rFonts w:hint="eastAsia" w:ascii="宋体"/>
                <w:bCs/>
                <w:color w:val="000000" w:themeColor="text1"/>
                <w:highlight w:val="none"/>
              </w:rPr>
              <w:t>每一密封信封上均注明“于</w:t>
            </w:r>
            <w:r>
              <w:rPr>
                <w:rFonts w:hint="eastAsia" w:ascii="宋体"/>
                <w:bCs/>
                <w:color w:val="000000" w:themeColor="text1"/>
                <w:highlight w:val="none"/>
                <w:u w:val="single"/>
              </w:rPr>
              <w:t xml:space="preserve">     （投标截止时间）   </w:t>
            </w:r>
            <w:r>
              <w:rPr>
                <w:rFonts w:hint="eastAsia" w:ascii="宋体"/>
                <w:bCs/>
                <w:color w:val="000000" w:themeColor="text1"/>
                <w:highlight w:val="none"/>
              </w:rPr>
              <w:t>之前不准启封”的字样、项目名称、项目编号、投标人名称及联系资料，并加盖骑缝章。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rPr>
            </w:pPr>
            <w:r>
              <w:rPr>
                <w:rFonts w:hint="eastAsia" w:ascii="宋体"/>
                <w:bCs/>
                <w:color w:val="000000" w:themeColor="text1"/>
                <w:highlight w:val="none"/>
              </w:rPr>
              <w:t>投标人未按上述规定对谈判文件进行密封和加写标记，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pStyle w:val="10"/>
              <w:numPr>
                <w:ilvl w:val="1"/>
                <w:numId w:val="3"/>
              </w:numPr>
              <w:tabs>
                <w:tab w:val="left" w:pos="26"/>
                <w:tab w:val="clear" w:pos="783"/>
              </w:tabs>
              <w:autoSpaceDE w:val="0"/>
              <w:autoSpaceDN w:val="0"/>
              <w:adjustRightInd w:val="0"/>
              <w:ind w:left="26" w:firstLine="0"/>
              <w:textAlignment w:val="baseline"/>
              <w:rPr>
                <w:b/>
                <w:color w:val="000000" w:themeColor="text1"/>
                <w:szCs w:val="21"/>
                <w:highlight w:val="none"/>
              </w:rPr>
            </w:pPr>
            <w:r>
              <w:rPr>
                <w:rFonts w:hint="eastAsia"/>
                <w:b/>
                <w:color w:val="000000" w:themeColor="text1"/>
                <w:szCs w:val="21"/>
                <w:highlight w:val="none"/>
              </w:rPr>
              <w:t>招标文件中打“★”号条款必须实质性响应，负偏离（不满足要求）将导致投标无效。</w:t>
            </w:r>
          </w:p>
          <w:p>
            <w:pPr>
              <w:pStyle w:val="10"/>
              <w:tabs>
                <w:tab w:val="left" w:pos="26"/>
              </w:tabs>
              <w:ind w:left="26" w:firstLine="0"/>
              <w:rPr>
                <w:rFonts w:ascii="宋体"/>
                <w:bCs/>
                <w:color w:val="000000" w:themeColor="text1"/>
                <w:highlight w:val="none"/>
              </w:rPr>
            </w:pPr>
            <w:r>
              <w:rPr>
                <w:rFonts w:hint="eastAsia"/>
                <w:b/>
                <w:color w:val="000000" w:themeColor="text1"/>
                <w:szCs w:val="21"/>
                <w:highlight w:val="none"/>
              </w:rPr>
              <w:t>2、招标文件中带“▲”为实质性参数要求响应,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147" w:type="dxa"/>
            <w:tcBorders>
              <w:top w:val="single" w:color="auto" w:sz="4" w:space="0"/>
              <w:left w:val="single" w:color="auto" w:sz="4" w:space="0"/>
              <w:right w:val="single" w:color="auto" w:sz="4" w:space="0"/>
            </w:tcBorders>
            <w:vAlign w:val="center"/>
          </w:tcPr>
          <w:p>
            <w:pPr>
              <w:spacing w:line="400" w:lineRule="exact"/>
              <w:rPr>
                <w:rFonts w:ascii="宋体"/>
                <w:bCs/>
                <w:color w:val="000000" w:themeColor="text1"/>
                <w:highlight w:val="none"/>
              </w:rPr>
            </w:pPr>
            <w:r>
              <w:rPr>
                <w:rFonts w:hint="eastAsia" w:ascii="宋体" w:hAnsi="宋体"/>
                <w:color w:val="000000" w:themeColor="text1"/>
                <w:szCs w:val="21"/>
                <w:highlight w:val="none"/>
              </w:rPr>
              <w:t>广东省政府采购网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bCs/>
                <w:color w:val="000000" w:themeColor="text1"/>
                <w:highlight w:val="none"/>
              </w:rPr>
            </w:pPr>
            <w:r>
              <w:rPr>
                <w:rFonts w:hint="eastAsia" w:ascii="宋体" w:hAnsi="宋体"/>
                <w:color w:val="000000" w:themeColor="text1"/>
                <w:szCs w:val="21"/>
                <w:highlight w:val="none"/>
              </w:rPr>
              <w:t>http://gdgpo.czt.gd.gov.cn/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left w:val="single" w:color="auto" w:sz="4" w:space="0"/>
              <w:right w:val="single" w:color="auto" w:sz="4" w:space="0"/>
            </w:tcBorders>
            <w:vAlign w:val="center"/>
          </w:tcPr>
          <w:p>
            <w:pPr>
              <w:widowControl/>
              <w:spacing w:line="360" w:lineRule="exact"/>
              <w:jc w:val="left"/>
              <w:rPr>
                <w:rFonts w:ascii="宋体" w:hAnsi="宋体"/>
                <w:b/>
                <w:color w:val="000000" w:themeColor="text1"/>
                <w:szCs w:val="21"/>
                <w:highlight w:val="none"/>
              </w:rPr>
            </w:pPr>
          </w:p>
        </w:tc>
        <w:tc>
          <w:tcPr>
            <w:tcW w:w="2127"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3147" w:type="dxa"/>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广东业信采购招标有限公司网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left w:val="single" w:color="auto" w:sz="4" w:space="0"/>
              <w:right w:val="single" w:color="auto" w:sz="4" w:space="0"/>
            </w:tcBorders>
            <w:vAlign w:val="center"/>
          </w:tcPr>
          <w:p>
            <w:pPr>
              <w:widowControl/>
              <w:spacing w:line="360" w:lineRule="exact"/>
              <w:jc w:val="left"/>
              <w:rPr>
                <w:rFonts w:ascii="宋体" w:hAnsi="宋体"/>
                <w:b/>
                <w:color w:val="000000" w:themeColor="text1"/>
                <w:szCs w:val="21"/>
                <w:highlight w:val="none"/>
              </w:rPr>
            </w:pPr>
          </w:p>
        </w:tc>
        <w:tc>
          <w:tcPr>
            <w:tcW w:w="2127"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3147" w:type="dxa"/>
            <w:vMerge w:val="continue"/>
            <w:tcBorders>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http://www.yjcg.cc</w:t>
            </w:r>
          </w:p>
        </w:tc>
      </w:tr>
    </w:tbl>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pStyle w:val="44"/>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tabs>
          <w:tab w:val="left" w:pos="8055"/>
        </w:tabs>
        <w:rPr>
          <w:color w:val="000000" w:themeColor="text1"/>
          <w:highlight w:val="none"/>
        </w:rPr>
      </w:pPr>
      <w:r>
        <w:rPr>
          <w:color w:val="000000" w:themeColor="text1"/>
          <w:highlight w:val="none"/>
        </w:rPr>
        <w:tab/>
      </w:r>
    </w:p>
    <w:bookmarkEnd w:id="62"/>
    <w:bookmarkEnd w:id="63"/>
    <w:bookmarkEnd w:id="64"/>
    <w:bookmarkEnd w:id="65"/>
    <w:bookmarkEnd w:id="66"/>
    <w:bookmarkEnd w:id="67"/>
    <w:bookmarkEnd w:id="68"/>
    <w:p>
      <w:pPr>
        <w:pStyle w:val="24"/>
        <w:adjustRightInd w:val="0"/>
        <w:snapToGrid w:val="0"/>
        <w:spacing w:line="360" w:lineRule="auto"/>
        <w:outlineLvl w:val="1"/>
        <w:rPr>
          <w:rFonts w:hAnsi="宋体" w:cs="Times New Roman"/>
          <w:b/>
          <w:color w:val="000000" w:themeColor="text1"/>
          <w:highlight w:val="none"/>
        </w:rPr>
      </w:pPr>
      <w:bookmarkStart w:id="73" w:name="_Toc459971447"/>
      <w:bookmarkStart w:id="74" w:name="_Toc13989"/>
      <w:r>
        <w:rPr>
          <w:rFonts w:hint="eastAsia" w:hAnsi="宋体" w:cs="Times New Roman"/>
          <w:b/>
          <w:color w:val="000000" w:themeColor="text1"/>
          <w:highlight w:val="none"/>
        </w:rPr>
        <w:t>一、说  明</w:t>
      </w:r>
      <w:bookmarkEnd w:id="73"/>
      <w:bookmarkEnd w:id="74"/>
    </w:p>
    <w:p>
      <w:pPr>
        <w:pStyle w:val="24"/>
        <w:adjustRightInd w:val="0"/>
        <w:snapToGrid w:val="0"/>
        <w:spacing w:line="360" w:lineRule="auto"/>
        <w:rPr>
          <w:rFonts w:hAnsi="宋体" w:cs="Times New Roman"/>
          <w:color w:val="000000" w:themeColor="text1"/>
          <w:highlight w:val="none"/>
        </w:rPr>
      </w:pPr>
      <w:r>
        <w:rPr>
          <w:rFonts w:hint="eastAsia" w:hAnsi="宋体" w:cs="Times New Roman"/>
          <w:color w:val="000000" w:themeColor="text1"/>
          <w:highlight w:val="none"/>
        </w:rPr>
        <w:t>1． 适用范围</w:t>
      </w:r>
    </w:p>
    <w:p>
      <w:pPr>
        <w:pStyle w:val="24"/>
        <w:adjustRightInd w:val="0"/>
        <w:snapToGrid w:val="0"/>
        <w:spacing w:line="360" w:lineRule="auto"/>
        <w:rPr>
          <w:rFonts w:hAnsi="宋体" w:cs="Times New Roman"/>
          <w:color w:val="000000" w:themeColor="text1"/>
          <w:highlight w:val="none"/>
        </w:rPr>
      </w:pPr>
      <w:r>
        <w:rPr>
          <w:rFonts w:hint="eastAsia" w:hAnsi="宋体" w:cs="Times New Roman"/>
          <w:color w:val="000000" w:themeColor="text1"/>
          <w:highlight w:val="none"/>
        </w:rPr>
        <w:t>1.1本谈判文件适用于本</w:t>
      </w:r>
      <w:r>
        <w:rPr>
          <w:rFonts w:hint="eastAsia" w:hAnsi="宋体"/>
          <w:color w:val="000000" w:themeColor="text1"/>
          <w:highlight w:val="none"/>
        </w:rPr>
        <w:t>单一来源</w:t>
      </w:r>
      <w:r>
        <w:rPr>
          <w:rFonts w:hint="eastAsia" w:hAnsi="宋体" w:cs="Times New Roman"/>
          <w:color w:val="000000" w:themeColor="text1"/>
          <w:highlight w:val="none"/>
        </w:rPr>
        <w:t>谈判的政府采购项目。</w:t>
      </w:r>
    </w:p>
    <w:p>
      <w:pPr>
        <w:pStyle w:val="24"/>
        <w:adjustRightInd w:val="0"/>
        <w:snapToGrid w:val="0"/>
        <w:spacing w:line="360" w:lineRule="auto"/>
        <w:rPr>
          <w:rFonts w:hAnsi="宋体" w:cs="Times New Roman"/>
          <w:color w:val="000000" w:themeColor="text1"/>
          <w:highlight w:val="none"/>
        </w:rPr>
      </w:pPr>
      <w:r>
        <w:rPr>
          <w:rFonts w:hint="eastAsia" w:hAnsi="宋体" w:cs="Times New Roman"/>
          <w:color w:val="000000" w:themeColor="text1"/>
          <w:highlight w:val="none"/>
        </w:rPr>
        <w:t>2. 定义</w:t>
      </w:r>
    </w:p>
    <w:p>
      <w:pPr>
        <w:pStyle w:val="24"/>
        <w:adjustRightInd w:val="0"/>
        <w:snapToGrid w:val="0"/>
        <w:spacing w:line="360" w:lineRule="auto"/>
        <w:rPr>
          <w:rFonts w:hAnsi="宋体" w:cs="Times New Roman"/>
          <w:color w:val="000000" w:themeColor="text1"/>
          <w:highlight w:val="none"/>
        </w:rPr>
      </w:pPr>
      <w:r>
        <w:rPr>
          <w:rFonts w:hint="eastAsia" w:hAnsi="宋体" w:cs="Times New Roman"/>
          <w:color w:val="000000" w:themeColor="text1"/>
          <w:highlight w:val="none"/>
        </w:rPr>
        <w:t>2.1 “采购人”：是指本次采购项目的最终服务对象:</w:t>
      </w:r>
      <w:r>
        <w:rPr>
          <w:rFonts w:hint="eastAsia" w:hAnsi="宋体" w:cs="Times New Roman"/>
          <w:color w:val="000000" w:themeColor="text1"/>
          <w:highlight w:val="none"/>
          <w:lang w:eastAsia="zh-CN"/>
        </w:rPr>
        <w:t>中国共产党阳西县委员会组织部</w:t>
      </w:r>
      <w:r>
        <w:rPr>
          <w:rFonts w:hint="eastAsia" w:hAnsi="宋体" w:cs="Times New Roman"/>
          <w:color w:val="000000" w:themeColor="text1"/>
          <w:highlight w:val="none"/>
        </w:rPr>
        <w:t>。</w:t>
      </w:r>
    </w:p>
    <w:p>
      <w:pPr>
        <w:pStyle w:val="24"/>
        <w:adjustRightInd w:val="0"/>
        <w:snapToGrid w:val="0"/>
        <w:spacing w:line="360" w:lineRule="auto"/>
        <w:rPr>
          <w:rFonts w:hAnsi="宋体" w:cs="Times New Roman"/>
          <w:color w:val="000000" w:themeColor="text1"/>
          <w:highlight w:val="none"/>
        </w:rPr>
      </w:pPr>
      <w:r>
        <w:rPr>
          <w:rFonts w:hint="eastAsia" w:hAnsi="宋体" w:cs="Times New Roman"/>
          <w:color w:val="000000" w:themeColor="text1"/>
          <w:highlight w:val="none"/>
        </w:rPr>
        <w:t>2.2 “监管部门”是指：同级政府采购监管部门。</w:t>
      </w:r>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2.3 “采购代理机构”：是指广东业信采购招标有限公司。</w:t>
      </w:r>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2.4 “招标采购单位”是指：</w:t>
      </w:r>
      <w:r>
        <w:rPr>
          <w:rFonts w:hint="eastAsia" w:ascii="宋体" w:hAnsi="宋体"/>
          <w:color w:val="000000" w:themeColor="text1"/>
          <w:kern w:val="0"/>
          <w:szCs w:val="21"/>
          <w:highlight w:val="none"/>
          <w:u w:val="single"/>
        </w:rPr>
        <w:t>采购人</w:t>
      </w:r>
      <w:r>
        <w:rPr>
          <w:rFonts w:hint="eastAsia" w:ascii="宋体" w:hAnsi="宋体"/>
          <w:color w:val="000000" w:themeColor="text1"/>
          <w:kern w:val="0"/>
          <w:szCs w:val="21"/>
          <w:highlight w:val="none"/>
        </w:rPr>
        <w:t>。</w:t>
      </w:r>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2.5 “响应供应商”是指响应本文件要求，参加谈判的法人或者其他组织、自然人。</w:t>
      </w:r>
    </w:p>
    <w:p>
      <w:pPr>
        <w:autoSpaceDE w:val="0"/>
        <w:autoSpaceDN w:val="0"/>
        <w:adjustRightInd w:val="0"/>
        <w:snapToGrid w:val="0"/>
        <w:spacing w:line="360" w:lineRule="auto"/>
        <w:ind w:left="531" w:leftChars="228" w:right="32" w:hanging="52" w:hangingChars="25"/>
        <w:rPr>
          <w:rFonts w:ascii="宋体" w:hAnsi="宋体"/>
          <w:color w:val="000000" w:themeColor="text1"/>
          <w:kern w:val="0"/>
          <w:szCs w:val="21"/>
          <w:highlight w:val="none"/>
        </w:rPr>
      </w:pPr>
      <w:r>
        <w:rPr>
          <w:rFonts w:hint="eastAsia" w:ascii="宋体" w:hAnsi="宋体"/>
          <w:color w:val="000000" w:themeColor="text1"/>
          <w:kern w:val="0"/>
          <w:szCs w:val="21"/>
          <w:highlight w:val="none"/>
        </w:rPr>
        <w:t>合格的响应供应商指：</w:t>
      </w:r>
    </w:p>
    <w:p>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(1)符合《政府采购法》第二十二条规定的响应供应商。</w:t>
      </w:r>
    </w:p>
    <w:p>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(2)符合谈判文件规定的资格要求及特殊条件要求。</w:t>
      </w:r>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2.6“成交供应商”是指经法定程序确定并授予合同的响应供应商。</w:t>
      </w:r>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2.7“</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谈判响应文件”是指：供应商根据本文件要求，编制包含报价、技术和服务等所有内容的实质性响应文件。</w:t>
      </w:r>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2.8“采购合同”：是指由采购人和成交供应商签订的规定双方权利和义务的协议。</w:t>
      </w:r>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2.9“日”、“天”系指公历日。</w:t>
      </w:r>
    </w:p>
    <w:p>
      <w:pPr>
        <w:pStyle w:val="24"/>
        <w:adjustRightInd w:val="0"/>
        <w:snapToGrid w:val="0"/>
        <w:spacing w:line="360" w:lineRule="auto"/>
        <w:rPr>
          <w:rFonts w:hAnsi="宋体" w:cs="Times New Roman"/>
          <w:color w:val="000000" w:themeColor="text1"/>
          <w:highlight w:val="none"/>
        </w:rPr>
      </w:pPr>
      <w:r>
        <w:rPr>
          <w:rFonts w:hint="eastAsia" w:hAnsi="宋体" w:cs="Times New Roman"/>
          <w:color w:val="000000" w:themeColor="text1"/>
          <w:highlight w:val="none"/>
        </w:rPr>
        <w:t>3. 合格的货物和服务</w:t>
      </w:r>
    </w:p>
    <w:p>
      <w:pPr>
        <w:adjustRightInd w:val="0"/>
        <w:snapToGrid w:val="0"/>
        <w:spacing w:line="360" w:lineRule="auto"/>
        <w:ind w:left="420" w:hanging="420" w:hangingChars="200"/>
        <w:rPr>
          <w:rFonts w:ascii="宋体" w:hAnsi="宋体"/>
          <w:color w:val="000000" w:themeColor="text1"/>
          <w:szCs w:val="21"/>
          <w:highlight w:val="none"/>
        </w:rPr>
      </w:pPr>
      <w:r>
        <w:rPr>
          <w:rFonts w:hint="eastAsia" w:ascii="宋体" w:hAnsi="宋体"/>
          <w:color w:val="000000" w:themeColor="text1"/>
          <w:szCs w:val="21"/>
          <w:highlight w:val="none"/>
        </w:rPr>
        <w:t>3.1“货物”是指响应供应商制造或组织符合谈判文件要求的货物等。谈判文件中没有提及谈判货物来源地的，根据《政府采购法》的相关规定均应是本国货物，优先采购节能、环保产品。谈判的货物必须是其合法生产的符合国家有关标准要求的货物，并满足政府谈判文件规定的规格、参数、质量、价格、有效期、售后服务等要求。</w:t>
      </w:r>
    </w:p>
    <w:p>
      <w:pPr>
        <w:adjustRightInd w:val="0"/>
        <w:snapToGrid w:val="0"/>
        <w:spacing w:line="360" w:lineRule="auto"/>
        <w:ind w:left="420" w:hanging="420" w:hangingChars="200"/>
        <w:rPr>
          <w:rFonts w:ascii="宋体" w:hAnsi="宋体"/>
          <w:color w:val="000000" w:themeColor="text1"/>
          <w:szCs w:val="21"/>
          <w:highlight w:val="none"/>
        </w:rPr>
      </w:pPr>
      <w:r>
        <w:rPr>
          <w:rFonts w:hint="eastAsia" w:ascii="宋体" w:hAnsi="宋体"/>
          <w:color w:val="000000" w:themeColor="text1"/>
          <w:szCs w:val="21"/>
          <w:highlight w:val="none"/>
        </w:rPr>
        <w:t>3.2 “服务”是指除货物和工程以外的其他政府采购对象,其中包括：响应供应商须承担的运输、安装、技术支持、培训以及谈判文件规定的其它服务。</w:t>
      </w:r>
    </w:p>
    <w:p>
      <w:pPr>
        <w:pStyle w:val="24"/>
        <w:adjustRightInd w:val="0"/>
        <w:snapToGrid w:val="0"/>
        <w:spacing w:line="360" w:lineRule="auto"/>
        <w:rPr>
          <w:rFonts w:hAnsi="宋体" w:cs="Times New Roman"/>
          <w:color w:val="000000" w:themeColor="text1"/>
          <w:highlight w:val="none"/>
        </w:rPr>
      </w:pPr>
      <w:r>
        <w:rPr>
          <w:rFonts w:hint="eastAsia" w:hAnsi="宋体" w:cs="Times New Roman"/>
          <w:color w:val="000000" w:themeColor="text1"/>
          <w:highlight w:val="none"/>
        </w:rPr>
        <w:t>4． 谈判费用</w:t>
      </w:r>
    </w:p>
    <w:p>
      <w:pPr>
        <w:pStyle w:val="24"/>
        <w:adjustRightInd w:val="0"/>
        <w:snapToGrid w:val="0"/>
        <w:spacing w:line="360" w:lineRule="auto"/>
        <w:ind w:left="420" w:hanging="420"/>
        <w:rPr>
          <w:rFonts w:hAnsi="宋体" w:cs="Times New Roman"/>
          <w:color w:val="000000" w:themeColor="text1"/>
          <w:highlight w:val="none"/>
        </w:rPr>
      </w:pPr>
      <w:r>
        <w:rPr>
          <w:rFonts w:hint="eastAsia" w:hAnsi="宋体" w:cs="Times New Roman"/>
          <w:color w:val="000000" w:themeColor="text1"/>
          <w:highlight w:val="none"/>
        </w:rPr>
        <w:t>4.1 响应供应商应承担所有与准备和参加谈判有关的费用。不论谈判的结果如何，政府采购代理机构和采购人均无义务和责任承担这些费用。</w:t>
      </w:r>
    </w:p>
    <w:p>
      <w:pPr>
        <w:pStyle w:val="24"/>
        <w:adjustRightInd w:val="0"/>
        <w:snapToGrid w:val="0"/>
        <w:spacing w:line="360" w:lineRule="auto"/>
        <w:ind w:left="420" w:hanging="420"/>
        <w:rPr>
          <w:rFonts w:hAnsi="宋体" w:cs="Times New Roman"/>
          <w:color w:val="000000" w:themeColor="text1"/>
          <w:highlight w:val="none"/>
        </w:rPr>
      </w:pPr>
      <w:r>
        <w:rPr>
          <w:rFonts w:hint="eastAsia" w:hAnsi="宋体" w:cs="Times New Roman"/>
          <w:color w:val="000000" w:themeColor="text1"/>
          <w:highlight w:val="none"/>
        </w:rPr>
        <w:t>4.2本次采购向成交供应商收取的成交服务费，按国家有关规定执行。</w:t>
      </w:r>
    </w:p>
    <w:p>
      <w:pPr>
        <w:pStyle w:val="24"/>
        <w:adjustRightInd w:val="0"/>
        <w:snapToGrid w:val="0"/>
        <w:spacing w:line="360" w:lineRule="auto"/>
        <w:ind w:left="420" w:hanging="420"/>
        <w:rPr>
          <w:rFonts w:hAnsi="宋体" w:cs="Times New Roman"/>
          <w:color w:val="000000" w:themeColor="text1"/>
          <w:highlight w:val="none"/>
        </w:rPr>
      </w:pPr>
    </w:p>
    <w:p>
      <w:pPr>
        <w:pStyle w:val="24"/>
        <w:adjustRightInd w:val="0"/>
        <w:snapToGrid w:val="0"/>
        <w:spacing w:line="360" w:lineRule="auto"/>
        <w:outlineLvl w:val="1"/>
        <w:rPr>
          <w:rFonts w:hAnsi="宋体" w:cs="Times New Roman"/>
          <w:b/>
          <w:color w:val="000000" w:themeColor="text1"/>
          <w:highlight w:val="none"/>
        </w:rPr>
      </w:pPr>
      <w:bookmarkStart w:id="75" w:name="_Toc459971448"/>
      <w:bookmarkStart w:id="76" w:name="_Toc8386"/>
      <w:r>
        <w:rPr>
          <w:rFonts w:hint="eastAsia" w:hAnsi="宋体" w:cs="Times New Roman"/>
          <w:b/>
          <w:color w:val="000000" w:themeColor="text1"/>
          <w:highlight w:val="none"/>
        </w:rPr>
        <w:t>二、谈判文件</w:t>
      </w:r>
      <w:bookmarkEnd w:id="75"/>
      <w:bookmarkEnd w:id="76"/>
    </w:p>
    <w:p>
      <w:pPr>
        <w:pStyle w:val="24"/>
        <w:adjustRightInd w:val="0"/>
        <w:snapToGrid w:val="0"/>
        <w:spacing w:line="360" w:lineRule="auto"/>
        <w:ind w:left="420" w:hanging="420"/>
        <w:rPr>
          <w:rFonts w:hAnsi="宋体" w:cs="Times New Roman"/>
          <w:color w:val="000000" w:themeColor="text1"/>
          <w:highlight w:val="none"/>
        </w:rPr>
      </w:pPr>
      <w:r>
        <w:rPr>
          <w:rFonts w:hint="eastAsia" w:hAnsi="宋体" w:cs="Times New Roman"/>
          <w:color w:val="000000" w:themeColor="text1"/>
          <w:highlight w:val="none"/>
        </w:rPr>
        <w:t>5.  谈判文件的构成</w:t>
      </w:r>
    </w:p>
    <w:p>
      <w:pPr>
        <w:pStyle w:val="24"/>
        <w:adjustRightInd w:val="0"/>
        <w:snapToGrid w:val="0"/>
        <w:spacing w:line="360" w:lineRule="auto"/>
        <w:ind w:left="420" w:hanging="420"/>
        <w:rPr>
          <w:rFonts w:hAnsi="宋体" w:cs="Times New Roman"/>
          <w:color w:val="000000" w:themeColor="text1"/>
          <w:highlight w:val="none"/>
        </w:rPr>
      </w:pPr>
      <w:r>
        <w:rPr>
          <w:rFonts w:hint="eastAsia" w:hAnsi="宋体" w:cs="Times New Roman"/>
          <w:color w:val="000000" w:themeColor="text1"/>
          <w:highlight w:val="none"/>
        </w:rPr>
        <w:t>5.1谈判文件由下列文件以及在</w:t>
      </w:r>
      <w:r>
        <w:rPr>
          <w:rFonts w:hint="eastAsia" w:hAnsi="宋体"/>
          <w:color w:val="000000" w:themeColor="text1"/>
          <w:highlight w:val="none"/>
        </w:rPr>
        <w:t>谈判</w:t>
      </w:r>
      <w:r>
        <w:rPr>
          <w:rFonts w:hint="eastAsia" w:hAnsi="宋体" w:cs="Times New Roman"/>
          <w:color w:val="000000" w:themeColor="text1"/>
          <w:highlight w:val="none"/>
        </w:rPr>
        <w:t>过程中发出的修正和补充文件组成：</w:t>
      </w:r>
    </w:p>
    <w:p>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 谈判邀请</w:t>
      </w:r>
    </w:p>
    <w:p>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 采购项目内容</w:t>
      </w:r>
    </w:p>
    <w:p>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(3) 谈判须知</w:t>
      </w:r>
    </w:p>
    <w:p>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(4) 合同书格式</w:t>
      </w:r>
    </w:p>
    <w:p>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(5) </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谈判响应文件格式</w:t>
      </w:r>
    </w:p>
    <w:p>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(6) 其他：详见《谈判须知前附表》</w:t>
      </w:r>
    </w:p>
    <w:p>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(7) 在谈判过程中由招标采购单位发出的修正和补充文件等；</w:t>
      </w:r>
    </w:p>
    <w:p>
      <w:pPr>
        <w:pStyle w:val="24"/>
        <w:adjustRightInd w:val="0"/>
        <w:snapToGrid w:val="0"/>
        <w:spacing w:line="360" w:lineRule="auto"/>
        <w:ind w:left="420" w:hanging="420"/>
        <w:rPr>
          <w:rFonts w:hAnsi="宋体" w:cs="Times New Roman"/>
          <w:color w:val="000000" w:themeColor="text1"/>
          <w:highlight w:val="none"/>
        </w:rPr>
      </w:pPr>
      <w:r>
        <w:rPr>
          <w:rFonts w:hint="eastAsia" w:hAnsi="宋体" w:cs="Times New Roman"/>
          <w:color w:val="000000" w:themeColor="text1"/>
          <w:highlight w:val="none"/>
        </w:rPr>
        <w:t>5.2 响应供应商应认真阅读、并充分理解谈判文件的全部内容（包括所有的补充、修改内容、重要事项、格式、条款和技术规范、参数及要求等。），响应供应商没有按照谈判文件要求提交全部资料，或者单一来源谈判响应文件没有对谈判文件在各方面都做出实质性响应是响应供应商的风险，有可能导致其谈判响应被拒绝，或被认定为无效响应或被确定为响应无效。</w:t>
      </w:r>
    </w:p>
    <w:p>
      <w:pPr>
        <w:spacing w:line="360" w:lineRule="auto"/>
        <w:ind w:left="360" w:hanging="360"/>
        <w:rPr>
          <w:rFonts w:ascii="宋体" w:hAnsi="宋体"/>
          <w:color w:val="000000" w:themeColor="text1"/>
          <w:szCs w:val="21"/>
          <w:highlight w:val="none"/>
        </w:rPr>
      </w:pPr>
    </w:p>
    <w:p>
      <w:pPr>
        <w:pStyle w:val="24"/>
        <w:adjustRightInd w:val="0"/>
        <w:snapToGrid w:val="0"/>
        <w:spacing w:line="360" w:lineRule="auto"/>
        <w:outlineLvl w:val="1"/>
        <w:rPr>
          <w:rFonts w:hAnsi="宋体" w:cs="Times New Roman"/>
          <w:b/>
          <w:color w:val="000000" w:themeColor="text1"/>
          <w:highlight w:val="none"/>
        </w:rPr>
      </w:pPr>
      <w:bookmarkStart w:id="77" w:name="_Toc17215"/>
      <w:bookmarkStart w:id="78" w:name="_Toc459971449"/>
      <w:r>
        <w:rPr>
          <w:rFonts w:hint="eastAsia" w:hAnsi="宋体" w:cs="Times New Roman"/>
          <w:b/>
          <w:color w:val="000000" w:themeColor="text1"/>
          <w:highlight w:val="none"/>
        </w:rPr>
        <w:t>三、单一来源谈判响应文件的编制</w:t>
      </w:r>
      <w:bookmarkEnd w:id="77"/>
      <w:bookmarkEnd w:id="78"/>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6．</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谈判响应文件的组成</w:t>
      </w:r>
    </w:p>
    <w:p>
      <w:pPr>
        <w:spacing w:line="36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6.1响应供应商编写的单一来源谈判响应文件应包括自查表、资格性文件、商务部分、技术部分、价格部分组成（单一来源谈判响应文件独立编制）,详见《单一来源谈判响应文件格式》。</w:t>
      </w:r>
    </w:p>
    <w:p>
      <w:pPr>
        <w:spacing w:line="36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6.2 报价信封必须另单独分装，详见《单一来源谈判响应文件格式》。</w:t>
      </w:r>
    </w:p>
    <w:p>
      <w:pPr>
        <w:pStyle w:val="24"/>
        <w:adjustRightInd w:val="0"/>
        <w:snapToGrid w:val="0"/>
        <w:spacing w:line="360" w:lineRule="auto"/>
        <w:rPr>
          <w:rFonts w:hAnsi="宋体" w:cs="Times New Roman"/>
          <w:color w:val="000000" w:themeColor="text1"/>
          <w:highlight w:val="none"/>
        </w:rPr>
      </w:pPr>
    </w:p>
    <w:p>
      <w:pPr>
        <w:pStyle w:val="24"/>
        <w:adjustRightInd w:val="0"/>
        <w:snapToGrid w:val="0"/>
        <w:spacing w:line="360" w:lineRule="auto"/>
        <w:rPr>
          <w:rFonts w:hAnsi="宋体" w:cs="Times New Roman"/>
          <w:color w:val="000000" w:themeColor="text1"/>
          <w:highlight w:val="none"/>
        </w:rPr>
      </w:pPr>
      <w:r>
        <w:rPr>
          <w:rFonts w:hint="eastAsia" w:hAnsi="宋体" w:cs="Times New Roman"/>
          <w:color w:val="000000" w:themeColor="text1"/>
          <w:highlight w:val="none"/>
        </w:rPr>
        <w:t xml:space="preserve">7 </w:t>
      </w:r>
      <w:r>
        <w:rPr>
          <w:rFonts w:hint="eastAsia" w:hAnsi="宋体"/>
          <w:color w:val="000000" w:themeColor="text1"/>
          <w:highlight w:val="none"/>
        </w:rPr>
        <w:t>单一来源</w:t>
      </w:r>
      <w:r>
        <w:rPr>
          <w:rFonts w:hint="eastAsia" w:hAnsi="宋体" w:cs="Times New Roman"/>
          <w:color w:val="000000" w:themeColor="text1"/>
          <w:highlight w:val="none"/>
        </w:rPr>
        <w:t>谈判响应文件编制基本要求</w:t>
      </w:r>
    </w:p>
    <w:p>
      <w:pPr>
        <w:spacing w:line="36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7.1 响应供应商对单一来源谈判响应文件的编制应按要求装订和封装。</w:t>
      </w:r>
    </w:p>
    <w:p>
      <w:pPr>
        <w:spacing w:line="36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7.2 响应供应商提交的谈判响应文件及其与招标采购单位就有关谈判的所有来往函电均应使用中文。响应供应商提交的支持文件或印刷的资料可以用另一种语言，但相应内容应附有中文翻译本，在解释谈判响应文件的修改内容时以中文翻译本为准。对中文翻译有异议的，以权威机构的译本为准。</w:t>
      </w:r>
    </w:p>
    <w:p>
      <w:pPr>
        <w:spacing w:line="36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7.3单一来源谈判响应文件必须按本文件的全部内容，包括所有的补充通知及附件进行编制。</w:t>
      </w:r>
    </w:p>
    <w:p>
      <w:pPr>
        <w:spacing w:line="36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 xml:space="preserve">7.4如因响应供应商只填写和提供了本文件要求的部分内容和附件，而给谈判造成困难的，其可能导致的结果和责任由响应供应商自行承担。 </w:t>
      </w:r>
    </w:p>
    <w:p>
      <w:pPr>
        <w:pStyle w:val="24"/>
        <w:adjustRightInd w:val="0"/>
        <w:snapToGrid w:val="0"/>
        <w:spacing w:line="360" w:lineRule="auto"/>
        <w:rPr>
          <w:rFonts w:hAnsi="宋体" w:cs="Times New Roman"/>
          <w:color w:val="000000" w:themeColor="text1"/>
          <w:highlight w:val="none"/>
        </w:rPr>
      </w:pPr>
      <w:r>
        <w:rPr>
          <w:rFonts w:hint="eastAsia" w:hAnsi="宋体" w:cs="Times New Roman"/>
          <w:color w:val="000000" w:themeColor="text1"/>
          <w:highlight w:val="none"/>
        </w:rPr>
        <w:t>8. 计量单位：</w:t>
      </w:r>
    </w:p>
    <w:p>
      <w:pPr>
        <w:spacing w:line="36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8.1除技术要求中另有规定外，本文件所要求使用的计量单位均采用国家法定的度、量、衡标准单位计量。</w:t>
      </w:r>
    </w:p>
    <w:p>
      <w:pPr>
        <w:spacing w:line="360" w:lineRule="auto"/>
        <w:ind w:left="360" w:hanging="360"/>
        <w:rPr>
          <w:rFonts w:ascii="宋体" w:hAnsi="宋体"/>
          <w:color w:val="000000" w:themeColor="text1"/>
          <w:szCs w:val="21"/>
          <w:highlight w:val="none"/>
        </w:rPr>
      </w:pPr>
    </w:p>
    <w:p>
      <w:pPr>
        <w:pStyle w:val="24"/>
        <w:adjustRightInd w:val="0"/>
        <w:snapToGrid w:val="0"/>
        <w:spacing w:line="360" w:lineRule="auto"/>
        <w:outlineLvl w:val="1"/>
        <w:rPr>
          <w:rFonts w:hAnsi="宋体" w:cs="Times New Roman"/>
          <w:b/>
          <w:color w:val="000000" w:themeColor="text1"/>
          <w:highlight w:val="none"/>
        </w:rPr>
      </w:pPr>
      <w:bookmarkStart w:id="79" w:name="_Toc459971450"/>
      <w:bookmarkStart w:id="80" w:name="_Toc4408"/>
      <w:r>
        <w:rPr>
          <w:rFonts w:hint="eastAsia" w:hAnsi="宋体" w:cs="Times New Roman"/>
          <w:b/>
          <w:color w:val="000000" w:themeColor="text1"/>
          <w:highlight w:val="none"/>
        </w:rPr>
        <w:t>四、谈判报价要求和响应供应商资格证明文件的要求</w:t>
      </w:r>
      <w:bookmarkEnd w:id="79"/>
      <w:bookmarkEnd w:id="80"/>
    </w:p>
    <w:p>
      <w:pPr>
        <w:pStyle w:val="24"/>
        <w:adjustRightInd w:val="0"/>
        <w:snapToGrid w:val="0"/>
        <w:spacing w:line="360" w:lineRule="auto"/>
        <w:rPr>
          <w:rFonts w:hAnsi="宋体" w:cs="Times New Roman"/>
          <w:color w:val="000000" w:themeColor="text1"/>
          <w:highlight w:val="none"/>
        </w:rPr>
      </w:pPr>
      <w:r>
        <w:rPr>
          <w:rFonts w:hint="eastAsia" w:hAnsi="宋体" w:cs="Times New Roman"/>
          <w:color w:val="000000" w:themeColor="text1"/>
          <w:highlight w:val="none"/>
        </w:rPr>
        <w:t>9.</w:t>
      </w:r>
      <w:r>
        <w:rPr>
          <w:rFonts w:hint="eastAsia" w:hAnsi="宋体"/>
          <w:color w:val="000000" w:themeColor="text1"/>
          <w:kern w:val="0"/>
          <w:highlight w:val="none"/>
        </w:rPr>
        <w:t xml:space="preserve"> </w:t>
      </w:r>
      <w:r>
        <w:rPr>
          <w:rFonts w:hint="eastAsia" w:hAnsi="宋体" w:cs="Times New Roman"/>
          <w:color w:val="000000" w:themeColor="text1"/>
          <w:highlight w:val="none"/>
        </w:rPr>
        <w:t>响应供应商</w:t>
      </w:r>
      <w:r>
        <w:rPr>
          <w:rFonts w:hint="eastAsia" w:hAnsi="宋体"/>
          <w:color w:val="000000" w:themeColor="text1"/>
          <w:kern w:val="0"/>
          <w:highlight w:val="none"/>
        </w:rPr>
        <w:t>所提供的服务均应以人民币报价，</w:t>
      </w:r>
      <w:r>
        <w:rPr>
          <w:rFonts w:hint="eastAsia" w:hAnsi="宋体" w:cs="Times New Roman"/>
          <w:color w:val="000000" w:themeColor="text1"/>
          <w:highlight w:val="none"/>
        </w:rPr>
        <w:t>响应供应商应按照第二部分“</w:t>
      </w:r>
      <w:r>
        <w:rPr>
          <w:rFonts w:hint="eastAsia" w:hAnsi="宋体"/>
          <w:color w:val="000000" w:themeColor="text1"/>
          <w:kern w:val="0"/>
          <w:highlight w:val="none"/>
        </w:rPr>
        <w:t>采购项目服务内容及要求</w:t>
      </w:r>
      <w:r>
        <w:rPr>
          <w:rFonts w:hint="eastAsia" w:hAnsi="宋体" w:cs="Times New Roman"/>
          <w:color w:val="000000" w:themeColor="text1"/>
          <w:highlight w:val="none"/>
        </w:rPr>
        <w:t>”规定的内容、责任范围以及合同条款进行报价。</w:t>
      </w:r>
    </w:p>
    <w:p>
      <w:pPr>
        <w:pStyle w:val="24"/>
        <w:adjustRightInd w:val="0"/>
        <w:snapToGrid w:val="0"/>
        <w:spacing w:line="360" w:lineRule="auto"/>
        <w:rPr>
          <w:rFonts w:hAnsi="宋体" w:cs="Times New Roman"/>
          <w:color w:val="000000" w:themeColor="text1"/>
          <w:highlight w:val="none"/>
        </w:rPr>
      </w:pPr>
      <w:r>
        <w:rPr>
          <w:rFonts w:hint="eastAsia" w:hAnsi="宋体" w:cs="Times New Roman"/>
          <w:color w:val="000000" w:themeColor="text1"/>
          <w:highlight w:val="none"/>
        </w:rPr>
        <w:t>10.在合同实施时，采购人将不予支付成交供应商没有列入的项目费用，并认为此项目的费用已包括在总报价中。</w:t>
      </w:r>
    </w:p>
    <w:p>
      <w:pPr>
        <w:pStyle w:val="24"/>
        <w:adjustRightInd w:val="0"/>
        <w:snapToGrid w:val="0"/>
        <w:spacing w:line="360" w:lineRule="auto"/>
        <w:ind w:left="420" w:hanging="420"/>
        <w:rPr>
          <w:rFonts w:hAnsi="宋体"/>
          <w:b/>
          <w:color w:val="000000" w:themeColor="text1"/>
          <w:kern w:val="0"/>
          <w:highlight w:val="none"/>
        </w:rPr>
      </w:pPr>
      <w:r>
        <w:rPr>
          <w:rFonts w:hint="eastAsia" w:hAnsi="宋体"/>
          <w:b/>
          <w:color w:val="000000" w:themeColor="text1"/>
          <w:kern w:val="0"/>
          <w:highlight w:val="none"/>
        </w:rPr>
        <w:t>11. 本项目最终总报价不能高于采购预算（或最高限价），否则其谈判响应将被确定为响应无效。</w:t>
      </w:r>
    </w:p>
    <w:p>
      <w:pPr>
        <w:pStyle w:val="24"/>
        <w:adjustRightInd w:val="0"/>
        <w:snapToGrid w:val="0"/>
        <w:spacing w:line="360" w:lineRule="auto"/>
        <w:rPr>
          <w:rFonts w:hAnsi="宋体" w:cs="Times New Roman"/>
          <w:color w:val="000000" w:themeColor="text1"/>
          <w:highlight w:val="none"/>
        </w:rPr>
      </w:pPr>
      <w:r>
        <w:rPr>
          <w:rFonts w:hAnsi="宋体" w:cs="Times New Roman"/>
          <w:color w:val="000000" w:themeColor="text1"/>
          <w:highlight w:val="none"/>
        </w:rPr>
        <w:t>1</w:t>
      </w:r>
      <w:r>
        <w:rPr>
          <w:rFonts w:hint="eastAsia" w:hAnsi="宋体" w:cs="Times New Roman"/>
          <w:color w:val="000000" w:themeColor="text1"/>
          <w:highlight w:val="none"/>
        </w:rPr>
        <w:t>2</w:t>
      </w:r>
      <w:r>
        <w:rPr>
          <w:rFonts w:hAnsi="宋体" w:cs="Times New Roman"/>
          <w:color w:val="000000" w:themeColor="text1"/>
          <w:highlight w:val="none"/>
        </w:rPr>
        <w:tab/>
      </w:r>
      <w:r>
        <w:rPr>
          <w:rFonts w:hint="eastAsia" w:hAnsi="宋体" w:cs="Times New Roman"/>
          <w:color w:val="000000" w:themeColor="text1"/>
          <w:highlight w:val="none"/>
        </w:rPr>
        <w:t>响应供应商资格证明文件</w:t>
      </w:r>
    </w:p>
    <w:p>
      <w:pPr>
        <w:pStyle w:val="24"/>
        <w:adjustRightInd w:val="0"/>
        <w:snapToGrid w:val="0"/>
        <w:spacing w:line="360" w:lineRule="auto"/>
        <w:rPr>
          <w:rFonts w:hAnsi="宋体" w:cs="Times New Roman"/>
          <w:color w:val="000000" w:themeColor="text1"/>
          <w:highlight w:val="none"/>
        </w:rPr>
      </w:pPr>
      <w:r>
        <w:rPr>
          <w:rFonts w:hAnsi="宋体" w:cs="Times New Roman"/>
          <w:color w:val="000000" w:themeColor="text1"/>
          <w:highlight w:val="none"/>
        </w:rPr>
        <w:t>1</w:t>
      </w:r>
      <w:r>
        <w:rPr>
          <w:rFonts w:hint="eastAsia" w:hAnsi="宋体" w:cs="Times New Roman"/>
          <w:color w:val="000000" w:themeColor="text1"/>
          <w:highlight w:val="none"/>
        </w:rPr>
        <w:t>2</w:t>
      </w:r>
      <w:r>
        <w:rPr>
          <w:rFonts w:hAnsi="宋体" w:cs="Times New Roman"/>
          <w:color w:val="000000" w:themeColor="text1"/>
          <w:highlight w:val="none"/>
        </w:rPr>
        <w:t>.1</w:t>
      </w:r>
      <w:r>
        <w:rPr>
          <w:rFonts w:hint="eastAsia" w:hAnsi="宋体" w:cs="Times New Roman"/>
          <w:color w:val="000000" w:themeColor="text1"/>
          <w:highlight w:val="none"/>
        </w:rPr>
        <w:t>响应供应商应按谈判文件的要求，提交证明其有资格参加谈判和成交后有履行合同能力的文件，并作为其</w:t>
      </w:r>
      <w:r>
        <w:rPr>
          <w:rFonts w:hint="eastAsia" w:hAnsi="宋体"/>
          <w:color w:val="000000" w:themeColor="text1"/>
          <w:highlight w:val="none"/>
        </w:rPr>
        <w:t>单一来源</w:t>
      </w:r>
      <w:r>
        <w:rPr>
          <w:rFonts w:hint="eastAsia" w:hAnsi="宋体" w:cs="Times New Roman"/>
          <w:color w:val="000000" w:themeColor="text1"/>
          <w:highlight w:val="none"/>
        </w:rPr>
        <w:t>谈判响应文件的组成部分。详见《谈判须知前附表》</w:t>
      </w:r>
    </w:p>
    <w:p>
      <w:pPr>
        <w:pStyle w:val="24"/>
        <w:adjustRightInd w:val="0"/>
        <w:snapToGrid w:val="0"/>
        <w:spacing w:line="360" w:lineRule="auto"/>
        <w:rPr>
          <w:rFonts w:hAnsi="宋体" w:cs="Times New Roman"/>
          <w:color w:val="000000" w:themeColor="text1"/>
          <w:highlight w:val="none"/>
        </w:rPr>
      </w:pPr>
      <w:r>
        <w:rPr>
          <w:rFonts w:hint="eastAsia" w:hAnsi="宋体" w:cs="Times New Roman"/>
          <w:color w:val="000000" w:themeColor="text1"/>
          <w:highlight w:val="none"/>
        </w:rPr>
        <w:t>12.2资格证明文件必须真实有效，复印件必须加盖单位印章。</w:t>
      </w:r>
    </w:p>
    <w:p>
      <w:pPr>
        <w:pStyle w:val="24"/>
        <w:adjustRightInd w:val="0"/>
        <w:snapToGrid w:val="0"/>
        <w:spacing w:line="360" w:lineRule="auto"/>
        <w:rPr>
          <w:rFonts w:hAnsi="宋体" w:cs="Times New Roman"/>
          <w:color w:val="000000" w:themeColor="text1"/>
          <w:highlight w:val="none"/>
        </w:rPr>
      </w:pPr>
      <w:r>
        <w:rPr>
          <w:rFonts w:hint="eastAsia" w:hAnsi="宋体" w:cs="Times New Roman"/>
          <w:color w:val="000000" w:themeColor="text1"/>
          <w:highlight w:val="none"/>
        </w:rPr>
        <w:t>13. 证明</w:t>
      </w:r>
      <w:r>
        <w:rPr>
          <w:rFonts w:hint="eastAsia" w:hAnsi="宋体"/>
          <w:color w:val="000000" w:themeColor="text1"/>
          <w:highlight w:val="none"/>
        </w:rPr>
        <w:t>单一来源</w:t>
      </w:r>
      <w:r>
        <w:rPr>
          <w:rFonts w:hint="eastAsia" w:hAnsi="宋体" w:cs="Times New Roman"/>
          <w:color w:val="000000" w:themeColor="text1"/>
          <w:highlight w:val="none"/>
        </w:rPr>
        <w:t>谈判响应文件标的的合格性和符合谈判文件规定的文件：</w:t>
      </w:r>
    </w:p>
    <w:p>
      <w:pPr>
        <w:tabs>
          <w:tab w:val="left" w:pos="567"/>
        </w:tabs>
        <w:spacing w:line="360" w:lineRule="auto"/>
        <w:ind w:left="567" w:hanging="567"/>
        <w:rPr>
          <w:rFonts w:ascii="宋体" w:hAnsi="宋体"/>
          <w:color w:val="000000" w:themeColor="text1"/>
          <w:szCs w:val="21"/>
          <w:highlight w:val="none"/>
        </w:rPr>
      </w:pPr>
      <w:r>
        <w:rPr>
          <w:rFonts w:hint="eastAsia" w:ascii="宋体" w:hAnsi="宋体"/>
          <w:color w:val="000000" w:themeColor="text1"/>
          <w:szCs w:val="21"/>
          <w:highlight w:val="none"/>
        </w:rPr>
        <w:t>13.1 响应供应商提交证明其所提供的服务的合格性并符合谈判文件规定的声明文件。</w:t>
      </w:r>
    </w:p>
    <w:p>
      <w:pPr>
        <w:tabs>
          <w:tab w:val="left" w:pos="567"/>
        </w:tabs>
        <w:spacing w:line="360" w:lineRule="auto"/>
        <w:ind w:left="567" w:hanging="567"/>
        <w:rPr>
          <w:rFonts w:ascii="宋体" w:hAnsi="宋体"/>
          <w:color w:val="000000" w:themeColor="text1"/>
          <w:szCs w:val="21"/>
          <w:highlight w:val="none"/>
        </w:rPr>
      </w:pPr>
      <w:r>
        <w:rPr>
          <w:rFonts w:ascii="宋体" w:hAnsi="宋体"/>
          <w:color w:val="000000" w:themeColor="text1"/>
          <w:szCs w:val="21"/>
          <w:highlight w:val="none"/>
        </w:rPr>
        <w:t>1</w:t>
      </w:r>
      <w:r>
        <w:rPr>
          <w:rFonts w:hint="eastAsia" w:ascii="宋体" w:hAnsi="宋体"/>
          <w:color w:val="000000" w:themeColor="text1"/>
          <w:szCs w:val="21"/>
          <w:highlight w:val="none"/>
        </w:rPr>
        <w:t>3</w:t>
      </w:r>
      <w:r>
        <w:rPr>
          <w:rFonts w:ascii="宋体" w:hAnsi="宋体"/>
          <w:color w:val="000000" w:themeColor="text1"/>
          <w:szCs w:val="21"/>
          <w:highlight w:val="none"/>
        </w:rPr>
        <w:t>.2</w:t>
      </w:r>
      <w:r>
        <w:rPr>
          <w:rFonts w:hint="eastAsia" w:ascii="宋体" w:hAnsi="宋体"/>
          <w:color w:val="000000" w:themeColor="text1"/>
          <w:szCs w:val="21"/>
          <w:highlight w:val="none"/>
        </w:rPr>
        <w:t>证明服务与谈判文件的要求相一致的文件可以是文字资料、图纸、数据资料等。</w:t>
      </w:r>
    </w:p>
    <w:p>
      <w:pPr>
        <w:pStyle w:val="24"/>
        <w:adjustRightInd w:val="0"/>
        <w:snapToGrid w:val="0"/>
        <w:spacing w:line="360" w:lineRule="auto"/>
        <w:ind w:left="420" w:hanging="420"/>
        <w:rPr>
          <w:rFonts w:hAnsi="宋体"/>
          <w:b/>
          <w:color w:val="000000" w:themeColor="text1"/>
          <w:kern w:val="0"/>
          <w:highlight w:val="none"/>
          <w:u w:val="single"/>
        </w:rPr>
      </w:pPr>
    </w:p>
    <w:p>
      <w:pPr>
        <w:pStyle w:val="24"/>
        <w:adjustRightInd w:val="0"/>
        <w:snapToGrid w:val="0"/>
        <w:spacing w:line="360" w:lineRule="auto"/>
        <w:outlineLvl w:val="1"/>
        <w:rPr>
          <w:rFonts w:hAnsi="宋体" w:cs="Times New Roman"/>
          <w:b/>
          <w:color w:val="000000" w:themeColor="text1"/>
          <w:highlight w:val="none"/>
        </w:rPr>
      </w:pPr>
      <w:bookmarkStart w:id="81" w:name="_Toc459971451"/>
      <w:bookmarkStart w:id="82" w:name="_Toc16173"/>
      <w:r>
        <w:rPr>
          <w:rFonts w:hint="eastAsia" w:hAnsi="宋体" w:cs="Times New Roman"/>
          <w:b/>
          <w:color w:val="000000" w:themeColor="text1"/>
          <w:highlight w:val="none"/>
        </w:rPr>
        <w:t>五、谈判保证金</w:t>
      </w:r>
      <w:bookmarkEnd w:id="81"/>
      <w:bookmarkEnd w:id="82"/>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14. 谈判保证金</w:t>
      </w:r>
    </w:p>
    <w:p>
      <w:pPr>
        <w:adjustRightInd w:val="0"/>
        <w:snapToGrid w:val="0"/>
        <w:spacing w:line="36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14.1 响应供应商应按谈判文件规定的金额和期限交纳谈判保证金，谈判保证金作为</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谈判响应文件的组成部分。</w:t>
      </w:r>
    </w:p>
    <w:p>
      <w:pPr>
        <w:adjustRightInd w:val="0"/>
        <w:snapToGrid w:val="0"/>
        <w:spacing w:line="36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14.2谈判保证金金额、交纳形式、交纳时间及谈判保证金账户，详见《谈判须知前附表》。</w:t>
      </w:r>
    </w:p>
    <w:p>
      <w:pPr>
        <w:adjustRightInd w:val="0"/>
        <w:snapToGrid w:val="0"/>
        <w:spacing w:line="36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14.3凡未按规定交纳谈判保证金的谈判响应，其谈判响应被确定为响应无效。</w:t>
      </w:r>
    </w:p>
    <w:p>
      <w:pPr>
        <w:adjustRightInd w:val="0"/>
        <w:snapToGrid w:val="0"/>
        <w:spacing w:line="36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14.4如无质疑或投诉，未成交的响应供应商保证金，在成交通知书发出后5个工作日内不计利息原额退还；如有质疑或投诉，</w:t>
      </w:r>
      <w:r>
        <w:rPr>
          <w:rFonts w:hint="eastAsia" w:ascii="宋体" w:hAnsi="宋体"/>
          <w:color w:val="000000" w:themeColor="text1"/>
          <w:kern w:val="0"/>
          <w:szCs w:val="21"/>
          <w:highlight w:val="none"/>
        </w:rPr>
        <w:t>招标采购单位</w:t>
      </w:r>
      <w:r>
        <w:rPr>
          <w:rFonts w:hint="eastAsia" w:ascii="宋体" w:hAnsi="宋体"/>
          <w:color w:val="000000" w:themeColor="text1"/>
          <w:szCs w:val="21"/>
          <w:highlight w:val="none"/>
        </w:rPr>
        <w:t>将在质疑和投诉处理完毕后不计利息原额退还。</w:t>
      </w:r>
    </w:p>
    <w:p>
      <w:pPr>
        <w:adjustRightInd w:val="0"/>
        <w:snapToGrid w:val="0"/>
        <w:spacing w:line="360" w:lineRule="auto"/>
        <w:ind w:left="473" w:right="31" w:rightChars="15" w:hanging="472" w:hangingChars="225"/>
        <w:rPr>
          <w:rFonts w:ascii="宋体" w:hAnsi="宋体"/>
          <w:color w:val="000000" w:themeColor="text1"/>
          <w:szCs w:val="21"/>
          <w:highlight w:val="none"/>
        </w:rPr>
      </w:pPr>
      <w:r>
        <w:rPr>
          <w:rFonts w:hint="eastAsia" w:ascii="宋体" w:hAnsi="宋体"/>
          <w:color w:val="000000" w:themeColor="text1"/>
          <w:szCs w:val="21"/>
          <w:highlight w:val="none"/>
        </w:rPr>
        <w:t>14.5</w:t>
      </w:r>
      <w:r>
        <w:rPr>
          <w:rFonts w:hint="eastAsia" w:ascii="宋体" w:hAnsi="宋体"/>
          <w:color w:val="000000" w:themeColor="text1"/>
          <w:kern w:val="0"/>
          <w:szCs w:val="21"/>
          <w:highlight w:val="none"/>
        </w:rPr>
        <w:t>成交供应商的谈判保证金,在成交供应商与采购人签订采购合同并执行了缴交成交服务费的规定后5个工作日内不计利息原额退还。</w:t>
      </w:r>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14.6 若有下列情况之一，谈判保证金将被没收，因此而造成采购人的损失须由响应供应商承担：</w:t>
      </w:r>
    </w:p>
    <w:p>
      <w:pPr>
        <w:tabs>
          <w:tab w:val="left" w:pos="567"/>
        </w:tabs>
        <w:spacing w:line="36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(1) 响应供应商在谈判文件规定的谈判有效期内撤回其单一来源谈判响应文件；</w:t>
      </w:r>
    </w:p>
    <w:p>
      <w:pPr>
        <w:tabs>
          <w:tab w:val="left" w:pos="567"/>
        </w:tabs>
        <w:spacing w:line="36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(2) 成交后无正当理由不与采购人签订合同的；</w:t>
      </w:r>
    </w:p>
    <w:p>
      <w:pPr>
        <w:tabs>
          <w:tab w:val="left" w:pos="567"/>
        </w:tabs>
        <w:spacing w:line="36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(3) 成交响应供应商在规定期限内未能按本须知的规定提交履约保证金（如有）；</w:t>
      </w:r>
    </w:p>
    <w:p>
      <w:pPr>
        <w:tabs>
          <w:tab w:val="left" w:pos="567"/>
        </w:tabs>
        <w:spacing w:line="36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(4) 成交后未按谈判文件中的规定缴付成交服务费；</w:t>
      </w:r>
    </w:p>
    <w:p>
      <w:pPr>
        <w:tabs>
          <w:tab w:val="left" w:pos="567"/>
        </w:tabs>
        <w:spacing w:line="36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(5) 有违反国家有关法律法规的行为。</w:t>
      </w:r>
    </w:p>
    <w:p>
      <w:pPr>
        <w:tabs>
          <w:tab w:val="left" w:pos="567"/>
        </w:tabs>
        <w:spacing w:line="360" w:lineRule="auto"/>
        <w:ind w:left="500" w:leftChars="238"/>
        <w:rPr>
          <w:rFonts w:ascii="宋体" w:hAnsi="宋体"/>
          <w:color w:val="000000" w:themeColor="text1"/>
          <w:kern w:val="0"/>
          <w:szCs w:val="21"/>
          <w:highlight w:val="none"/>
        </w:rPr>
      </w:pPr>
    </w:p>
    <w:p>
      <w:pPr>
        <w:pStyle w:val="24"/>
        <w:adjustRightInd w:val="0"/>
        <w:snapToGrid w:val="0"/>
        <w:spacing w:line="360" w:lineRule="auto"/>
        <w:outlineLvl w:val="1"/>
        <w:rPr>
          <w:rFonts w:hAnsi="宋体" w:cs="Times New Roman"/>
          <w:b/>
          <w:color w:val="000000" w:themeColor="text1"/>
          <w:highlight w:val="none"/>
        </w:rPr>
      </w:pPr>
      <w:bookmarkStart w:id="83" w:name="_Toc459971452"/>
      <w:bookmarkStart w:id="84" w:name="_Toc1314"/>
      <w:r>
        <w:rPr>
          <w:rFonts w:hint="eastAsia" w:hAnsi="宋体" w:cs="Times New Roman"/>
          <w:b/>
          <w:color w:val="000000" w:themeColor="text1"/>
          <w:highlight w:val="none"/>
        </w:rPr>
        <w:t>六、单一来源谈判响应文件的份数、封装和递交</w:t>
      </w:r>
      <w:bookmarkEnd w:id="83"/>
      <w:bookmarkEnd w:id="84"/>
    </w:p>
    <w:p>
      <w:pPr>
        <w:autoSpaceDE w:val="0"/>
        <w:autoSpaceDN w:val="0"/>
        <w:adjustRightInd w:val="0"/>
        <w:snapToGrid w:val="0"/>
        <w:spacing w:line="360" w:lineRule="auto"/>
        <w:ind w:left="420" w:right="32" w:hanging="420" w:hangingChars="200"/>
        <w:rPr>
          <w:rFonts w:ascii="宋体" w:hAnsi="宋体"/>
          <w:color w:val="000000" w:themeColor="text1"/>
          <w:szCs w:val="21"/>
          <w:highlight w:val="none"/>
        </w:rPr>
      </w:pPr>
      <w:r>
        <w:rPr>
          <w:rFonts w:hint="eastAsia" w:ascii="宋体" w:hAnsi="宋体"/>
          <w:color w:val="000000" w:themeColor="text1"/>
          <w:szCs w:val="21"/>
          <w:highlight w:val="none"/>
        </w:rPr>
        <w:t>15.  单一来源谈判响应文件的数量和签署</w:t>
      </w:r>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15.1 响应供应商应编制</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谈判响应文件份数详见《谈判须知前附表》，</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谈判响应文件的副本可采用正本的复印件。每套</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谈判响应文件须清楚地标明“正本”、“副本”。若副本与正本不符，以正本为准。</w:t>
      </w:r>
      <w:r>
        <w:rPr>
          <w:rFonts w:hint="eastAsia" w:ascii="宋体"/>
          <w:bCs/>
          <w:color w:val="000000" w:themeColor="text1"/>
          <w:highlight w:val="none"/>
        </w:rPr>
        <w:t>（注：单一来源谈判响应文件副本可为正本的复印件）。</w:t>
      </w:r>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15.2 </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谈判响应文件的正本需打印或用不褪色墨水书写，并由法定代表人或经其正式授权的代表签字。授权代表须出具书面授权证明，其《法定代表人授权书》应附在</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谈判响应文件中。</w:t>
      </w:r>
    </w:p>
    <w:p>
      <w:pPr>
        <w:pStyle w:val="24"/>
        <w:adjustRightInd w:val="0"/>
        <w:snapToGrid w:val="0"/>
        <w:spacing w:line="360" w:lineRule="auto"/>
        <w:ind w:left="473" w:hanging="472" w:hangingChars="225"/>
        <w:rPr>
          <w:rFonts w:hAnsi="宋体" w:cs="Times New Roman"/>
          <w:color w:val="000000" w:themeColor="text1"/>
          <w:kern w:val="0"/>
          <w:highlight w:val="none"/>
        </w:rPr>
      </w:pPr>
      <w:r>
        <w:rPr>
          <w:rFonts w:hint="eastAsia" w:hAnsi="宋体" w:cs="Times New Roman"/>
          <w:color w:val="000000" w:themeColor="text1"/>
          <w:kern w:val="0"/>
          <w:highlight w:val="none"/>
        </w:rPr>
        <w:t xml:space="preserve">15.3 </w:t>
      </w:r>
      <w:r>
        <w:rPr>
          <w:rFonts w:hint="eastAsia" w:hAnsi="宋体"/>
          <w:color w:val="000000" w:themeColor="text1"/>
          <w:highlight w:val="none"/>
        </w:rPr>
        <w:t>单一来源</w:t>
      </w:r>
      <w:r>
        <w:rPr>
          <w:rFonts w:hint="eastAsia" w:hAnsi="宋体" w:cs="Times New Roman"/>
          <w:color w:val="000000" w:themeColor="text1"/>
          <w:kern w:val="0"/>
          <w:highlight w:val="none"/>
        </w:rPr>
        <w:t>谈判响应文件中的任何重要的插字、涂改和增删，必须由法定代表人或经其正式授权的代表在旁边签章或签字</w:t>
      </w:r>
      <w:r>
        <w:rPr>
          <w:rFonts w:hint="eastAsia"/>
          <w:bCs/>
          <w:color w:val="000000" w:themeColor="text1"/>
          <w:highlight w:val="none"/>
        </w:rPr>
        <w:t>并在修改处加盖公章</w:t>
      </w:r>
      <w:r>
        <w:rPr>
          <w:rFonts w:hint="eastAsia" w:hAnsi="宋体" w:cs="Times New Roman"/>
          <w:color w:val="000000" w:themeColor="text1"/>
          <w:kern w:val="0"/>
          <w:highlight w:val="none"/>
        </w:rPr>
        <w:t>才有效。</w:t>
      </w:r>
    </w:p>
    <w:p>
      <w:pPr>
        <w:tabs>
          <w:tab w:val="left" w:pos="8280"/>
        </w:tabs>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15.4 </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谈判响应文件的谈判有效期为从报价截止日起</w:t>
      </w:r>
      <w:r>
        <w:rPr>
          <w:rFonts w:hint="eastAsia" w:ascii="宋体" w:hAnsi="宋体"/>
          <w:color w:val="000000" w:themeColor="text1"/>
          <w:kern w:val="0"/>
          <w:szCs w:val="21"/>
          <w:highlight w:val="none"/>
          <w:u w:val="single"/>
        </w:rPr>
        <w:t>90天</w:t>
      </w:r>
      <w:r>
        <w:rPr>
          <w:rFonts w:hint="eastAsia" w:ascii="宋体" w:hAnsi="宋体"/>
          <w:color w:val="000000" w:themeColor="text1"/>
          <w:kern w:val="0"/>
          <w:szCs w:val="21"/>
          <w:highlight w:val="none"/>
        </w:rPr>
        <w:t>。</w:t>
      </w:r>
    </w:p>
    <w:p>
      <w:pPr>
        <w:autoSpaceDE w:val="0"/>
        <w:autoSpaceDN w:val="0"/>
        <w:adjustRightInd w:val="0"/>
        <w:snapToGrid w:val="0"/>
        <w:spacing w:line="360" w:lineRule="auto"/>
        <w:ind w:left="420" w:right="32"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16.  </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谈判响应文件的递交</w:t>
      </w:r>
    </w:p>
    <w:p>
      <w:pPr>
        <w:autoSpaceDE w:val="0"/>
        <w:autoSpaceDN w:val="0"/>
        <w:adjustRightInd w:val="0"/>
        <w:snapToGrid w:val="0"/>
        <w:spacing w:line="360" w:lineRule="auto"/>
        <w:ind w:left="420" w:right="32"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16.1 </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谈判响应文件应于第一部分《谈判邀请》中规定的截止时点前递交到采购代理机构。</w:t>
      </w:r>
    </w:p>
    <w:p>
      <w:pPr>
        <w:autoSpaceDE w:val="0"/>
        <w:autoSpaceDN w:val="0"/>
        <w:adjustRightInd w:val="0"/>
        <w:snapToGrid w:val="0"/>
        <w:spacing w:line="360" w:lineRule="auto"/>
        <w:ind w:left="420" w:right="32"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16.2 迟交的</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谈判响应文件，按《政府采购法》的规定，采购代理机构将拒收或原封退回在其规定的递交</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谈判响应文件截止时点之后收到的任何</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w:t>
      </w:r>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p>
    <w:p>
      <w:pPr>
        <w:pStyle w:val="24"/>
        <w:adjustRightInd w:val="0"/>
        <w:snapToGrid w:val="0"/>
        <w:spacing w:line="360" w:lineRule="auto"/>
        <w:outlineLvl w:val="1"/>
        <w:rPr>
          <w:rFonts w:hAnsi="宋体" w:cs="Times New Roman"/>
          <w:b/>
          <w:color w:val="000000" w:themeColor="text1"/>
          <w:highlight w:val="none"/>
        </w:rPr>
      </w:pPr>
      <w:bookmarkStart w:id="85" w:name="_Toc15739"/>
      <w:bookmarkStart w:id="86" w:name="_Toc459971453"/>
      <w:r>
        <w:rPr>
          <w:rFonts w:hint="eastAsia" w:hAnsi="宋体" w:cs="Times New Roman"/>
          <w:b/>
          <w:color w:val="000000" w:themeColor="text1"/>
          <w:highlight w:val="none"/>
        </w:rPr>
        <w:t>七、谈判的步骤</w:t>
      </w:r>
      <w:bookmarkEnd w:id="85"/>
      <w:bookmarkEnd w:id="86"/>
    </w:p>
    <w:p>
      <w:pPr>
        <w:pStyle w:val="24"/>
        <w:adjustRightInd w:val="0"/>
        <w:snapToGrid w:val="0"/>
        <w:spacing w:line="360" w:lineRule="auto"/>
        <w:ind w:left="420" w:hanging="420" w:hangingChars="200"/>
        <w:rPr>
          <w:rFonts w:hAnsi="宋体" w:cs="Times New Roman"/>
          <w:color w:val="000000" w:themeColor="text1"/>
          <w:highlight w:val="none"/>
        </w:rPr>
      </w:pPr>
      <w:r>
        <w:rPr>
          <w:rFonts w:hint="eastAsia" w:hAnsi="宋体" w:cs="Times New Roman"/>
          <w:color w:val="000000" w:themeColor="text1"/>
          <w:highlight w:val="none"/>
        </w:rPr>
        <w:t>17.谈判文件的澄清</w:t>
      </w:r>
    </w:p>
    <w:p>
      <w:pPr>
        <w:pStyle w:val="24"/>
        <w:adjustRightInd w:val="0"/>
        <w:snapToGrid w:val="0"/>
        <w:spacing w:line="360" w:lineRule="auto"/>
        <w:ind w:left="420" w:hanging="420" w:hangingChars="200"/>
        <w:rPr>
          <w:rFonts w:hAnsi="宋体" w:cs="Times New Roman"/>
          <w:color w:val="000000" w:themeColor="text1"/>
          <w:highlight w:val="none"/>
        </w:rPr>
      </w:pPr>
      <w:r>
        <w:rPr>
          <w:rFonts w:hint="eastAsia" w:hAnsi="宋体" w:cs="Times New Roman"/>
          <w:color w:val="000000" w:themeColor="text1"/>
          <w:highlight w:val="none"/>
        </w:rPr>
        <w:t>17.1任何要求对谈判文件进行澄清的响应供应商，均应以书面形式在谈判文件规定的谈判响应文件递交截止日以前通知采购代理机构。采购代理机构将组织采购人对响应供应商所要求澄清的内容以书面形式予以答复。必要时，采购代理机构将组织相关专家召开答疑会，会议内容或以书面的形式发给购买谈判文件的潜在响应供应商（答复中不包括问题的来源）。</w:t>
      </w:r>
    </w:p>
    <w:p>
      <w:pPr>
        <w:pStyle w:val="24"/>
        <w:adjustRightInd w:val="0"/>
        <w:snapToGrid w:val="0"/>
        <w:spacing w:line="360" w:lineRule="auto"/>
        <w:ind w:left="420" w:hanging="420" w:hangingChars="200"/>
        <w:rPr>
          <w:rFonts w:hAnsi="宋体" w:cs="Times New Roman"/>
          <w:color w:val="000000" w:themeColor="text1"/>
          <w:highlight w:val="none"/>
        </w:rPr>
      </w:pPr>
      <w:r>
        <w:rPr>
          <w:rFonts w:hint="eastAsia" w:hAnsi="宋体" w:cs="Times New Roman"/>
          <w:color w:val="000000" w:themeColor="text1"/>
          <w:highlight w:val="none"/>
        </w:rPr>
        <w:t>17.2响应供应商在规定的时间内未要求对谈判文件澄清或提出疑问的，采购代理机构将视其为无异议。对谈判文件中描述有歧意或前后不一致的地方，评标委员会有权进行评判。</w:t>
      </w:r>
    </w:p>
    <w:p>
      <w:pPr>
        <w:pStyle w:val="24"/>
        <w:adjustRightInd w:val="0"/>
        <w:snapToGrid w:val="0"/>
        <w:spacing w:line="360" w:lineRule="auto"/>
        <w:ind w:left="420" w:hanging="420" w:hangingChars="200"/>
        <w:rPr>
          <w:rFonts w:hAnsi="宋体" w:cs="Times New Roman"/>
          <w:color w:val="000000" w:themeColor="text1"/>
          <w:highlight w:val="none"/>
        </w:rPr>
      </w:pPr>
      <w:r>
        <w:rPr>
          <w:rFonts w:hint="eastAsia" w:hAnsi="宋体" w:cs="Times New Roman"/>
          <w:color w:val="000000" w:themeColor="text1"/>
          <w:highlight w:val="none"/>
        </w:rPr>
        <w:t>18. 谈判</w:t>
      </w:r>
    </w:p>
    <w:p>
      <w:pPr>
        <w:pStyle w:val="24"/>
        <w:adjustRightInd w:val="0"/>
        <w:snapToGrid w:val="0"/>
        <w:spacing w:line="360" w:lineRule="auto"/>
        <w:ind w:left="420" w:hanging="420" w:hangingChars="200"/>
        <w:rPr>
          <w:rFonts w:hAnsi="宋体"/>
          <w:color w:val="000000" w:themeColor="text1"/>
          <w:highlight w:val="none"/>
        </w:rPr>
      </w:pPr>
      <w:r>
        <w:rPr>
          <w:rFonts w:hint="eastAsia" w:hAnsi="宋体" w:cs="Times New Roman"/>
          <w:color w:val="000000" w:themeColor="text1"/>
          <w:highlight w:val="none"/>
        </w:rPr>
        <w:t>18.1单一来源小组成员从政府采购专家库随机抽取产生，详见</w:t>
      </w:r>
      <w:r>
        <w:rPr>
          <w:rFonts w:hint="eastAsia" w:hAnsi="宋体"/>
          <w:color w:val="000000" w:themeColor="text1"/>
          <w:kern w:val="0"/>
          <w:highlight w:val="none"/>
        </w:rPr>
        <w:t>《谈判须知前附表》</w:t>
      </w:r>
      <w:r>
        <w:rPr>
          <w:rFonts w:hint="eastAsia" w:hAnsi="宋体" w:cs="Times New Roman"/>
          <w:color w:val="000000" w:themeColor="text1"/>
          <w:highlight w:val="none"/>
        </w:rPr>
        <w:t>。</w:t>
      </w:r>
      <w:r>
        <w:rPr>
          <w:rFonts w:hint="eastAsia" w:hAnsi="宋体"/>
          <w:color w:val="000000" w:themeColor="text1"/>
          <w:highlight w:val="none"/>
        </w:rPr>
        <w:t>单一来源小组对</w:t>
      </w:r>
      <w:r>
        <w:rPr>
          <w:rFonts w:hint="eastAsia" w:hAnsi="宋体" w:cs="Times New Roman"/>
          <w:color w:val="000000" w:themeColor="text1"/>
          <w:highlight w:val="none"/>
        </w:rPr>
        <w:t>单一来源谈判响应文件进行初审工作，初审包括资格性审查和符合性审查。</w:t>
      </w:r>
    </w:p>
    <w:p>
      <w:pPr>
        <w:autoSpaceDE w:val="0"/>
        <w:autoSpaceDN w:val="0"/>
        <w:adjustRightInd w:val="0"/>
        <w:snapToGrid w:val="0"/>
        <w:spacing w:line="360" w:lineRule="auto"/>
        <w:ind w:right="32" w:firstLine="422" w:firstLineChars="200"/>
        <w:rPr>
          <w:rFonts w:ascii="宋体" w:hAnsi="宋体"/>
          <w:b/>
          <w:color w:val="000000" w:themeColor="text1"/>
          <w:szCs w:val="21"/>
          <w:highlight w:val="none"/>
        </w:rPr>
      </w:pPr>
      <w:r>
        <w:rPr>
          <w:rFonts w:hint="eastAsia" w:ascii="宋体" w:hAnsi="宋体"/>
          <w:b/>
          <w:color w:val="000000" w:themeColor="text1"/>
          <w:szCs w:val="21"/>
          <w:highlight w:val="none"/>
        </w:rPr>
        <w:t>在资格性审查、符合性检查时，如发现下列情形之一的，单一来源谈判响应文件将被视为</w:t>
      </w:r>
      <w:r>
        <w:rPr>
          <w:rFonts w:hint="eastAsia" w:ascii="宋体" w:hAnsi="宋体"/>
          <w:b/>
          <w:color w:val="000000" w:themeColor="text1"/>
          <w:kern w:val="0"/>
          <w:szCs w:val="21"/>
          <w:highlight w:val="none"/>
        </w:rPr>
        <w:t>响应无效</w:t>
      </w:r>
      <w:r>
        <w:rPr>
          <w:rFonts w:hint="eastAsia" w:ascii="宋体" w:hAnsi="宋体"/>
          <w:b/>
          <w:color w:val="000000" w:themeColor="text1"/>
          <w:szCs w:val="21"/>
          <w:highlight w:val="none"/>
        </w:rPr>
        <w:t>：</w:t>
      </w:r>
    </w:p>
    <w:p>
      <w:pPr>
        <w:tabs>
          <w:tab w:val="left" w:pos="567"/>
        </w:tabs>
        <w:spacing w:line="360" w:lineRule="auto"/>
        <w:ind w:left="920" w:leftChars="258" w:hanging="378" w:hangingChars="180"/>
        <w:rPr>
          <w:rFonts w:ascii="宋体" w:hAnsi="宋体"/>
          <w:color w:val="000000" w:themeColor="text1"/>
          <w:kern w:val="0"/>
          <w:szCs w:val="21"/>
          <w:highlight w:val="none"/>
        </w:rPr>
      </w:pPr>
      <w:r>
        <w:rPr>
          <w:rFonts w:hint="eastAsia" w:ascii="宋体" w:hAnsi="宋体"/>
          <w:color w:val="000000" w:themeColor="text1"/>
          <w:kern w:val="0"/>
          <w:szCs w:val="21"/>
          <w:highlight w:val="none"/>
        </w:rPr>
        <w:t>(1)响应供应商未提交谈判保证金或金额不足、谈判保证金提交形式不符合谈判文件要求的；</w:t>
      </w:r>
    </w:p>
    <w:p>
      <w:pPr>
        <w:tabs>
          <w:tab w:val="left" w:pos="567"/>
        </w:tabs>
        <w:spacing w:line="360" w:lineRule="auto"/>
        <w:ind w:left="920" w:leftChars="258" w:hanging="378" w:hangingChars="180"/>
        <w:rPr>
          <w:rFonts w:ascii="宋体" w:hAnsi="宋体"/>
          <w:color w:val="000000" w:themeColor="text1"/>
          <w:kern w:val="0"/>
          <w:szCs w:val="21"/>
          <w:highlight w:val="none"/>
        </w:rPr>
      </w:pPr>
      <w:r>
        <w:rPr>
          <w:rFonts w:hint="eastAsia" w:ascii="宋体" w:hAnsi="宋体"/>
          <w:color w:val="000000" w:themeColor="text1"/>
          <w:kern w:val="0"/>
          <w:szCs w:val="21"/>
          <w:highlight w:val="none"/>
        </w:rPr>
        <w:t>(2)</w:t>
      </w:r>
      <w:r>
        <w:rPr>
          <w:rFonts w:hint="eastAsia" w:ascii="宋体" w:hAnsi="宋体"/>
          <w:color w:val="000000" w:themeColor="text1"/>
          <w:szCs w:val="21"/>
          <w:highlight w:val="none"/>
        </w:rPr>
        <w:t>报价总金额</w:t>
      </w:r>
      <w:r>
        <w:rPr>
          <w:rFonts w:hint="eastAsia" w:ascii="宋体" w:hAnsi="宋体"/>
          <w:color w:val="000000" w:themeColor="text1"/>
          <w:kern w:val="0"/>
          <w:szCs w:val="21"/>
          <w:highlight w:val="none"/>
        </w:rPr>
        <w:t>超过本项目采购预算（或最高限价）；</w:t>
      </w:r>
    </w:p>
    <w:p>
      <w:pPr>
        <w:tabs>
          <w:tab w:val="left" w:pos="567"/>
        </w:tabs>
        <w:spacing w:line="360" w:lineRule="auto"/>
        <w:ind w:left="920" w:leftChars="258" w:hanging="378" w:hangingChars="180"/>
        <w:rPr>
          <w:rFonts w:ascii="宋体" w:hAnsi="宋体"/>
          <w:color w:val="000000" w:themeColor="text1"/>
          <w:kern w:val="0"/>
          <w:szCs w:val="21"/>
          <w:highlight w:val="none"/>
        </w:rPr>
      </w:pPr>
      <w:r>
        <w:rPr>
          <w:rFonts w:hint="eastAsia" w:ascii="宋体" w:hAnsi="宋体"/>
          <w:color w:val="000000" w:themeColor="text1"/>
          <w:kern w:val="0"/>
          <w:szCs w:val="21"/>
          <w:highlight w:val="none"/>
        </w:rPr>
        <w:t>(3)单一来源谈判响应文件或资格证明文件未提供或不符合谈判文件要求的；</w:t>
      </w:r>
    </w:p>
    <w:p>
      <w:pPr>
        <w:tabs>
          <w:tab w:val="left" w:pos="567"/>
        </w:tabs>
        <w:spacing w:line="360" w:lineRule="auto"/>
        <w:ind w:left="920" w:leftChars="258" w:hanging="378" w:hangingChars="180"/>
        <w:rPr>
          <w:rFonts w:ascii="宋体" w:hAnsi="宋体"/>
          <w:color w:val="000000" w:themeColor="text1"/>
          <w:kern w:val="0"/>
          <w:szCs w:val="21"/>
          <w:highlight w:val="none"/>
        </w:rPr>
      </w:pPr>
      <w:r>
        <w:rPr>
          <w:rFonts w:hint="eastAsia" w:ascii="宋体" w:hAnsi="宋体"/>
          <w:color w:val="000000" w:themeColor="text1"/>
          <w:kern w:val="0"/>
          <w:szCs w:val="21"/>
          <w:highlight w:val="none"/>
        </w:rPr>
        <w:t>(4)不具备谈判文件中规定资格要求的；</w:t>
      </w:r>
    </w:p>
    <w:p>
      <w:pPr>
        <w:tabs>
          <w:tab w:val="left" w:pos="567"/>
        </w:tabs>
        <w:spacing w:line="360" w:lineRule="auto"/>
        <w:ind w:left="920" w:leftChars="258" w:hanging="378" w:hangingChars="180"/>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(5)未按照谈判文件规定要求签署、盖章的； </w:t>
      </w:r>
    </w:p>
    <w:p>
      <w:pPr>
        <w:tabs>
          <w:tab w:val="left" w:pos="567"/>
        </w:tabs>
        <w:spacing w:line="360" w:lineRule="auto"/>
        <w:ind w:left="920" w:leftChars="258" w:hanging="378" w:hangingChars="180"/>
        <w:rPr>
          <w:rFonts w:ascii="宋体" w:hAnsi="宋体"/>
          <w:color w:val="000000" w:themeColor="text1"/>
          <w:kern w:val="0"/>
          <w:szCs w:val="21"/>
          <w:highlight w:val="none"/>
        </w:rPr>
      </w:pPr>
      <w:r>
        <w:rPr>
          <w:rFonts w:hint="eastAsia" w:ascii="宋体" w:hAnsi="宋体"/>
          <w:color w:val="000000" w:themeColor="text1"/>
          <w:kern w:val="0"/>
          <w:szCs w:val="21"/>
          <w:highlight w:val="none"/>
        </w:rPr>
        <w:t>(6)</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谈判响应文件无法定代表人签字或签字人无法定代表人有效授权的；</w:t>
      </w:r>
    </w:p>
    <w:p>
      <w:pPr>
        <w:tabs>
          <w:tab w:val="left" w:pos="567"/>
        </w:tabs>
        <w:spacing w:line="360" w:lineRule="auto"/>
        <w:ind w:left="920" w:leftChars="258" w:hanging="378" w:hangingChars="180"/>
        <w:rPr>
          <w:rFonts w:ascii="宋体" w:hAnsi="宋体"/>
          <w:color w:val="000000" w:themeColor="text1"/>
          <w:kern w:val="0"/>
          <w:szCs w:val="21"/>
          <w:highlight w:val="none"/>
        </w:rPr>
      </w:pPr>
      <w:r>
        <w:rPr>
          <w:rFonts w:hint="eastAsia" w:ascii="宋体" w:hAnsi="宋体"/>
          <w:color w:val="000000" w:themeColor="text1"/>
          <w:kern w:val="0"/>
          <w:szCs w:val="21"/>
          <w:highlight w:val="none"/>
        </w:rPr>
        <w:t>(7)参加政府采购活动前三年内，在经营活动中有重大违法记录的；</w:t>
      </w:r>
    </w:p>
    <w:p>
      <w:pPr>
        <w:tabs>
          <w:tab w:val="left" w:pos="567"/>
        </w:tabs>
        <w:spacing w:line="360" w:lineRule="auto"/>
        <w:ind w:left="920" w:leftChars="258" w:hanging="378" w:hangingChars="180"/>
        <w:rPr>
          <w:rFonts w:ascii="宋体" w:hAnsi="宋体"/>
          <w:color w:val="000000" w:themeColor="text1"/>
          <w:kern w:val="0"/>
          <w:szCs w:val="21"/>
          <w:highlight w:val="none"/>
        </w:rPr>
      </w:pPr>
      <w:r>
        <w:rPr>
          <w:rFonts w:hint="eastAsia" w:ascii="宋体" w:hAnsi="宋体"/>
          <w:color w:val="000000" w:themeColor="text1"/>
          <w:kern w:val="0"/>
          <w:szCs w:val="21"/>
          <w:highlight w:val="none"/>
        </w:rPr>
        <w:t>(8)</w:t>
      </w:r>
      <w:r>
        <w:rPr>
          <w:rFonts w:hint="eastAsia" w:ascii="宋体" w:hAnsi="宋体"/>
          <w:color w:val="000000" w:themeColor="text1"/>
          <w:szCs w:val="21"/>
          <w:highlight w:val="none"/>
        </w:rPr>
        <w:t>单一来源</w:t>
      </w:r>
      <w:r>
        <w:rPr>
          <w:rFonts w:hint="eastAsia" w:ascii="宋体" w:hAnsi="宋体"/>
          <w:color w:val="000000" w:themeColor="text1"/>
          <w:kern w:val="0"/>
          <w:szCs w:val="21"/>
          <w:highlight w:val="none"/>
        </w:rPr>
        <w:t>谈判响应文件对谈判文件的实质性技术与商务的（即标注★号条款）条款产生偏离的。</w:t>
      </w:r>
    </w:p>
    <w:p>
      <w:pPr>
        <w:tabs>
          <w:tab w:val="left" w:pos="567"/>
        </w:tabs>
        <w:spacing w:line="360" w:lineRule="auto"/>
        <w:ind w:left="920" w:leftChars="258" w:hanging="378" w:hangingChars="180"/>
        <w:rPr>
          <w:rFonts w:ascii="宋体" w:hAnsi="宋体"/>
          <w:color w:val="000000" w:themeColor="text1"/>
          <w:kern w:val="0"/>
          <w:szCs w:val="21"/>
          <w:highlight w:val="none"/>
        </w:rPr>
      </w:pPr>
      <w:r>
        <w:rPr>
          <w:rFonts w:hint="eastAsia" w:ascii="宋体" w:hAnsi="宋体"/>
          <w:color w:val="000000" w:themeColor="text1"/>
          <w:kern w:val="0"/>
          <w:szCs w:val="21"/>
          <w:highlight w:val="none"/>
        </w:rPr>
        <w:t>(9)符合谈判文件中规定的被确定为响应无效的其它条款的。</w:t>
      </w:r>
    </w:p>
    <w:p>
      <w:pPr>
        <w:tabs>
          <w:tab w:val="left" w:pos="567"/>
        </w:tabs>
        <w:spacing w:line="360" w:lineRule="auto"/>
        <w:ind w:left="920" w:leftChars="258" w:hanging="378" w:hangingChars="180"/>
        <w:rPr>
          <w:rFonts w:ascii="宋体" w:hAnsi="宋体"/>
          <w:color w:val="000000" w:themeColor="text1"/>
          <w:kern w:val="0"/>
          <w:szCs w:val="21"/>
          <w:highlight w:val="none"/>
        </w:rPr>
      </w:pPr>
      <w:r>
        <w:rPr>
          <w:rFonts w:hint="eastAsia" w:ascii="宋体" w:hAnsi="宋体"/>
          <w:color w:val="000000" w:themeColor="text1"/>
          <w:kern w:val="0"/>
          <w:szCs w:val="21"/>
          <w:highlight w:val="none"/>
        </w:rPr>
        <w:t>(10)不符合法律、法规规定的其他实质性要求的。</w:t>
      </w:r>
    </w:p>
    <w:p>
      <w:pPr>
        <w:pStyle w:val="24"/>
        <w:adjustRightInd w:val="0"/>
        <w:snapToGrid w:val="0"/>
        <w:spacing w:line="360" w:lineRule="auto"/>
        <w:ind w:left="420" w:hanging="420" w:hangingChars="200"/>
        <w:rPr>
          <w:rFonts w:hAnsi="宋体" w:cs="Times New Roman"/>
          <w:color w:val="000000" w:themeColor="text1"/>
          <w:highlight w:val="none"/>
        </w:rPr>
      </w:pPr>
      <w:r>
        <w:rPr>
          <w:rFonts w:hint="eastAsia" w:hAnsi="宋体" w:cs="Times New Roman"/>
          <w:color w:val="000000" w:themeColor="text1"/>
          <w:highlight w:val="none"/>
        </w:rPr>
        <w:t>18.2</w:t>
      </w:r>
      <w:r>
        <w:rPr>
          <w:rFonts w:hint="eastAsia" w:hAnsi="宋体"/>
          <w:color w:val="000000" w:themeColor="text1"/>
          <w:highlight w:val="none"/>
        </w:rPr>
        <w:t>审查单一来源谈判响应文件是否对谈判文件作出实质性的响应。对未作出实质性响应的供应商应实行现场告知，由单一来源小组或采购人代表将集体意见现场及时告知该供应商，以让其核证、澄清事实。</w:t>
      </w:r>
    </w:p>
    <w:p>
      <w:pPr>
        <w:pStyle w:val="24"/>
        <w:adjustRightInd w:val="0"/>
        <w:snapToGrid w:val="0"/>
        <w:spacing w:line="360" w:lineRule="auto"/>
        <w:ind w:left="420" w:hanging="420" w:hangingChars="200"/>
        <w:rPr>
          <w:rFonts w:hAnsi="宋体" w:cs="Times New Roman"/>
          <w:color w:val="000000" w:themeColor="text1"/>
          <w:highlight w:val="none"/>
        </w:rPr>
      </w:pPr>
      <w:r>
        <w:rPr>
          <w:rFonts w:hint="eastAsia" w:hAnsi="宋体" w:cs="Times New Roman"/>
          <w:color w:val="000000" w:themeColor="text1"/>
          <w:highlight w:val="none"/>
        </w:rPr>
        <w:t>18.3 单一来源小组与供应商应围绕技术、商务、合同条款等内容分别进行一轮或多轮的谈判。在谈判过程中，单一来源小组应当严格遵循保密原则，未经响应供应商同意不得向任何人透露当事人技术、价格和其他重要信息。</w:t>
      </w:r>
    </w:p>
    <w:p>
      <w:pPr>
        <w:pStyle w:val="24"/>
        <w:adjustRightInd w:val="0"/>
        <w:snapToGrid w:val="0"/>
        <w:spacing w:line="360" w:lineRule="auto"/>
        <w:ind w:left="420" w:hanging="420" w:hangingChars="200"/>
        <w:rPr>
          <w:rFonts w:hAnsi="宋体" w:cs="Times New Roman"/>
          <w:color w:val="000000" w:themeColor="text1"/>
          <w:highlight w:val="none"/>
        </w:rPr>
      </w:pPr>
      <w:r>
        <w:rPr>
          <w:rFonts w:hint="eastAsia" w:hAnsi="宋体" w:cs="Times New Roman"/>
          <w:color w:val="000000" w:themeColor="text1"/>
          <w:highlight w:val="none"/>
        </w:rPr>
        <w:t xml:space="preserve">18.4 谈判文件的修正：单一来源小组调整或修改采购需求内容时，应取得单一来源小组的一致同意，并以书面形式通知所有参加谈判的供应商。但任何形式的决定须以符合公平、公正原则和有利于项目的顺利实施为前提。 </w:t>
      </w:r>
    </w:p>
    <w:p>
      <w:pPr>
        <w:pStyle w:val="24"/>
        <w:adjustRightInd w:val="0"/>
        <w:snapToGrid w:val="0"/>
        <w:spacing w:line="360" w:lineRule="auto"/>
        <w:ind w:left="420" w:hanging="420" w:hangingChars="200"/>
        <w:rPr>
          <w:rFonts w:hAnsi="宋体" w:cs="Times New Roman"/>
          <w:color w:val="000000" w:themeColor="text1"/>
          <w:highlight w:val="none"/>
        </w:rPr>
      </w:pPr>
      <w:r>
        <w:rPr>
          <w:rFonts w:hint="eastAsia" w:hAnsi="宋体" w:cs="Times New Roman"/>
          <w:color w:val="000000" w:themeColor="text1"/>
          <w:highlight w:val="none"/>
        </w:rPr>
        <w:t>18.5  在谈判过程中，响应供应商提交的澄清文件和最终报价文件，由响应供应商法人代表或授权代表签署后生效，响应供应商应受其约束。</w:t>
      </w:r>
    </w:p>
    <w:p>
      <w:pPr>
        <w:pStyle w:val="24"/>
        <w:adjustRightInd w:val="0"/>
        <w:snapToGrid w:val="0"/>
        <w:spacing w:line="360" w:lineRule="auto"/>
        <w:ind w:left="420" w:hanging="420" w:hangingChars="200"/>
        <w:rPr>
          <w:rFonts w:hAnsi="宋体" w:cs="Times New Roman"/>
          <w:color w:val="000000" w:themeColor="text1"/>
          <w:highlight w:val="none"/>
        </w:rPr>
      </w:pPr>
      <w:r>
        <w:rPr>
          <w:rFonts w:hint="eastAsia" w:hAnsi="宋体" w:cs="Times New Roman"/>
          <w:color w:val="000000" w:themeColor="text1"/>
          <w:highlight w:val="none"/>
        </w:rPr>
        <w:t>18.</w:t>
      </w:r>
      <w:r>
        <w:rPr>
          <w:rFonts w:hAnsi="宋体" w:cs="Times New Roman"/>
          <w:color w:val="000000" w:themeColor="text1"/>
          <w:highlight w:val="none"/>
        </w:rPr>
        <w:t>6</w:t>
      </w:r>
      <w:r>
        <w:rPr>
          <w:rFonts w:hint="eastAsia" w:hAnsi="宋体" w:cs="Times New Roman"/>
          <w:color w:val="000000" w:themeColor="text1"/>
          <w:highlight w:val="none"/>
        </w:rPr>
        <w:t xml:space="preserve"> </w:t>
      </w:r>
      <w:r>
        <w:rPr>
          <w:rFonts w:hint="eastAsia" w:hAnsi="宋体"/>
          <w:color w:val="000000" w:themeColor="text1"/>
          <w:highlight w:val="none"/>
        </w:rPr>
        <w:t>单一来源小组进行综合评议审核，对供应商提供服务项目均能满足谈判文件规定最低要求条件时，才能推荐为成交的候选对象。</w:t>
      </w:r>
    </w:p>
    <w:p>
      <w:pPr>
        <w:pStyle w:val="24"/>
        <w:adjustRightInd w:val="0"/>
        <w:snapToGrid w:val="0"/>
        <w:spacing w:line="360" w:lineRule="auto"/>
        <w:ind w:left="420" w:hanging="420" w:hangingChars="200"/>
        <w:rPr>
          <w:rFonts w:hAnsi="宋体" w:cs="Times New Roman"/>
          <w:color w:val="000000" w:themeColor="text1"/>
          <w:highlight w:val="none"/>
        </w:rPr>
      </w:pPr>
      <w:r>
        <w:rPr>
          <w:rFonts w:hint="eastAsia" w:hAnsi="宋体"/>
          <w:color w:val="000000" w:themeColor="text1"/>
          <w:highlight w:val="none"/>
        </w:rPr>
        <w:t>18.</w:t>
      </w:r>
      <w:r>
        <w:rPr>
          <w:rFonts w:hAnsi="宋体"/>
          <w:color w:val="000000" w:themeColor="text1"/>
          <w:highlight w:val="none"/>
        </w:rPr>
        <w:t>7</w:t>
      </w:r>
      <w:r>
        <w:rPr>
          <w:rFonts w:hint="eastAsia" w:hAnsi="宋体"/>
          <w:color w:val="000000" w:themeColor="text1"/>
          <w:highlight w:val="none"/>
        </w:rPr>
        <w:t xml:space="preserve"> 代理机构对谈判过程和重要谈判内容进行记录。</w:t>
      </w:r>
    </w:p>
    <w:p>
      <w:pPr>
        <w:pStyle w:val="24"/>
        <w:adjustRightInd w:val="0"/>
        <w:snapToGrid w:val="0"/>
        <w:spacing w:line="360" w:lineRule="auto"/>
        <w:ind w:left="420" w:hanging="420" w:hangingChars="200"/>
        <w:rPr>
          <w:rFonts w:hAnsi="宋体" w:cs="Times New Roman"/>
          <w:color w:val="000000" w:themeColor="text1"/>
          <w:highlight w:val="none"/>
        </w:rPr>
      </w:pPr>
    </w:p>
    <w:p>
      <w:pPr>
        <w:pStyle w:val="24"/>
        <w:adjustRightInd w:val="0"/>
        <w:snapToGrid w:val="0"/>
        <w:spacing w:line="360" w:lineRule="auto"/>
        <w:outlineLvl w:val="1"/>
        <w:rPr>
          <w:rFonts w:hAnsi="宋体" w:cs="Times New Roman"/>
          <w:b/>
          <w:color w:val="000000" w:themeColor="text1"/>
          <w:highlight w:val="none"/>
        </w:rPr>
      </w:pPr>
      <w:bookmarkStart w:id="87" w:name="_Toc459971454"/>
      <w:bookmarkStart w:id="88" w:name="_Toc18615"/>
      <w:r>
        <w:rPr>
          <w:rFonts w:hint="eastAsia" w:hAnsi="宋体" w:cs="Times New Roman"/>
          <w:b/>
          <w:color w:val="000000" w:themeColor="text1"/>
          <w:highlight w:val="none"/>
        </w:rPr>
        <w:t>八、确定成交供应商办法</w:t>
      </w:r>
      <w:bookmarkEnd w:id="87"/>
      <w:bookmarkEnd w:id="88"/>
    </w:p>
    <w:p>
      <w:pPr>
        <w:pStyle w:val="24"/>
        <w:adjustRightInd w:val="0"/>
        <w:snapToGrid w:val="0"/>
        <w:spacing w:line="360" w:lineRule="auto"/>
        <w:ind w:left="420" w:hanging="420" w:hangingChars="200"/>
        <w:rPr>
          <w:rFonts w:hAnsi="宋体" w:cs="Times New Roman"/>
          <w:color w:val="000000" w:themeColor="text1"/>
          <w:highlight w:val="none"/>
        </w:rPr>
      </w:pPr>
      <w:r>
        <w:rPr>
          <w:rFonts w:hint="eastAsia" w:hAnsi="宋体" w:cs="Times New Roman"/>
          <w:color w:val="000000" w:themeColor="text1"/>
          <w:highlight w:val="none"/>
        </w:rPr>
        <w:t>19.确定成交供应商</w:t>
      </w:r>
    </w:p>
    <w:p>
      <w:pPr>
        <w:pStyle w:val="24"/>
        <w:adjustRightInd w:val="0"/>
        <w:snapToGrid w:val="0"/>
        <w:spacing w:line="360" w:lineRule="auto"/>
        <w:ind w:left="420" w:hanging="420" w:hangingChars="200"/>
        <w:rPr>
          <w:rFonts w:hAnsi="宋体" w:cs="Times New Roman"/>
          <w:color w:val="000000" w:themeColor="text1"/>
          <w:highlight w:val="none"/>
        </w:rPr>
      </w:pPr>
      <w:r>
        <w:rPr>
          <w:rFonts w:hint="eastAsia" w:hAnsi="宋体" w:cs="Times New Roman"/>
          <w:color w:val="000000" w:themeColor="text1"/>
          <w:highlight w:val="none"/>
        </w:rPr>
        <w:t>19.1根据符合采购需求、质量和服务且报价最低的原则确定成交供应商。</w:t>
      </w:r>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szCs w:val="21"/>
          <w:highlight w:val="none"/>
        </w:rPr>
        <w:t xml:space="preserve">19.2 </w:t>
      </w:r>
      <w:r>
        <w:rPr>
          <w:rFonts w:hint="eastAsia" w:ascii="宋体" w:hAnsi="宋体"/>
          <w:color w:val="000000" w:themeColor="text1"/>
          <w:kern w:val="0"/>
          <w:szCs w:val="21"/>
          <w:highlight w:val="none"/>
        </w:rPr>
        <w:t>成交供应商确定后，采购代理机构在信息发布媒体上发布成交公告，向成交人发出《成交通知书》，《成交通知书》对成交人和采购人具有同等法律效力。</w:t>
      </w:r>
    </w:p>
    <w:p>
      <w:pPr>
        <w:pStyle w:val="24"/>
        <w:adjustRightInd w:val="0"/>
        <w:snapToGrid w:val="0"/>
        <w:spacing w:line="360" w:lineRule="auto"/>
        <w:ind w:left="420" w:hanging="420" w:hangingChars="200"/>
        <w:rPr>
          <w:rFonts w:hAnsi="宋体" w:cs="Times New Roman"/>
          <w:color w:val="000000" w:themeColor="text1"/>
          <w:highlight w:val="none"/>
        </w:rPr>
      </w:pPr>
      <w:r>
        <w:rPr>
          <w:rFonts w:hint="eastAsia" w:hAnsi="宋体" w:cs="Times New Roman"/>
          <w:color w:val="000000" w:themeColor="text1"/>
          <w:highlight w:val="none"/>
        </w:rPr>
        <w:t xml:space="preserve">20. </w:t>
      </w:r>
      <w:r>
        <w:rPr>
          <w:rFonts w:hint="eastAsia" w:hAnsi="宋体"/>
          <w:color w:val="000000" w:themeColor="text1"/>
          <w:kern w:val="0"/>
          <w:highlight w:val="none"/>
        </w:rPr>
        <w:t>成交供应商放弃成交、不按要求与采购人签订政府采购合同、因不可抗拒力或自身原因不能履行政府采购合同的，经本项目</w:t>
      </w:r>
      <w:r>
        <w:rPr>
          <w:rFonts w:hint="eastAsia" w:hAnsi="宋体" w:cs="Times New Roman"/>
          <w:color w:val="000000" w:themeColor="text1"/>
          <w:highlight w:val="none"/>
        </w:rPr>
        <w:t>监管部门批准后，</w:t>
      </w:r>
      <w:r>
        <w:rPr>
          <w:rFonts w:hint="eastAsia" w:hAnsi="宋体"/>
          <w:color w:val="000000" w:themeColor="text1"/>
          <w:kern w:val="0"/>
          <w:highlight w:val="none"/>
        </w:rPr>
        <w:t>采购人重新进行组织采购。</w:t>
      </w:r>
    </w:p>
    <w:p>
      <w:pPr>
        <w:tabs>
          <w:tab w:val="left" w:pos="0"/>
        </w:tabs>
        <w:adjustRightInd w:val="0"/>
        <w:snapToGrid w:val="0"/>
        <w:spacing w:line="360" w:lineRule="auto"/>
        <w:ind w:left="540" w:hanging="539" w:hangingChars="257"/>
        <w:rPr>
          <w:rFonts w:ascii="宋体" w:hAnsi="宋体"/>
          <w:color w:val="000000" w:themeColor="text1"/>
          <w:kern w:val="0"/>
          <w:szCs w:val="21"/>
          <w:highlight w:val="none"/>
        </w:rPr>
      </w:pPr>
      <w:r>
        <w:rPr>
          <w:rFonts w:hint="eastAsia" w:ascii="宋体" w:hAnsi="宋体"/>
          <w:color w:val="000000" w:themeColor="text1"/>
          <w:kern w:val="0"/>
          <w:szCs w:val="21"/>
          <w:highlight w:val="none"/>
        </w:rPr>
        <w:t>21. 项目响应无效处理</w:t>
      </w:r>
    </w:p>
    <w:p>
      <w:pPr>
        <w:spacing w:line="360" w:lineRule="auto"/>
        <w:rPr>
          <w:rFonts w:ascii="宋体" w:hAnsi="宋体"/>
          <w:color w:val="000000" w:themeColor="text1"/>
          <w:kern w:val="0"/>
          <w:szCs w:val="21"/>
          <w:highlight w:val="none"/>
        </w:rPr>
      </w:pPr>
      <w:r>
        <w:rPr>
          <w:rFonts w:hint="eastAsia" w:ascii="宋体" w:hAnsi="宋体"/>
          <w:color w:val="000000" w:themeColor="text1"/>
          <w:kern w:val="0"/>
          <w:szCs w:val="21"/>
          <w:highlight w:val="none"/>
        </w:rPr>
        <w:t>21.1 根据《政府采购法》第三十六条规定，下列情况出现将被确定为响应无效：</w:t>
      </w:r>
    </w:p>
    <w:p>
      <w:pPr>
        <w:tabs>
          <w:tab w:val="left" w:pos="540"/>
        </w:tabs>
        <w:spacing w:line="36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(1) 出现影响采购公正的违法、违规行为的； </w:t>
      </w:r>
    </w:p>
    <w:p>
      <w:pPr>
        <w:tabs>
          <w:tab w:val="left" w:pos="540"/>
        </w:tabs>
        <w:spacing w:line="36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(2) 响应供应商的报价均超过了采购预算，采购人不能支付的；</w:t>
      </w:r>
    </w:p>
    <w:p>
      <w:pPr>
        <w:tabs>
          <w:tab w:val="left" w:pos="540"/>
        </w:tabs>
        <w:spacing w:line="36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(3) 因重大变故，采购任务取消的。</w:t>
      </w:r>
    </w:p>
    <w:p>
      <w:pPr>
        <w:autoSpaceDE w:val="0"/>
        <w:autoSpaceDN w:val="0"/>
        <w:adjustRightInd w:val="0"/>
        <w:snapToGrid w:val="0"/>
        <w:spacing w:line="360" w:lineRule="auto"/>
        <w:ind w:left="473" w:right="32" w:hanging="472" w:hangingChars="225"/>
        <w:rPr>
          <w:rFonts w:ascii="宋体" w:hAnsi="宋体"/>
          <w:color w:val="000000" w:themeColor="text1"/>
          <w:szCs w:val="21"/>
          <w:highlight w:val="none"/>
        </w:rPr>
      </w:pPr>
    </w:p>
    <w:p>
      <w:pPr>
        <w:pStyle w:val="24"/>
        <w:adjustRightInd w:val="0"/>
        <w:snapToGrid w:val="0"/>
        <w:spacing w:line="360" w:lineRule="auto"/>
        <w:outlineLvl w:val="1"/>
        <w:rPr>
          <w:rFonts w:hAnsi="宋体" w:cs="Times New Roman"/>
          <w:b/>
          <w:color w:val="000000" w:themeColor="text1"/>
          <w:highlight w:val="none"/>
        </w:rPr>
      </w:pPr>
      <w:bookmarkStart w:id="89" w:name="_Toc459971455"/>
      <w:bookmarkStart w:id="90" w:name="_Toc20828"/>
      <w:r>
        <w:rPr>
          <w:rFonts w:hint="eastAsia" w:hAnsi="宋体" w:cs="Times New Roman"/>
          <w:b/>
          <w:color w:val="000000" w:themeColor="text1"/>
          <w:highlight w:val="none"/>
        </w:rPr>
        <w:t>九、质疑</w:t>
      </w:r>
      <w:bookmarkEnd w:id="89"/>
      <w:bookmarkEnd w:id="90"/>
    </w:p>
    <w:p>
      <w:pPr>
        <w:autoSpaceDE w:val="0"/>
        <w:autoSpaceDN w:val="0"/>
        <w:adjustRightInd w:val="0"/>
        <w:snapToGrid w:val="0"/>
        <w:spacing w:line="360" w:lineRule="auto"/>
        <w:ind w:left="473" w:right="32" w:hanging="472" w:hangingChars="225"/>
        <w:rPr>
          <w:rFonts w:ascii="宋体" w:hAnsi="宋体"/>
          <w:color w:val="000000" w:themeColor="text1"/>
          <w:szCs w:val="21"/>
          <w:highlight w:val="none"/>
        </w:rPr>
      </w:pPr>
      <w:r>
        <w:rPr>
          <w:rFonts w:hint="eastAsia" w:ascii="宋体" w:hAnsi="宋体"/>
          <w:color w:val="000000" w:themeColor="text1"/>
          <w:szCs w:val="21"/>
          <w:highlight w:val="none"/>
        </w:rPr>
        <w:t>22. 如果响应供应商对此次采购活动有疑问，可依法向采购代理机构提出质疑。采购代理机构应当依法给与答复，并将结果告知有关当事人。</w:t>
      </w:r>
    </w:p>
    <w:p>
      <w:pPr>
        <w:autoSpaceDE w:val="0"/>
        <w:autoSpaceDN w:val="0"/>
        <w:adjustRightInd w:val="0"/>
        <w:snapToGrid w:val="0"/>
        <w:spacing w:line="360" w:lineRule="auto"/>
        <w:ind w:left="473" w:right="32" w:hanging="472" w:hangingChars="225"/>
        <w:rPr>
          <w:rFonts w:ascii="宋体" w:hAnsi="宋体"/>
          <w:color w:val="000000" w:themeColor="text1"/>
          <w:kern w:val="0"/>
          <w:szCs w:val="21"/>
          <w:highlight w:val="none"/>
        </w:rPr>
      </w:pPr>
    </w:p>
    <w:p>
      <w:pPr>
        <w:pStyle w:val="24"/>
        <w:adjustRightInd w:val="0"/>
        <w:snapToGrid w:val="0"/>
        <w:spacing w:line="360" w:lineRule="auto"/>
        <w:outlineLvl w:val="1"/>
        <w:rPr>
          <w:rFonts w:hAnsi="宋体" w:cs="Times New Roman"/>
          <w:b/>
          <w:color w:val="000000" w:themeColor="text1"/>
          <w:highlight w:val="none"/>
        </w:rPr>
      </w:pPr>
      <w:bookmarkStart w:id="91" w:name="_Toc459971456"/>
      <w:bookmarkStart w:id="92" w:name="_Toc322033397"/>
      <w:bookmarkStart w:id="93" w:name="_Toc8917"/>
      <w:bookmarkStart w:id="94" w:name="_Toc345675374"/>
      <w:r>
        <w:rPr>
          <w:rFonts w:hint="eastAsia" w:hAnsi="宋体" w:cs="Times New Roman"/>
          <w:b/>
          <w:color w:val="000000" w:themeColor="text1"/>
          <w:highlight w:val="none"/>
        </w:rPr>
        <w:t>十、成交服务费</w:t>
      </w:r>
      <w:bookmarkEnd w:id="91"/>
      <w:bookmarkEnd w:id="92"/>
      <w:bookmarkEnd w:id="93"/>
      <w:bookmarkEnd w:id="94"/>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23. 成交服务费</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23.1成交供应商应在领取《成交通知书》原件时，以银行汇票、电汇、支票或现金方式，向采购代理机构一次性支付成交服务费。采购代理机构收款人、开户行及帐号在支付申请中告知。</w:t>
      </w:r>
    </w:p>
    <w:p>
      <w:pPr>
        <w:spacing w:line="360" w:lineRule="auto"/>
        <w:ind w:left="720" w:hanging="720"/>
        <w:rPr>
          <w:rFonts w:ascii="宋体" w:hAnsi="宋体"/>
          <w:color w:val="000000" w:themeColor="text1"/>
          <w:szCs w:val="21"/>
          <w:highlight w:val="none"/>
        </w:rPr>
      </w:pPr>
      <w:r>
        <w:rPr>
          <w:rFonts w:hint="eastAsia" w:ascii="宋体" w:hAnsi="宋体"/>
          <w:color w:val="000000" w:themeColor="text1"/>
          <w:szCs w:val="21"/>
          <w:highlight w:val="none"/>
        </w:rPr>
        <w:t>23.2 成交服务费币种与成交通知书中成交价的币种相同。</w:t>
      </w:r>
    </w:p>
    <w:p>
      <w:pPr>
        <w:spacing w:line="360" w:lineRule="auto"/>
        <w:ind w:left="720" w:hanging="720"/>
        <w:rPr>
          <w:rFonts w:ascii="宋体" w:hAnsi="宋体"/>
          <w:color w:val="000000" w:themeColor="text1"/>
          <w:szCs w:val="21"/>
          <w:highlight w:val="none"/>
        </w:rPr>
      </w:pPr>
      <w:r>
        <w:rPr>
          <w:rFonts w:hint="eastAsia" w:ascii="宋体" w:hAnsi="宋体"/>
          <w:color w:val="000000" w:themeColor="text1"/>
          <w:szCs w:val="21"/>
          <w:highlight w:val="none"/>
        </w:rPr>
        <w:t>23.3 成交服务费不列在投标报价中。</w:t>
      </w:r>
    </w:p>
    <w:p>
      <w:pPr>
        <w:spacing w:line="360" w:lineRule="auto"/>
        <w:ind w:left="720" w:hanging="720"/>
        <w:rPr>
          <w:rFonts w:ascii="宋体" w:hAnsi="宋体"/>
          <w:color w:val="000000" w:themeColor="text1"/>
          <w:szCs w:val="21"/>
          <w:highlight w:val="none"/>
        </w:rPr>
      </w:pPr>
      <w:bookmarkStart w:id="95" w:name="_Toc458508246"/>
      <w:bookmarkStart w:id="96" w:name="_Toc459971457"/>
      <w:bookmarkStart w:id="97" w:name="_Toc458155012"/>
      <w:r>
        <w:rPr>
          <w:rFonts w:hint="eastAsia" w:ascii="宋体" w:hAnsi="宋体"/>
          <w:color w:val="000000" w:themeColor="text1"/>
          <w:szCs w:val="21"/>
          <w:highlight w:val="none"/>
        </w:rPr>
        <w:t>23.4成交服务费</w:t>
      </w:r>
      <w:bookmarkEnd w:id="95"/>
      <w:bookmarkEnd w:id="96"/>
      <w:bookmarkEnd w:id="97"/>
      <w:r>
        <w:rPr>
          <w:rFonts w:hint="eastAsia" w:ascii="宋体" w:hAnsi="宋体"/>
          <w:color w:val="000000" w:themeColor="text1"/>
          <w:szCs w:val="21"/>
          <w:highlight w:val="none"/>
        </w:rPr>
        <w:t>由采购人支付。</w:t>
      </w:r>
    </w:p>
    <w:p>
      <w:pPr>
        <w:pStyle w:val="24"/>
        <w:adjustRightInd w:val="0"/>
        <w:snapToGrid w:val="0"/>
        <w:spacing w:line="360" w:lineRule="auto"/>
        <w:outlineLvl w:val="1"/>
        <w:rPr>
          <w:rFonts w:hint="eastAsia" w:hAnsi="宋体" w:cs="Times New Roman"/>
          <w:b/>
          <w:color w:val="000000" w:themeColor="text1"/>
          <w:highlight w:val="none"/>
        </w:rPr>
      </w:pPr>
      <w:bookmarkStart w:id="98" w:name="_Toc459971458"/>
      <w:bookmarkStart w:id="99" w:name="_Toc536594109"/>
    </w:p>
    <w:p>
      <w:pPr>
        <w:pStyle w:val="24"/>
        <w:adjustRightInd w:val="0"/>
        <w:snapToGrid w:val="0"/>
        <w:spacing w:line="360" w:lineRule="auto"/>
        <w:outlineLvl w:val="1"/>
        <w:rPr>
          <w:rFonts w:hAnsi="宋体" w:cs="Times New Roman"/>
          <w:b/>
          <w:color w:val="000000" w:themeColor="text1"/>
          <w:highlight w:val="none"/>
        </w:rPr>
      </w:pPr>
      <w:bookmarkStart w:id="100" w:name="_Toc27872"/>
      <w:r>
        <w:rPr>
          <w:rFonts w:hint="eastAsia" w:hAnsi="宋体" w:cs="Times New Roman"/>
          <w:b/>
          <w:color w:val="000000" w:themeColor="text1"/>
          <w:highlight w:val="none"/>
        </w:rPr>
        <w:t>十一、合同的订立和履行</w:t>
      </w:r>
      <w:bookmarkEnd w:id="98"/>
      <w:bookmarkEnd w:id="100"/>
    </w:p>
    <w:bookmarkEnd w:id="99"/>
    <w:p>
      <w:pPr>
        <w:spacing w:line="36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24.合同的订立</w:t>
      </w:r>
    </w:p>
    <w:p>
      <w:pPr>
        <w:spacing w:line="36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24.1 采购人与成交响应供应商自成交通知书发出之日起三十日内，按谈判文件要求和成交供应商单一来源谈判响应文件承诺签订政府采购合同，但不得超出谈判文件和成交供应商单一来源谈判响应文件的范围、也不得再行订立背离合同实质性内容的其他协议。</w:t>
      </w:r>
    </w:p>
    <w:p>
      <w:pPr>
        <w:spacing w:line="36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24.2 签订政府采购合同后7个工作日内，采购人应将政府采购合同副本报同级政府采购监督管理部门备案。</w:t>
      </w:r>
    </w:p>
    <w:p>
      <w:pPr>
        <w:spacing w:line="36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24.3履约保证金</w:t>
      </w:r>
      <w:r>
        <w:rPr>
          <w:rFonts w:hint="eastAsia" w:ascii="宋体" w:hAnsi="宋体"/>
          <w:b/>
          <w:snapToGrid w:val="0"/>
          <w:color w:val="000000" w:themeColor="text1"/>
          <w:kern w:val="0"/>
          <w:szCs w:val="21"/>
          <w:highlight w:val="none"/>
        </w:rPr>
        <w:t>(如有)</w:t>
      </w:r>
    </w:p>
    <w:p>
      <w:pPr>
        <w:spacing w:line="36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24.3.1成交供应商应在签署合同后10天内提交履约保证金，履约保证金金额应按《谈判须知前附表》中规定的金额。提交方式可按照下述方式提交：</w:t>
      </w:r>
    </w:p>
    <w:p>
      <w:pPr>
        <w:tabs>
          <w:tab w:val="left" w:pos="540"/>
        </w:tabs>
        <w:spacing w:line="360" w:lineRule="auto"/>
        <w:ind w:left="420" w:leftChars="200"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(1)履约保证金采用电汇、转帐方式提交( 注明成交通知书编号)。成交供应商必须保证资金在签订合同后的十个日历日内到帐,以银行收到为准）。保证金汇入采购人指定的履约保证金专用账户，待项目验收合格及结算完毕后28日内，采购人将把履约保证金无息退还成交供应商。</w:t>
      </w:r>
    </w:p>
    <w:p>
      <w:pPr>
        <w:tabs>
          <w:tab w:val="left" w:pos="540"/>
        </w:tabs>
        <w:spacing w:line="360" w:lineRule="auto"/>
        <w:ind w:left="420" w:leftChars="200"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(2)采用履约保函方式：应按照合同条款的规定，向采购人提交由银行支行及以上机构出具的履约保函。保函格式如与谈判文件格式不相符则要事先征求采购人书面同意才视为有效。履约保函的有效期为自生效日期起至该项目验收合格及结算完毕后28日内有效。若项目未能按期完工，保函必须延期，延期银行费用由成交供应商负责。如果成交供应商提供的履约保函的有效期先于谈判文件要求的履约保函有效期到达，成交供应商应在原提交的履约保函有效期满前15天内，无条件办理履约保函延期手续，否则视为成交供应商违约，采购人可在履约保函到期前将履约保函金额转为现金存入履约保证金账户。</w:t>
      </w:r>
    </w:p>
    <w:p>
      <w:pPr>
        <w:tabs>
          <w:tab w:val="left" w:pos="540"/>
        </w:tabs>
        <w:spacing w:line="36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(3)采购人认可的其它方式。</w:t>
      </w:r>
    </w:p>
    <w:p>
      <w:pPr>
        <w:spacing w:line="36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24.3.2  如果成交供应商不按照谈判文件或合同条款规定提交履约保证金，招标采购单位将有充分理由取消该成交决定，并没收其谈判保证金。采购人可以与排位在成交供应商之后第一位的成交候选人签订政府采购合同，以此类推，或者重新进行组织采购。</w:t>
      </w:r>
    </w:p>
    <w:p>
      <w:pPr>
        <w:spacing w:line="36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25. 合同的履行</w:t>
      </w:r>
    </w:p>
    <w:p>
      <w:pPr>
        <w:spacing w:line="36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25.1 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spacing w:line="36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25.2 政府采购合同履行中，采购人需追加与合同标的相同的货物、工程或者服务的，在不改变合同其他条款的前提下，可以与响应供应商签订补充合同，但所补充合同的采购金额不得超过原采购金额的百分之十。签订补充合同的必须报同级政府采购监督管理部门备案。</w:t>
      </w:r>
    </w:p>
    <w:p>
      <w:pPr>
        <w:spacing w:line="36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26.  发票</w:t>
      </w:r>
    </w:p>
    <w:p>
      <w:pPr>
        <w:spacing w:line="36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26.1 该项目获得成交的成交供应商在执行合同过程中，向采购人出具的发票必须是由成交供应商开具，不得以其他单位或个人名义出具。</w:t>
      </w:r>
    </w:p>
    <w:p>
      <w:pPr>
        <w:spacing w:line="360" w:lineRule="auto"/>
        <w:ind w:left="630" w:hanging="630" w:hangingChars="300"/>
        <w:rPr>
          <w:rFonts w:ascii="宋体" w:hAnsi="宋体"/>
          <w:color w:val="000000" w:themeColor="text1"/>
          <w:szCs w:val="21"/>
          <w:highlight w:val="none"/>
        </w:rPr>
      </w:pPr>
    </w:p>
    <w:p>
      <w:pPr>
        <w:pStyle w:val="24"/>
        <w:adjustRightInd w:val="0"/>
        <w:snapToGrid w:val="0"/>
        <w:spacing w:line="360" w:lineRule="auto"/>
        <w:outlineLvl w:val="1"/>
        <w:rPr>
          <w:rFonts w:hAnsi="宋体" w:cs="Times New Roman"/>
          <w:b/>
          <w:color w:val="000000" w:themeColor="text1"/>
          <w:highlight w:val="none"/>
        </w:rPr>
      </w:pPr>
      <w:bookmarkStart w:id="101" w:name="_Toc345675376"/>
      <w:bookmarkStart w:id="102" w:name="_Toc322033399"/>
      <w:bookmarkStart w:id="103" w:name="_Toc459971459"/>
      <w:bookmarkStart w:id="104" w:name="_Toc4427"/>
      <w:r>
        <w:rPr>
          <w:rFonts w:hint="eastAsia" w:hAnsi="宋体" w:cs="Times New Roman"/>
          <w:b/>
          <w:color w:val="000000" w:themeColor="text1"/>
          <w:highlight w:val="none"/>
        </w:rPr>
        <w:t>十二、适用法律</w:t>
      </w:r>
      <w:bookmarkEnd w:id="101"/>
      <w:bookmarkEnd w:id="102"/>
      <w:bookmarkEnd w:id="103"/>
      <w:bookmarkEnd w:id="104"/>
    </w:p>
    <w:p>
      <w:pPr>
        <w:spacing w:line="36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27. 采购人及响应供应商的一切招标投标活动均适用《中华人民共和国政府采购法》及其配套的法规、规章、政策。工程类项目适用《中华人民共和国招标投标法》及其配套的法规、规章、政策。</w:t>
      </w:r>
    </w:p>
    <w:p>
      <w:pPr>
        <w:spacing w:line="300" w:lineRule="auto"/>
        <w:ind w:left="630" w:hanging="630" w:hangingChars="300"/>
        <w:rPr>
          <w:rFonts w:ascii="宋体" w:hAnsi="宋体"/>
          <w:color w:val="000000" w:themeColor="text1"/>
          <w:szCs w:val="21"/>
          <w:highlight w:val="none"/>
        </w:rPr>
      </w:pPr>
      <w:r>
        <w:rPr>
          <w:rFonts w:ascii="宋体" w:hAnsi="宋体"/>
          <w:color w:val="000000" w:themeColor="text1"/>
          <w:szCs w:val="21"/>
          <w:highlight w:val="none"/>
        </w:rPr>
        <w:br w:type="page"/>
      </w:r>
    </w:p>
    <w:p>
      <w:pPr>
        <w:pStyle w:val="4"/>
        <w:numPr>
          <w:ilvl w:val="0"/>
          <w:numId w:val="0"/>
        </w:numPr>
        <w:jc w:val="center"/>
        <w:rPr>
          <w:rFonts w:ascii="宋体" w:hAnsi="宋体"/>
          <w:color w:val="000000" w:themeColor="text1"/>
          <w:sz w:val="21"/>
          <w:szCs w:val="21"/>
          <w:highlight w:val="none"/>
        </w:rPr>
      </w:pPr>
      <w:bookmarkStart w:id="105" w:name="_Toc333238642"/>
      <w:bookmarkStart w:id="106" w:name="_Toc332270355"/>
      <w:bookmarkStart w:id="107" w:name="_Toc333237797"/>
      <w:bookmarkStart w:id="108" w:name="_Toc339019898"/>
      <w:bookmarkStart w:id="109" w:name="_Toc330459994"/>
      <w:bookmarkStart w:id="110" w:name="_Toc331512907"/>
      <w:bookmarkStart w:id="111" w:name="_Toc340507451"/>
      <w:bookmarkStart w:id="112" w:name="_Toc336681944"/>
      <w:bookmarkStart w:id="113" w:name="_Toc365967081"/>
      <w:bookmarkStart w:id="114" w:name="_Toc349127635"/>
      <w:bookmarkStart w:id="115" w:name="_Toc339020024"/>
      <w:bookmarkStart w:id="116" w:name="_Toc340677079"/>
      <w:bookmarkStart w:id="117" w:name="_Toc374454610"/>
      <w:bookmarkStart w:id="118" w:name="_Toc365985187"/>
      <w:bookmarkStart w:id="119" w:name="_Toc332206717"/>
      <w:bookmarkStart w:id="120" w:name="_Toc342060383"/>
      <w:bookmarkStart w:id="121" w:name="_Toc333935696"/>
      <w:bookmarkStart w:id="122" w:name="_Toc339441096"/>
      <w:bookmarkStart w:id="123" w:name="_Toc339020104"/>
      <w:bookmarkStart w:id="124" w:name="_Toc333935355"/>
      <w:bookmarkStart w:id="125" w:name="_Toc350438758"/>
      <w:bookmarkStart w:id="126" w:name="_Toc340672878"/>
      <w:bookmarkStart w:id="127" w:name="_Toc339362309"/>
      <w:bookmarkStart w:id="128" w:name="_Toc336681589"/>
      <w:bookmarkStart w:id="129" w:name="_Toc339020242"/>
      <w:bookmarkStart w:id="130" w:name="_Toc337632367"/>
      <w:bookmarkStart w:id="131" w:name="_Toc342296769"/>
      <w:bookmarkStart w:id="132" w:name="_Toc349143598"/>
      <w:bookmarkStart w:id="133" w:name="_Toc331684047"/>
      <w:bookmarkStart w:id="134" w:name="_Toc341348347"/>
      <w:bookmarkStart w:id="135" w:name="_Toc333237686"/>
      <w:bookmarkStart w:id="136" w:name="_Toc366072538"/>
      <w:bookmarkStart w:id="137" w:name="_Toc350756459"/>
      <w:bookmarkStart w:id="138" w:name="_Toc345513910"/>
      <w:bookmarkStart w:id="139" w:name="_Toc2696"/>
      <w:bookmarkStart w:id="140" w:name="_Toc8853"/>
      <w:bookmarkStart w:id="141" w:name="_Toc459971462"/>
      <w:r>
        <w:rPr>
          <w:rFonts w:hint="eastAsia" w:ascii="宋体" w:hAnsi="宋体"/>
          <w:color w:val="000000" w:themeColor="text1"/>
          <w:sz w:val="21"/>
          <w:szCs w:val="21"/>
          <w:highlight w:val="none"/>
        </w:rPr>
        <w:t xml:space="preserve">第四部分  </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Start w:id="142" w:name="_Hlt97188170"/>
      <w:bookmarkEnd w:id="142"/>
      <w:r>
        <w:rPr>
          <w:rFonts w:hint="eastAsia" w:ascii="宋体" w:hAnsi="宋体"/>
          <w:color w:val="000000" w:themeColor="text1"/>
          <w:sz w:val="21"/>
          <w:szCs w:val="21"/>
          <w:highlight w:val="none"/>
        </w:rPr>
        <w:t>采购项目合同（参考范本）</w:t>
      </w:r>
      <w:bookmarkEnd w:id="139"/>
      <w:bookmarkEnd w:id="140"/>
    </w:p>
    <w:p>
      <w:pPr>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甲方（采购人）：</w:t>
      </w:r>
    </w:p>
    <w:p>
      <w:pPr>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乙方（成交供应商）：</w:t>
      </w:r>
    </w:p>
    <w:p>
      <w:pPr>
        <w:bidi w:val="0"/>
        <w:rPr>
          <w:color w:val="000000" w:themeColor="text1"/>
          <w:highlight w:val="none"/>
        </w:rPr>
      </w:pPr>
      <w:r>
        <w:rPr>
          <w:color w:val="000000" w:themeColor="text1"/>
          <w:highlight w:val="none"/>
        </w:rPr>
        <w:tab/>
      </w:r>
    </w:p>
    <w:p>
      <w:pPr>
        <w:spacing w:line="480" w:lineRule="auto"/>
        <w:rPr>
          <w:rFonts w:ascii="宋体" w:hAnsi="宋体"/>
          <w:bCs/>
          <w:color w:val="000000" w:themeColor="text1"/>
          <w:highlight w:val="none"/>
        </w:rPr>
      </w:pPr>
      <w:r>
        <w:rPr>
          <w:rFonts w:hint="eastAsia" w:ascii="宋体" w:hAnsi="宋体"/>
          <w:bCs/>
          <w:color w:val="000000" w:themeColor="text1"/>
          <w:szCs w:val="21"/>
          <w:highlight w:val="none"/>
        </w:rPr>
        <w:t xml:space="preserve">    甲乙双方根据</w:t>
      </w:r>
      <w:r>
        <w:rPr>
          <w:rFonts w:ascii="宋体" w:hAnsi="宋体"/>
          <w:bCs/>
          <w:color w:val="000000" w:themeColor="text1"/>
          <w:szCs w:val="21"/>
          <w:highlight w:val="none"/>
        </w:rPr>
        <w:t>年月日</w:t>
      </w:r>
      <w:r>
        <w:rPr>
          <w:rFonts w:hint="eastAsia" w:ascii="宋体" w:hAnsi="宋体" w:cs="宋体"/>
          <w:color w:val="000000" w:themeColor="text1"/>
          <w:szCs w:val="21"/>
          <w:highlight w:val="none"/>
          <w:u w:val="single"/>
        </w:rPr>
        <w:t xml:space="preserve">  采购项目名称  </w:t>
      </w:r>
      <w:r>
        <w:rPr>
          <w:rFonts w:hint="eastAsia" w:ascii="宋体" w:hAnsi="宋体"/>
          <w:bCs/>
          <w:color w:val="000000" w:themeColor="text1"/>
          <w:szCs w:val="21"/>
          <w:highlight w:val="none"/>
        </w:rPr>
        <w:t>（项目编号:</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）招标结果和有关招、报价文件的要求，经双方协商一致，订立以下合同：</w:t>
      </w:r>
    </w:p>
    <w:p>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第一条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项目的名称、单价、总价，项目所包含服务的范围</w:t>
      </w:r>
    </w:p>
    <w:p>
      <w:pPr>
        <w:tabs>
          <w:tab w:val="left" w:pos="1004"/>
        </w:tabs>
        <w:spacing w:line="48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1. 项目名称：</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48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2. 服务范围：</w:t>
      </w:r>
      <w:r>
        <w:rPr>
          <w:rFonts w:hint="eastAsia" w:ascii="宋体" w:hAnsi="宋体"/>
          <w:bCs/>
          <w:color w:val="000000" w:themeColor="text1"/>
          <w:szCs w:val="21"/>
          <w:highlight w:val="none"/>
          <w:u w:val="single"/>
        </w:rPr>
        <w:t xml:space="preserve">（另附）                               </w:t>
      </w:r>
      <w:r>
        <w:rPr>
          <w:rFonts w:hint="eastAsia" w:ascii="宋体" w:hAnsi="宋体"/>
          <w:bCs/>
          <w:color w:val="000000" w:themeColor="text1"/>
          <w:szCs w:val="21"/>
          <w:highlight w:val="none"/>
        </w:rPr>
        <w:t>；</w:t>
      </w:r>
    </w:p>
    <w:p>
      <w:pPr>
        <w:tabs>
          <w:tab w:val="left" w:pos="1004"/>
        </w:tabs>
        <w:spacing w:line="480" w:lineRule="auto"/>
        <w:ind w:right="31" w:rightChars="15" w:firstLine="1003" w:firstLineChars="478"/>
        <w:rPr>
          <w:rFonts w:ascii="宋体" w:hAnsi="宋体"/>
          <w:bCs/>
          <w:color w:val="000000" w:themeColor="text1"/>
          <w:szCs w:val="21"/>
          <w:highlight w:val="none"/>
          <w:u w:val="single"/>
        </w:rPr>
      </w:pPr>
      <w:r>
        <w:rPr>
          <w:rFonts w:hint="eastAsia" w:ascii="宋体" w:hAnsi="宋体"/>
          <w:bCs/>
          <w:color w:val="000000" w:themeColor="text1"/>
          <w:szCs w:val="21"/>
          <w:highlight w:val="none"/>
        </w:rPr>
        <w:t>3. 项目总价：</w:t>
      </w:r>
      <w:r>
        <w:rPr>
          <w:rFonts w:hint="eastAsia" w:ascii="宋体" w:hAnsi="宋体"/>
          <w:bCs/>
          <w:color w:val="000000" w:themeColor="text1"/>
          <w:szCs w:val="21"/>
          <w:highlight w:val="none"/>
          <w:u w:val="single"/>
        </w:rPr>
        <w:t xml:space="preserve">（小写）                               </w:t>
      </w:r>
    </w:p>
    <w:p>
      <w:pPr>
        <w:tabs>
          <w:tab w:val="left" w:pos="1004"/>
        </w:tabs>
        <w:spacing w:line="480" w:lineRule="auto"/>
        <w:ind w:right="31" w:rightChars="15" w:firstLine="2261" w:firstLineChars="1077"/>
        <w:rPr>
          <w:rFonts w:ascii="宋体" w:hAnsi="宋体"/>
          <w:bCs/>
          <w:color w:val="000000" w:themeColor="text1"/>
          <w:szCs w:val="21"/>
          <w:highlight w:val="none"/>
          <w:u w:val="single"/>
        </w:rPr>
      </w:pPr>
      <w:r>
        <w:rPr>
          <w:rFonts w:hint="eastAsia" w:ascii="宋体" w:hAnsi="宋体"/>
          <w:bCs/>
          <w:color w:val="000000" w:themeColor="text1"/>
          <w:szCs w:val="21"/>
          <w:highlight w:val="none"/>
          <w:u w:val="single"/>
        </w:rPr>
        <w:t xml:space="preserve">（大写）                               </w:t>
      </w:r>
    </w:p>
    <w:p>
      <w:pPr>
        <w:tabs>
          <w:tab w:val="left" w:pos="1004"/>
        </w:tabs>
        <w:spacing w:line="48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甲方不再另付任何费用。项目总价为完成项目含税的全包价。</w:t>
      </w:r>
    </w:p>
    <w:p>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第二条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服务的质量要求、售后服务、培训费用及损害赔偿。</w:t>
      </w:r>
    </w:p>
    <w:p>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第三条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服务和验收</w:t>
      </w:r>
    </w:p>
    <w:p>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1.服务期：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2.服务地点：</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480" w:lineRule="auto"/>
        <w:ind w:left="1361" w:leftChars="428" w:right="31" w:rightChars="15" w:hanging="462" w:hangingChars="220"/>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3.验收时间：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480" w:lineRule="auto"/>
        <w:ind w:right="31" w:rightChars="15"/>
        <w:rPr>
          <w:rFonts w:ascii="宋体" w:hAnsi="宋体"/>
          <w:bCs/>
          <w:color w:val="000000" w:themeColor="text1"/>
          <w:szCs w:val="21"/>
          <w:highlight w:val="none"/>
          <w:u w:val="singl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4.服务验收方式：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spacing w:line="480" w:lineRule="auto"/>
        <w:ind w:right="31" w:rightChars="15" w:firstLine="1050" w:firstLineChars="500"/>
        <w:rPr>
          <w:rFonts w:ascii="宋体" w:hAnsi="宋体"/>
          <w:color w:val="000000" w:themeColor="text1"/>
          <w:szCs w:val="21"/>
          <w:highlight w:val="none"/>
        </w:rPr>
      </w:pPr>
      <w:r>
        <w:rPr>
          <w:rFonts w:hint="eastAsia" w:ascii="宋体" w:hAnsi="宋体"/>
          <w:color w:val="000000" w:themeColor="text1"/>
          <w:szCs w:val="21"/>
          <w:highlight w:val="none"/>
        </w:rPr>
        <w:t>5.验收标准：</w:t>
      </w:r>
    </w:p>
    <w:p>
      <w:pPr>
        <w:numPr>
          <w:ilvl w:val="6"/>
          <w:numId w:val="11"/>
        </w:numPr>
        <w:tabs>
          <w:tab w:val="left" w:pos="1680"/>
        </w:tabs>
        <w:spacing w:line="480" w:lineRule="auto"/>
        <w:ind w:left="1680" w:hanging="315"/>
        <w:rPr>
          <w:rFonts w:ascii="宋体" w:hAnsi="宋体"/>
          <w:bCs/>
          <w:color w:val="000000" w:themeColor="text1"/>
          <w:szCs w:val="21"/>
          <w:highlight w:val="none"/>
        </w:rPr>
      </w:pPr>
      <w:r>
        <w:rPr>
          <w:rFonts w:hint="eastAsia" w:ascii="宋体" w:hAnsi="宋体"/>
          <w:color w:val="000000" w:themeColor="text1"/>
          <w:szCs w:val="21"/>
          <w:highlight w:val="none"/>
        </w:rPr>
        <w:t>质量符合报价文件和报价文件的要求；</w:t>
      </w:r>
    </w:p>
    <w:p>
      <w:pPr>
        <w:numPr>
          <w:ilvl w:val="6"/>
          <w:numId w:val="11"/>
        </w:numPr>
        <w:tabs>
          <w:tab w:val="left" w:pos="1680"/>
          <w:tab w:val="clear" w:pos="4830"/>
        </w:tabs>
        <w:spacing w:line="480" w:lineRule="auto"/>
        <w:ind w:left="1680" w:right="31" w:rightChars="15" w:hanging="315"/>
        <w:rPr>
          <w:rFonts w:ascii="宋体" w:hAnsi="宋体"/>
          <w:bCs/>
          <w:color w:val="000000" w:themeColor="text1"/>
          <w:szCs w:val="21"/>
          <w:highlight w:val="none"/>
        </w:rPr>
      </w:pPr>
      <w:r>
        <w:rPr>
          <w:rFonts w:hint="eastAsia" w:ascii="宋体" w:hAnsi="宋体"/>
          <w:bCs/>
          <w:color w:val="000000" w:themeColor="text1"/>
          <w:szCs w:val="21"/>
          <w:highlight w:val="none"/>
        </w:rPr>
        <w:t>双方约定的其他验收标准。</w:t>
      </w:r>
      <w:r>
        <w:rPr>
          <w:rFonts w:hint="eastAsia" w:ascii="宋体" w:hAnsi="宋体"/>
          <w:bCs/>
          <w:color w:val="000000" w:themeColor="text1"/>
          <w:szCs w:val="21"/>
          <w:highlight w:val="none"/>
        </w:rPr>
        <w:tab/>
      </w:r>
    </w:p>
    <w:p>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第四条   价款的结算、付款时间</w:t>
      </w:r>
    </w:p>
    <w:p>
      <w:pPr>
        <w:numPr>
          <w:ilvl w:val="0"/>
          <w:numId w:val="12"/>
        </w:numPr>
        <w:tabs>
          <w:tab w:val="left" w:pos="945"/>
        </w:tabs>
        <w:adjustRightInd w:val="0"/>
        <w:snapToGrid w:val="0"/>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付款方式：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numPr>
          <w:ilvl w:val="0"/>
          <w:numId w:val="12"/>
        </w:numPr>
        <w:tabs>
          <w:tab w:val="left" w:pos="1155"/>
          <w:tab w:val="clear" w:pos="1203"/>
        </w:tabs>
        <w:adjustRightInd w:val="0"/>
        <w:snapToGrid w:val="0"/>
        <w:spacing w:line="480" w:lineRule="auto"/>
        <w:ind w:right="31" w:rightChars="15"/>
        <w:rPr>
          <w:rFonts w:ascii="宋体" w:hAnsi="宋体"/>
          <w:color w:val="000000" w:themeColor="text1"/>
          <w:szCs w:val="21"/>
          <w:highlight w:val="none"/>
        </w:rPr>
      </w:pPr>
      <w:r>
        <w:rPr>
          <w:rFonts w:hint="eastAsia" w:ascii="宋体" w:hAnsi="宋体"/>
          <w:bCs/>
          <w:color w:val="000000" w:themeColor="text1"/>
          <w:szCs w:val="21"/>
          <w:highlight w:val="none"/>
        </w:rPr>
        <w:t>付款时间：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945"/>
        </w:tabs>
        <w:adjustRightInd w:val="0"/>
        <w:snapToGrid w:val="0"/>
        <w:spacing w:line="480" w:lineRule="auto"/>
        <w:ind w:left="945" w:right="31" w:rightChars="15" w:hanging="945" w:hangingChars="450"/>
        <w:rPr>
          <w:rFonts w:ascii="宋体" w:hAnsi="宋体"/>
          <w:bCs/>
          <w:color w:val="000000" w:themeColor="text1"/>
          <w:szCs w:val="21"/>
          <w:highlight w:val="none"/>
        </w:rPr>
      </w:pPr>
      <w:r>
        <w:rPr>
          <w:rFonts w:hint="eastAsia" w:ascii="宋体" w:hAnsi="宋体"/>
          <w:bCs/>
          <w:color w:val="000000" w:themeColor="text1"/>
          <w:szCs w:val="21"/>
          <w:highlight w:val="none"/>
        </w:rPr>
        <w:t>第五条   对产品异议的时间和办法</w:t>
      </w:r>
    </w:p>
    <w:p>
      <w:pPr>
        <w:tabs>
          <w:tab w:val="left" w:pos="1255"/>
        </w:tabs>
        <w:spacing w:line="480" w:lineRule="auto"/>
        <w:ind w:left="1258" w:leftChars="429" w:right="31" w:rightChars="15"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甲方在验收中，如果发现乙方所提供的服务质量或相关服务不合规定的，在</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日内向乙方提出书面异议；甲方怠于通知乙方的，视为乙方所提供的服务合乎规定。</w:t>
      </w:r>
    </w:p>
    <w:p>
      <w:pPr>
        <w:tabs>
          <w:tab w:val="left" w:pos="1255"/>
        </w:tabs>
        <w:spacing w:line="480" w:lineRule="auto"/>
        <w:ind w:left="1258" w:leftChars="429" w:right="31" w:rightChars="15"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2. 乙方在接到甲方书面异议后，应在</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日历日内负责处理，否则，即视为默认甲方提出的异议和处理意见。</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第六条   乙方的违约责任</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1. 乙方所提供的服务质量、拟投入人员不符合合同规定的，由乙方负责按照原报价文件、更正公告内容和质疑答疑文件（若有）、报价文件、中标（成交）通知书等实质性内容重新免费提供该项目服务内容。</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2. 每推迟一天按总价的</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罚款。</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第七条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甲方的违约责任</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 甲方逾期付款的，每日应向乙方偿付合同总额的</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作为违约金。</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2. 甲方违反合同规定拒绝接货的，应当承担由此对乙方造成的损失。</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第八条    不可抗力</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1.不可抗力事故系指买卖双方在缔结合同时所不能预见的，并且它的发生及其后果是无法避免和无法克服的事故。受阻一方应在不可抗力事故发生后尽快用电报、传真或电话通知对方，并于事故发生后</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个工作日内将有关当局出具的证明文件用专人递交、特快专递或挂号信寄给对方审阅确认。</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2.签约双方任一方由于不可抗力事故的影响而不能执行合同时，经确认后，允许延期履行、部分履行或不履行合同，根据情况可部分或全部免予承担违约责任。</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第九条  争议的解决</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 因服务期间质量问题发生争议，由法律及有关规章规定的技术单位进行质量鉴定，双方无条件服从该鉴定的结论。</w:t>
      </w:r>
    </w:p>
    <w:p>
      <w:pPr>
        <w:tabs>
          <w:tab w:val="left" w:pos="1255"/>
        </w:tabs>
        <w:spacing w:line="480" w:lineRule="auto"/>
        <w:ind w:firstLine="420" w:firstLineChars="200"/>
        <w:rPr>
          <w:rFonts w:ascii="宋体" w:hAnsi="宋体"/>
          <w:color w:val="000000" w:themeColor="text1"/>
          <w:szCs w:val="21"/>
          <w:highlight w:val="none"/>
        </w:rPr>
      </w:pPr>
      <w:r>
        <w:rPr>
          <w:rFonts w:hint="eastAsia" w:ascii="宋体" w:hAnsi="宋体"/>
          <w:bCs/>
          <w:color w:val="000000" w:themeColor="text1"/>
          <w:szCs w:val="21"/>
          <w:highlight w:val="none"/>
        </w:rPr>
        <w:t xml:space="preserve">2. </w:t>
      </w:r>
      <w:r>
        <w:rPr>
          <w:rFonts w:hint="eastAsia" w:ascii="宋体" w:hAnsi="宋体"/>
          <w:color w:val="000000" w:themeColor="text1"/>
          <w:szCs w:val="21"/>
          <w:highlight w:val="none"/>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第十条  监督和管理</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 xml:space="preserve"> 本项目合同订立后，应提供至</w:t>
      </w:r>
      <w:r>
        <w:rPr>
          <w:rFonts w:hint="eastAsia" w:ascii="宋体" w:hAnsi="宋体"/>
          <w:bCs/>
          <w:color w:val="000000" w:themeColor="text1"/>
          <w:szCs w:val="21"/>
          <w:highlight w:val="none"/>
          <w:u w:val="single"/>
        </w:rPr>
        <w:t>广东业信采购招标有限公司、当地管理部门</w:t>
      </w:r>
      <w:r>
        <w:rPr>
          <w:rFonts w:hint="eastAsia" w:ascii="宋体" w:hAnsi="宋体"/>
          <w:bCs/>
          <w:color w:val="000000" w:themeColor="text1"/>
          <w:szCs w:val="21"/>
          <w:highlight w:val="none"/>
        </w:rPr>
        <w:t>备案；</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第十一条  无效合同</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甲乙双方如因违反国家法律、法规和有关政府采购规定，导致合同无效，责任由过错方承担。</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第十二条  附则   </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本合同一式</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份，甲乙双方各执</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份。</w:t>
      </w:r>
    </w:p>
    <w:p>
      <w:pPr>
        <w:spacing w:line="480" w:lineRule="auto"/>
        <w:ind w:left="752" w:leftChars="358" w:firstLine="420"/>
        <w:rPr>
          <w:rFonts w:ascii="宋体" w:hAnsi="宋体"/>
          <w:bCs/>
          <w:color w:val="000000" w:themeColor="text1"/>
          <w:szCs w:val="21"/>
          <w:highlight w:val="none"/>
        </w:rPr>
      </w:pPr>
    </w:p>
    <w:p>
      <w:pPr>
        <w:spacing w:line="480" w:lineRule="auto"/>
        <w:ind w:left="752" w:leftChars="358" w:firstLine="420"/>
        <w:rPr>
          <w:rFonts w:ascii="宋体" w:hAnsi="宋体"/>
          <w:bCs/>
          <w:color w:val="000000" w:themeColor="text1"/>
          <w:szCs w:val="21"/>
          <w:highlight w:val="none"/>
        </w:rPr>
      </w:pPr>
    </w:p>
    <w:p>
      <w:pPr>
        <w:tabs>
          <w:tab w:val="left" w:pos="1004"/>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甲方：  </w:t>
      </w:r>
      <w:r>
        <w:rPr>
          <w:rFonts w:hint="eastAsia" w:ascii="宋体" w:hAnsi="宋体"/>
          <w:bCs/>
          <w:color w:val="000000" w:themeColor="text1"/>
          <w:szCs w:val="21"/>
          <w:highlight w:val="none"/>
        </w:rPr>
        <w:tab/>
      </w:r>
      <w:r>
        <w:rPr>
          <w:rFonts w:hint="eastAsia" w:ascii="宋体" w:hAnsi="宋体"/>
          <w:bCs/>
          <w:color w:val="000000" w:themeColor="text1"/>
          <w:szCs w:val="21"/>
          <w:highlight w:val="none"/>
          <w:lang w:val="en-US" w:eastAsia="zh-CN"/>
        </w:rPr>
        <w:t xml:space="preserve">                               </w:t>
      </w:r>
      <w:r>
        <w:rPr>
          <w:rFonts w:hint="eastAsia" w:ascii="宋体" w:hAnsi="宋体"/>
          <w:bCs/>
          <w:color w:val="000000" w:themeColor="text1"/>
          <w:szCs w:val="21"/>
          <w:highlight w:val="none"/>
        </w:rPr>
        <w:t>乙方：</w:t>
      </w:r>
    </w:p>
    <w:p>
      <w:pPr>
        <w:tabs>
          <w:tab w:val="left" w:pos="1004"/>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法定代表人：</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法定代表人：</w:t>
      </w:r>
    </w:p>
    <w:p>
      <w:pPr>
        <w:tabs>
          <w:tab w:val="left" w:pos="1004"/>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委托代理人：</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委托代理人：</w:t>
      </w:r>
    </w:p>
    <w:p>
      <w:pPr>
        <w:tabs>
          <w:tab w:val="left" w:pos="1004"/>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地址：</w:t>
      </w:r>
      <w:r>
        <w:rPr>
          <w:rFonts w:hint="eastAsia" w:ascii="宋体" w:hAnsi="宋体"/>
          <w:bCs/>
          <w:color w:val="000000" w:themeColor="text1"/>
          <w:szCs w:val="21"/>
          <w:highlight w:val="none"/>
        </w:rPr>
        <w:tab/>
      </w:r>
      <w:r>
        <w:rPr>
          <w:rFonts w:hint="eastAsia" w:ascii="宋体" w:hAnsi="宋体"/>
          <w:bCs/>
          <w:color w:val="000000" w:themeColor="text1"/>
          <w:szCs w:val="21"/>
          <w:highlight w:val="none"/>
          <w:lang w:val="en-US" w:eastAsia="zh-CN"/>
        </w:rPr>
        <w:t xml:space="preserve">                               </w:t>
      </w:r>
      <w:r>
        <w:rPr>
          <w:rFonts w:hint="eastAsia" w:ascii="宋体" w:hAnsi="宋体"/>
          <w:bCs/>
          <w:color w:val="000000" w:themeColor="text1"/>
          <w:szCs w:val="21"/>
          <w:highlight w:val="none"/>
        </w:rPr>
        <w:t>地址：</w:t>
      </w:r>
    </w:p>
    <w:p>
      <w:pPr>
        <w:tabs>
          <w:tab w:val="left" w:pos="1004"/>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开户银行：</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开户银行：</w:t>
      </w:r>
    </w:p>
    <w:p>
      <w:pPr>
        <w:tabs>
          <w:tab w:val="left" w:pos="1004"/>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帐号：</w:t>
      </w:r>
      <w:r>
        <w:rPr>
          <w:rFonts w:hint="eastAsia" w:ascii="宋体" w:hAnsi="宋体"/>
          <w:bCs/>
          <w:color w:val="000000" w:themeColor="text1"/>
          <w:szCs w:val="21"/>
          <w:highlight w:val="none"/>
        </w:rPr>
        <w:tab/>
      </w:r>
      <w:r>
        <w:rPr>
          <w:rFonts w:hint="eastAsia" w:ascii="宋体" w:hAnsi="宋体"/>
          <w:bCs/>
          <w:color w:val="000000" w:themeColor="text1"/>
          <w:szCs w:val="21"/>
          <w:highlight w:val="none"/>
          <w:lang w:val="en-US" w:eastAsia="zh-CN"/>
        </w:rPr>
        <w:t xml:space="preserve">                               </w:t>
      </w:r>
      <w:r>
        <w:rPr>
          <w:rFonts w:hint="eastAsia" w:ascii="宋体" w:hAnsi="宋体"/>
          <w:bCs/>
          <w:color w:val="000000" w:themeColor="text1"/>
          <w:szCs w:val="21"/>
          <w:highlight w:val="none"/>
        </w:rPr>
        <w:t>帐号</w:t>
      </w:r>
    </w:p>
    <w:p>
      <w:pPr>
        <w:tabs>
          <w:tab w:val="left" w:pos="1004"/>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电话：</w:t>
      </w:r>
      <w:r>
        <w:rPr>
          <w:rFonts w:hint="eastAsia" w:ascii="宋体" w:hAnsi="宋体"/>
          <w:bCs/>
          <w:color w:val="000000" w:themeColor="text1"/>
          <w:szCs w:val="21"/>
          <w:highlight w:val="none"/>
        </w:rPr>
        <w:tab/>
      </w:r>
      <w:r>
        <w:rPr>
          <w:rFonts w:hint="eastAsia" w:ascii="宋体" w:hAnsi="宋体"/>
          <w:bCs/>
          <w:color w:val="000000" w:themeColor="text1"/>
          <w:szCs w:val="21"/>
          <w:highlight w:val="none"/>
          <w:lang w:val="en-US" w:eastAsia="zh-CN"/>
        </w:rPr>
        <w:t xml:space="preserve">                               </w:t>
      </w:r>
      <w:r>
        <w:rPr>
          <w:rFonts w:hint="eastAsia" w:ascii="宋体" w:hAnsi="宋体"/>
          <w:bCs/>
          <w:color w:val="000000" w:themeColor="text1"/>
          <w:szCs w:val="21"/>
          <w:highlight w:val="none"/>
        </w:rPr>
        <w:t>电话：</w:t>
      </w:r>
    </w:p>
    <w:p>
      <w:pPr>
        <w:tabs>
          <w:tab w:val="left" w:pos="1004"/>
        </w:tabs>
        <w:spacing w:line="480" w:lineRule="auto"/>
        <w:ind w:firstLine="630" w:firstLineChars="300"/>
        <w:rPr>
          <w:rFonts w:ascii="宋体" w:hAnsi="宋体"/>
          <w:bCs/>
          <w:color w:val="000000" w:themeColor="text1"/>
          <w:szCs w:val="21"/>
          <w:highlight w:val="none"/>
        </w:rPr>
      </w:pPr>
      <w:r>
        <w:rPr>
          <w:rFonts w:hint="eastAsia" w:ascii="宋体" w:hAnsi="宋体"/>
          <w:bCs/>
          <w:color w:val="000000" w:themeColor="text1"/>
          <w:szCs w:val="21"/>
          <w:highlight w:val="none"/>
        </w:rPr>
        <w:t>年  月  日                          年  月  日</w:t>
      </w:r>
    </w:p>
    <w:p>
      <w:pPr>
        <w:spacing w:line="360" w:lineRule="auto"/>
        <w:rPr>
          <w:rFonts w:ascii="宋体" w:hAnsi="宋体"/>
          <w:bCs/>
          <w:color w:val="000000" w:themeColor="text1"/>
          <w:szCs w:val="21"/>
          <w:highlight w:val="none"/>
        </w:rPr>
      </w:pPr>
      <w:r>
        <w:rPr>
          <w:rFonts w:hint="eastAsia" w:ascii="宋体" w:hAnsi="宋体"/>
          <w:b/>
          <w:bCs/>
          <w:color w:val="000000" w:themeColor="text1"/>
          <w:szCs w:val="21"/>
          <w:highlight w:val="none"/>
        </w:rPr>
        <w:t>本合同样本仅供参考，具体条款内容由采购人和成交单位协商确定，但不得改变谈判文件、谈判响应文件、成交通知书等实质性内容</w:t>
      </w:r>
      <w:r>
        <w:rPr>
          <w:rFonts w:hint="eastAsia" w:ascii="宋体" w:hAnsi="宋体"/>
          <w:bCs/>
          <w:color w:val="000000" w:themeColor="text1"/>
          <w:szCs w:val="21"/>
          <w:highlight w:val="none"/>
        </w:rPr>
        <w:t>。</w:t>
      </w:r>
    </w:p>
    <w:p>
      <w:pPr>
        <w:tabs>
          <w:tab w:val="left" w:pos="1004"/>
        </w:tabs>
        <w:spacing w:line="360" w:lineRule="exact"/>
        <w:rPr>
          <w:rFonts w:ascii="宋体" w:hAnsi="宋体"/>
          <w:bCs/>
          <w:color w:val="000000" w:themeColor="text1"/>
          <w:szCs w:val="21"/>
          <w:highlight w:val="none"/>
        </w:rPr>
      </w:pPr>
    </w:p>
    <w:p>
      <w:pPr>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br w:type="page"/>
      </w:r>
    </w:p>
    <w:p>
      <w:pPr>
        <w:pStyle w:val="4"/>
        <w:numPr>
          <w:ilvl w:val="0"/>
          <w:numId w:val="0"/>
        </w:numPr>
        <w:spacing w:before="100" w:beforeAutospacing="1" w:after="100" w:afterAutospacing="1" w:line="240" w:lineRule="auto"/>
        <w:jc w:val="center"/>
        <w:rPr>
          <w:rFonts w:ascii="宋体" w:hAnsi="宋体"/>
          <w:color w:val="000000" w:themeColor="text1"/>
          <w:sz w:val="21"/>
          <w:szCs w:val="21"/>
          <w:highlight w:val="none"/>
        </w:rPr>
      </w:pPr>
      <w:bookmarkStart w:id="143" w:name="_Toc8322"/>
      <w:r>
        <w:rPr>
          <w:rFonts w:hint="eastAsia" w:ascii="宋体" w:hAnsi="宋体"/>
          <w:color w:val="000000" w:themeColor="text1"/>
          <w:sz w:val="21"/>
          <w:szCs w:val="21"/>
          <w:highlight w:val="none"/>
        </w:rPr>
        <w:t>第五部分  单一来源谈判响应文件格式</w:t>
      </w:r>
      <w:bookmarkEnd w:id="141"/>
      <w:bookmarkEnd w:id="143"/>
    </w:p>
    <w:p>
      <w:pPr>
        <w:pStyle w:val="5"/>
        <w:numPr>
          <w:ilvl w:val="0"/>
          <w:numId w:val="0"/>
        </w:numPr>
        <w:jc w:val="center"/>
        <w:rPr>
          <w:rFonts w:ascii="宋体" w:hAnsi="宋体" w:eastAsia="宋体"/>
          <w:color w:val="000000" w:themeColor="text1"/>
          <w:sz w:val="21"/>
          <w:szCs w:val="21"/>
          <w:highlight w:val="none"/>
        </w:rPr>
      </w:pPr>
      <w:bookmarkStart w:id="144" w:name="_Toc200414513"/>
      <w:bookmarkStart w:id="145" w:name="_Toc18700"/>
      <w:r>
        <w:rPr>
          <w:rFonts w:hint="eastAsia" w:ascii="宋体" w:hAnsi="宋体" w:eastAsia="宋体"/>
          <w:color w:val="000000" w:themeColor="text1"/>
          <w:sz w:val="21"/>
          <w:szCs w:val="21"/>
          <w:highlight w:val="none"/>
        </w:rPr>
        <w:t>封面格式</w:t>
      </w:r>
      <w:bookmarkEnd w:id="144"/>
      <w:bookmarkEnd w:id="145"/>
    </w:p>
    <w:p>
      <w:pPr>
        <w:pStyle w:val="10"/>
        <w:rPr>
          <w:rFonts w:hAnsi="宋体"/>
          <w:bCs/>
          <w:color w:val="000000" w:themeColor="text1"/>
          <w:szCs w:val="24"/>
          <w:highlight w:val="none"/>
        </w:rPr>
      </w:pPr>
    </w:p>
    <w:p>
      <w:pPr>
        <w:pStyle w:val="10"/>
        <w:rPr>
          <w:rFonts w:hAnsi="宋体"/>
          <w:bCs/>
          <w:color w:val="000000" w:themeColor="text1"/>
          <w:szCs w:val="24"/>
          <w:highlight w:val="none"/>
        </w:rPr>
      </w:pPr>
    </w:p>
    <w:p>
      <w:pPr>
        <w:pStyle w:val="10"/>
        <w:spacing w:line="440" w:lineRule="exact"/>
        <w:ind w:left="315" w:leftChars="150" w:firstLineChars="200"/>
        <w:rPr>
          <w:rFonts w:hAnsi="宋体"/>
          <w:bCs/>
          <w:color w:val="000000" w:themeColor="text1"/>
          <w:szCs w:val="24"/>
          <w:highlight w:val="none"/>
        </w:rPr>
      </w:pPr>
      <w:r>
        <w:rPr>
          <w:rFonts w:hint="eastAsia" w:hAnsi="宋体"/>
          <w:bCs/>
          <w:color w:val="000000" w:themeColor="text1"/>
          <w:szCs w:val="24"/>
          <w:highlight w:val="none"/>
        </w:rPr>
        <w:t>谈判响应文件的封面格式由供应商自拟，并应注明“谈判响应文件、项目编号、项目名称、供应商名称及地址、法定代表人或授权代理人、联系电话、传真、邮编，并加盖供应商公章。如：</w:t>
      </w:r>
    </w:p>
    <w:p>
      <w:pPr>
        <w:pStyle w:val="10"/>
        <w:rPr>
          <w:rFonts w:hAnsi="宋体"/>
          <w:bCs/>
          <w:color w:val="000000" w:themeColor="text1"/>
          <w:szCs w:val="24"/>
          <w:highlight w:val="none"/>
        </w:rPr>
      </w:pPr>
    </w:p>
    <w:p>
      <w:pPr>
        <w:pStyle w:val="10"/>
        <w:rPr>
          <w:rFonts w:hAnsi="宋体"/>
          <w:bCs/>
          <w:color w:val="000000" w:themeColor="text1"/>
          <w:szCs w:val="24"/>
          <w:highlight w:val="none"/>
        </w:rPr>
      </w:pPr>
    </w:p>
    <w:p>
      <w:pPr>
        <w:pStyle w:val="10"/>
        <w:rPr>
          <w:rFonts w:hAnsi="宋体"/>
          <w:bCs/>
          <w:color w:val="000000" w:themeColor="text1"/>
          <w:szCs w:val="24"/>
          <w:highlight w:val="none"/>
        </w:rPr>
      </w:pPr>
    </w:p>
    <w:p>
      <w:pPr>
        <w:pStyle w:val="10"/>
        <w:spacing w:line="440" w:lineRule="exact"/>
        <w:jc w:val="center"/>
        <w:rPr>
          <w:rFonts w:hAnsi="宋体"/>
          <w:bCs/>
          <w:color w:val="000000" w:themeColor="text1"/>
          <w:szCs w:val="24"/>
          <w:highlight w:val="none"/>
        </w:rPr>
      </w:pPr>
      <w:r>
        <w:rPr>
          <w:rFonts w:hint="eastAsia" w:hAnsi="宋体"/>
          <w:bCs/>
          <w:color w:val="000000" w:themeColor="text1"/>
          <w:szCs w:val="24"/>
          <w:highlight w:val="none"/>
        </w:rPr>
        <w:t>谈判响应文件（□正本、□副本）</w:t>
      </w:r>
    </w:p>
    <w:p>
      <w:pPr>
        <w:pStyle w:val="10"/>
        <w:spacing w:line="440" w:lineRule="exact"/>
        <w:rPr>
          <w:rFonts w:hAnsi="宋体"/>
          <w:bCs/>
          <w:color w:val="000000" w:themeColor="text1"/>
          <w:szCs w:val="24"/>
          <w:highlight w:val="none"/>
        </w:rPr>
      </w:pPr>
      <w:r>
        <w:rPr>
          <w:rFonts w:hint="eastAsia" w:hAnsi="宋体"/>
          <w:bCs/>
          <w:color w:val="000000" w:themeColor="text1"/>
          <w:szCs w:val="24"/>
          <w:highlight w:val="none"/>
        </w:rPr>
        <w:t>项目编号：</w:t>
      </w:r>
      <w:r>
        <w:rPr>
          <w:rFonts w:hint="eastAsia" w:hAnsi="宋体"/>
          <w:bCs/>
          <w:color w:val="000000" w:themeColor="text1"/>
          <w:szCs w:val="24"/>
          <w:highlight w:val="none"/>
          <w:u w:val="single"/>
        </w:rPr>
        <w:t xml:space="preserve"> </w:t>
      </w:r>
      <w:r>
        <w:rPr>
          <w:rFonts w:hint="eastAsia" w:hAnsi="宋体"/>
          <w:b/>
          <w:bCs/>
          <w:color w:val="000000" w:themeColor="text1"/>
          <w:szCs w:val="24"/>
          <w:highlight w:val="none"/>
          <w:u w:val="single"/>
          <w:lang w:eastAsia="zh-CN"/>
        </w:rPr>
        <w:t>YXCG-20220303</w:t>
      </w:r>
      <w:r>
        <w:rPr>
          <w:rFonts w:hint="eastAsia" w:hAnsi="宋体"/>
          <w:b/>
          <w:bCs/>
          <w:color w:val="000000" w:themeColor="text1"/>
          <w:szCs w:val="24"/>
          <w:highlight w:val="none"/>
          <w:u w:val="single"/>
        </w:rPr>
        <w:t xml:space="preserve"> </w:t>
      </w:r>
      <w:r>
        <w:rPr>
          <w:rFonts w:hint="eastAsia" w:hAnsi="宋体"/>
          <w:bCs/>
          <w:color w:val="000000" w:themeColor="text1"/>
          <w:szCs w:val="24"/>
          <w:highlight w:val="none"/>
          <w:u w:val="single"/>
        </w:rPr>
        <w:t xml:space="preserve">               </w:t>
      </w:r>
      <w:r>
        <w:rPr>
          <w:rFonts w:hint="eastAsia" w:hAnsi="宋体"/>
          <w:bCs/>
          <w:color w:val="000000" w:themeColor="text1"/>
          <w:szCs w:val="24"/>
          <w:highlight w:val="none"/>
        </w:rPr>
        <w:t xml:space="preserve">             </w:t>
      </w:r>
    </w:p>
    <w:p>
      <w:pPr>
        <w:pStyle w:val="10"/>
        <w:spacing w:line="440" w:lineRule="exact"/>
        <w:rPr>
          <w:rFonts w:hAnsi="宋体"/>
          <w:bCs/>
          <w:color w:val="000000" w:themeColor="text1"/>
          <w:szCs w:val="24"/>
          <w:highlight w:val="none"/>
          <w:u w:val="single"/>
        </w:rPr>
      </w:pPr>
      <w:r>
        <w:rPr>
          <w:rFonts w:hint="eastAsia" w:hAnsi="宋体"/>
          <w:bCs/>
          <w:color w:val="000000" w:themeColor="text1"/>
          <w:szCs w:val="24"/>
          <w:highlight w:val="none"/>
        </w:rPr>
        <w:t>项目名称：</w:t>
      </w:r>
      <w:r>
        <w:rPr>
          <w:rFonts w:hint="eastAsia" w:hAnsi="宋体"/>
          <w:bCs/>
          <w:color w:val="000000" w:themeColor="text1"/>
          <w:szCs w:val="24"/>
          <w:highlight w:val="none"/>
          <w:u w:val="single"/>
        </w:rPr>
        <w:t xml:space="preserve">  </w:t>
      </w:r>
      <w:r>
        <w:rPr>
          <w:rFonts w:hint="eastAsia" w:hAnsi="宋体" w:cs="宋体"/>
          <w:b/>
          <w:color w:val="000000" w:themeColor="text1"/>
          <w:szCs w:val="21"/>
          <w:highlight w:val="none"/>
          <w:u w:val="single"/>
        </w:rPr>
        <w:t xml:space="preserve">项目名称，由供应商填写               </w:t>
      </w:r>
      <w:r>
        <w:rPr>
          <w:rFonts w:hint="eastAsia" w:hAnsi="宋体"/>
          <w:bCs/>
          <w:color w:val="000000" w:themeColor="text1"/>
          <w:szCs w:val="24"/>
          <w:highlight w:val="none"/>
          <w:u w:val="single"/>
        </w:rPr>
        <w:t xml:space="preserve">         </w:t>
      </w:r>
    </w:p>
    <w:p>
      <w:pPr>
        <w:pStyle w:val="10"/>
        <w:spacing w:line="440" w:lineRule="exact"/>
        <w:rPr>
          <w:rFonts w:hAnsi="宋体"/>
          <w:bCs/>
          <w:color w:val="000000" w:themeColor="text1"/>
          <w:szCs w:val="24"/>
          <w:highlight w:val="none"/>
          <w:u w:val="single"/>
        </w:rPr>
      </w:pPr>
      <w:r>
        <w:rPr>
          <w:rFonts w:hint="eastAsia" w:hAnsi="宋体"/>
          <w:bCs/>
          <w:color w:val="000000" w:themeColor="text1"/>
          <w:szCs w:val="24"/>
          <w:highlight w:val="none"/>
        </w:rPr>
        <w:t>供应商名称（加盖公章）：</w:t>
      </w:r>
      <w:r>
        <w:rPr>
          <w:rFonts w:hint="eastAsia" w:hAnsi="宋体"/>
          <w:bCs/>
          <w:color w:val="000000" w:themeColor="text1"/>
          <w:szCs w:val="24"/>
          <w:highlight w:val="none"/>
          <w:u w:val="single"/>
        </w:rPr>
        <w:t xml:space="preserve">                                                   </w:t>
      </w:r>
    </w:p>
    <w:p>
      <w:pPr>
        <w:pStyle w:val="10"/>
        <w:spacing w:line="440" w:lineRule="exact"/>
        <w:rPr>
          <w:rFonts w:hAnsi="宋体"/>
          <w:bCs/>
          <w:color w:val="000000" w:themeColor="text1"/>
          <w:szCs w:val="24"/>
          <w:highlight w:val="none"/>
          <w:u w:val="single"/>
        </w:rPr>
      </w:pPr>
      <w:r>
        <w:rPr>
          <w:rFonts w:hint="eastAsia" w:hAnsi="宋体"/>
          <w:bCs/>
          <w:color w:val="000000" w:themeColor="text1"/>
          <w:szCs w:val="24"/>
          <w:highlight w:val="none"/>
        </w:rPr>
        <w:t>供应商地址：</w:t>
      </w:r>
      <w:r>
        <w:rPr>
          <w:rFonts w:hint="eastAsia" w:hAnsi="宋体"/>
          <w:bCs/>
          <w:color w:val="000000" w:themeColor="text1"/>
          <w:szCs w:val="24"/>
          <w:highlight w:val="none"/>
          <w:u w:val="single"/>
        </w:rPr>
        <w:t xml:space="preserve">                                                              </w:t>
      </w:r>
    </w:p>
    <w:p>
      <w:pPr>
        <w:pStyle w:val="10"/>
        <w:spacing w:line="440" w:lineRule="exact"/>
        <w:rPr>
          <w:rFonts w:hAnsi="宋体"/>
          <w:bCs/>
          <w:color w:val="000000" w:themeColor="text1"/>
          <w:szCs w:val="24"/>
          <w:highlight w:val="none"/>
          <w:u w:val="single"/>
        </w:rPr>
      </w:pPr>
      <w:r>
        <w:rPr>
          <w:rFonts w:hint="eastAsia" w:hAnsi="宋体"/>
          <w:bCs/>
          <w:color w:val="000000" w:themeColor="text1"/>
          <w:szCs w:val="24"/>
          <w:highlight w:val="none"/>
        </w:rPr>
        <w:t>法定代表人或授权代理人（签字）</w:t>
      </w:r>
      <w:r>
        <w:rPr>
          <w:rFonts w:hAnsi="宋体"/>
          <w:bCs/>
          <w:color w:val="000000" w:themeColor="text1"/>
          <w:szCs w:val="24"/>
          <w:highlight w:val="none"/>
        </w:rPr>
        <w:t>：</w:t>
      </w:r>
      <w:r>
        <w:rPr>
          <w:rFonts w:hAnsi="宋体"/>
          <w:bCs/>
          <w:color w:val="000000" w:themeColor="text1"/>
          <w:szCs w:val="24"/>
          <w:highlight w:val="none"/>
          <w:u w:val="single"/>
        </w:rPr>
        <w:t xml:space="preserve">           </w:t>
      </w:r>
      <w:r>
        <w:rPr>
          <w:rFonts w:hint="eastAsia" w:hAnsi="宋体"/>
          <w:bCs/>
          <w:color w:val="000000" w:themeColor="text1"/>
          <w:szCs w:val="24"/>
          <w:highlight w:val="none"/>
          <w:u w:val="single"/>
        </w:rPr>
        <w:t xml:space="preserve">                  </w:t>
      </w:r>
    </w:p>
    <w:p>
      <w:pPr>
        <w:pStyle w:val="10"/>
        <w:spacing w:line="440" w:lineRule="exact"/>
        <w:rPr>
          <w:rFonts w:hAnsi="宋体"/>
          <w:bCs/>
          <w:color w:val="000000" w:themeColor="text1"/>
          <w:szCs w:val="24"/>
          <w:highlight w:val="none"/>
          <w:u w:val="single"/>
        </w:rPr>
      </w:pPr>
      <w:r>
        <w:rPr>
          <w:rFonts w:hint="eastAsia" w:hAnsi="宋体"/>
          <w:bCs/>
          <w:color w:val="000000" w:themeColor="text1"/>
          <w:szCs w:val="24"/>
          <w:highlight w:val="none"/>
        </w:rPr>
        <w:t>联系</w:t>
      </w:r>
      <w:r>
        <w:rPr>
          <w:rFonts w:hAnsi="宋体"/>
          <w:bCs/>
          <w:color w:val="000000" w:themeColor="text1"/>
          <w:szCs w:val="24"/>
          <w:highlight w:val="none"/>
        </w:rPr>
        <w:t>电话：</w:t>
      </w:r>
      <w:r>
        <w:rPr>
          <w:rFonts w:hint="eastAsia" w:hAnsi="宋体"/>
          <w:bCs/>
          <w:color w:val="000000" w:themeColor="text1"/>
          <w:szCs w:val="24"/>
          <w:highlight w:val="none"/>
          <w:u w:val="single"/>
        </w:rPr>
        <w:t xml:space="preserve">                           </w:t>
      </w:r>
      <w:r>
        <w:rPr>
          <w:rFonts w:hAnsi="宋体"/>
          <w:bCs/>
          <w:color w:val="000000" w:themeColor="text1"/>
          <w:szCs w:val="24"/>
          <w:highlight w:val="none"/>
        </w:rPr>
        <w:t xml:space="preserve">   </w:t>
      </w:r>
      <w:r>
        <w:rPr>
          <w:rFonts w:hint="eastAsia" w:hAnsi="宋体"/>
          <w:bCs/>
          <w:color w:val="000000" w:themeColor="text1"/>
          <w:szCs w:val="24"/>
          <w:highlight w:val="none"/>
        </w:rPr>
        <w:t>传真：</w:t>
      </w:r>
      <w:r>
        <w:rPr>
          <w:rFonts w:hint="eastAsia" w:hAnsi="宋体"/>
          <w:bCs/>
          <w:color w:val="000000" w:themeColor="text1"/>
          <w:szCs w:val="24"/>
          <w:highlight w:val="none"/>
          <w:u w:val="single"/>
        </w:rPr>
        <w:t xml:space="preserve">                            </w:t>
      </w:r>
    </w:p>
    <w:p>
      <w:pPr>
        <w:pStyle w:val="10"/>
        <w:spacing w:line="440" w:lineRule="exact"/>
        <w:rPr>
          <w:rFonts w:hAnsi="宋体"/>
          <w:bCs/>
          <w:color w:val="000000" w:themeColor="text1"/>
          <w:szCs w:val="24"/>
          <w:highlight w:val="none"/>
          <w:u w:val="single"/>
        </w:rPr>
      </w:pPr>
      <w:r>
        <w:rPr>
          <w:rFonts w:hAnsi="宋体"/>
          <w:bCs/>
          <w:color w:val="000000" w:themeColor="text1"/>
          <w:szCs w:val="24"/>
          <w:highlight w:val="none"/>
        </w:rPr>
        <w:t>邮编：</w:t>
      </w:r>
      <w:r>
        <w:rPr>
          <w:rFonts w:hint="eastAsia" w:hAnsi="宋体"/>
          <w:bCs/>
          <w:color w:val="000000" w:themeColor="text1"/>
          <w:szCs w:val="24"/>
          <w:highlight w:val="none"/>
          <w:u w:val="single"/>
        </w:rPr>
        <w:t xml:space="preserve">                               </w:t>
      </w:r>
    </w:p>
    <w:p>
      <w:pPr>
        <w:pStyle w:val="10"/>
        <w:spacing w:line="440" w:lineRule="exact"/>
        <w:rPr>
          <w:color w:val="000000" w:themeColor="text1"/>
          <w:highlight w:val="none"/>
        </w:rPr>
      </w:pPr>
      <w:r>
        <w:rPr>
          <w:rFonts w:hint="eastAsia" w:hAnsi="宋体"/>
          <w:bCs/>
          <w:color w:val="000000" w:themeColor="text1"/>
          <w:szCs w:val="24"/>
          <w:highlight w:val="none"/>
        </w:rPr>
        <w:t>编制日期：</w:t>
      </w:r>
      <w:r>
        <w:rPr>
          <w:rFonts w:hint="eastAsia" w:hAnsi="宋体"/>
          <w:bCs/>
          <w:color w:val="000000" w:themeColor="text1"/>
          <w:szCs w:val="24"/>
          <w:highlight w:val="none"/>
          <w:u w:val="single"/>
        </w:rPr>
        <w:t xml:space="preserve">      </w:t>
      </w:r>
      <w:r>
        <w:rPr>
          <w:rFonts w:hint="eastAsia" w:hAnsi="宋体"/>
          <w:bCs/>
          <w:color w:val="000000" w:themeColor="text1"/>
          <w:szCs w:val="24"/>
          <w:highlight w:val="none"/>
        </w:rPr>
        <w:t>年</w:t>
      </w:r>
      <w:r>
        <w:rPr>
          <w:rFonts w:hint="eastAsia" w:hAnsi="宋体"/>
          <w:bCs/>
          <w:color w:val="000000" w:themeColor="text1"/>
          <w:szCs w:val="24"/>
          <w:highlight w:val="none"/>
          <w:u w:val="single"/>
        </w:rPr>
        <w:t xml:space="preserve">      </w:t>
      </w:r>
      <w:r>
        <w:rPr>
          <w:rFonts w:hint="eastAsia" w:hAnsi="宋体"/>
          <w:bCs/>
          <w:color w:val="000000" w:themeColor="text1"/>
          <w:szCs w:val="24"/>
          <w:highlight w:val="none"/>
        </w:rPr>
        <w:t>月</w:t>
      </w:r>
      <w:r>
        <w:rPr>
          <w:rFonts w:hint="eastAsia" w:hAnsi="宋体"/>
          <w:bCs/>
          <w:color w:val="000000" w:themeColor="text1"/>
          <w:szCs w:val="24"/>
          <w:highlight w:val="none"/>
          <w:u w:val="single"/>
        </w:rPr>
        <w:t xml:space="preserve">      </w:t>
      </w:r>
      <w:r>
        <w:rPr>
          <w:rFonts w:hint="eastAsia" w:hAnsi="宋体"/>
          <w:bCs/>
          <w:color w:val="000000" w:themeColor="text1"/>
          <w:szCs w:val="24"/>
          <w:highlight w:val="none"/>
        </w:rPr>
        <w:t>日</w:t>
      </w: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ind w:firstLine="420" w:firstLineChars="200"/>
        <w:rPr>
          <w:rFonts w:ascii="宋体" w:hAnsi="宋体"/>
          <w:bCs/>
          <w:color w:val="000000" w:themeColor="text1"/>
          <w:highlight w:val="none"/>
        </w:rPr>
      </w:pPr>
    </w:p>
    <w:p>
      <w:pPr>
        <w:tabs>
          <w:tab w:val="left" w:pos="1004"/>
          <w:tab w:val="left" w:pos="4267"/>
        </w:tabs>
        <w:spacing w:line="400" w:lineRule="exact"/>
        <w:ind w:firstLine="420" w:firstLineChars="200"/>
        <w:rPr>
          <w:rFonts w:ascii="宋体" w:hAnsi="宋体"/>
          <w:bCs/>
          <w:color w:val="000000" w:themeColor="text1"/>
          <w:highlight w:val="none"/>
        </w:rPr>
      </w:pPr>
    </w:p>
    <w:p>
      <w:pPr>
        <w:tabs>
          <w:tab w:val="left" w:pos="1004"/>
          <w:tab w:val="left" w:pos="4267"/>
        </w:tabs>
        <w:spacing w:line="400" w:lineRule="exact"/>
        <w:ind w:firstLine="420" w:firstLineChars="200"/>
        <w:rPr>
          <w:rFonts w:ascii="宋体" w:hAnsi="宋体"/>
          <w:bCs/>
          <w:color w:val="000000" w:themeColor="text1"/>
          <w:highlight w:val="none"/>
        </w:rPr>
      </w:pPr>
    </w:p>
    <w:p>
      <w:pPr>
        <w:tabs>
          <w:tab w:val="left" w:pos="1004"/>
          <w:tab w:val="left" w:pos="4267"/>
        </w:tabs>
        <w:spacing w:line="400" w:lineRule="exact"/>
        <w:ind w:firstLine="420" w:firstLineChars="200"/>
        <w:rPr>
          <w:rFonts w:ascii="宋体" w:hAnsi="宋体"/>
          <w:bCs/>
          <w:color w:val="000000" w:themeColor="text1"/>
          <w:highlight w:val="none"/>
        </w:rPr>
      </w:pPr>
    </w:p>
    <w:p>
      <w:pPr>
        <w:tabs>
          <w:tab w:val="left" w:pos="1004"/>
          <w:tab w:val="left" w:pos="4267"/>
        </w:tabs>
        <w:spacing w:line="400" w:lineRule="exact"/>
        <w:ind w:firstLine="420" w:firstLineChars="200"/>
        <w:rPr>
          <w:rFonts w:ascii="宋体" w:hAnsi="宋体"/>
          <w:bCs/>
          <w:color w:val="000000" w:themeColor="text1"/>
          <w:highlight w:val="none"/>
        </w:rPr>
      </w:pPr>
    </w:p>
    <w:p>
      <w:pPr>
        <w:tabs>
          <w:tab w:val="left" w:pos="1004"/>
          <w:tab w:val="left" w:pos="4267"/>
        </w:tabs>
        <w:spacing w:line="400" w:lineRule="exact"/>
        <w:ind w:firstLine="420" w:firstLineChars="200"/>
        <w:rPr>
          <w:rFonts w:ascii="宋体" w:hAnsi="宋体"/>
          <w:bCs/>
          <w:color w:val="000000" w:themeColor="text1"/>
          <w:highlight w:val="none"/>
        </w:rPr>
      </w:pPr>
    </w:p>
    <w:p>
      <w:pPr>
        <w:tabs>
          <w:tab w:val="left" w:pos="1004"/>
          <w:tab w:val="left" w:pos="4267"/>
        </w:tabs>
        <w:spacing w:line="400" w:lineRule="exact"/>
        <w:ind w:firstLine="420" w:firstLineChars="200"/>
        <w:rPr>
          <w:rFonts w:ascii="宋体" w:hAnsi="宋体"/>
          <w:bCs/>
          <w:color w:val="000000" w:themeColor="text1"/>
          <w:highlight w:val="none"/>
        </w:rPr>
      </w:pPr>
    </w:p>
    <w:p>
      <w:pPr>
        <w:tabs>
          <w:tab w:val="left" w:pos="1004"/>
          <w:tab w:val="left" w:pos="4267"/>
        </w:tabs>
        <w:spacing w:line="400" w:lineRule="exact"/>
        <w:ind w:firstLine="420" w:firstLineChars="200"/>
        <w:rPr>
          <w:rFonts w:ascii="宋体" w:hAnsi="宋体"/>
          <w:bCs/>
          <w:color w:val="000000" w:themeColor="text1"/>
          <w:highlight w:val="none"/>
        </w:rPr>
      </w:pPr>
    </w:p>
    <w:p>
      <w:pPr>
        <w:tabs>
          <w:tab w:val="left" w:pos="1004"/>
          <w:tab w:val="left" w:pos="4267"/>
        </w:tabs>
        <w:spacing w:line="400" w:lineRule="exact"/>
        <w:ind w:firstLine="420" w:firstLineChars="200"/>
        <w:rPr>
          <w:rFonts w:ascii="宋体" w:hAnsi="宋体"/>
          <w:bCs/>
          <w:color w:val="000000" w:themeColor="text1"/>
          <w:highlight w:val="none"/>
        </w:rPr>
      </w:pPr>
    </w:p>
    <w:p>
      <w:pPr>
        <w:tabs>
          <w:tab w:val="left" w:pos="1004"/>
          <w:tab w:val="left" w:pos="4267"/>
        </w:tabs>
        <w:spacing w:line="400" w:lineRule="exact"/>
        <w:ind w:firstLine="420" w:firstLineChars="200"/>
        <w:rPr>
          <w:rFonts w:ascii="宋体" w:hAnsi="宋体"/>
          <w:bCs/>
          <w:color w:val="000000" w:themeColor="text1"/>
          <w:highlight w:val="none"/>
        </w:rPr>
      </w:pPr>
    </w:p>
    <w:p>
      <w:pPr>
        <w:tabs>
          <w:tab w:val="left" w:pos="1004"/>
          <w:tab w:val="left" w:pos="4267"/>
        </w:tabs>
        <w:spacing w:line="400" w:lineRule="exact"/>
        <w:ind w:firstLine="420" w:firstLineChars="200"/>
        <w:rPr>
          <w:rFonts w:ascii="宋体" w:hAnsi="宋体"/>
          <w:bCs/>
          <w:color w:val="000000" w:themeColor="text1"/>
          <w:highlight w:val="none"/>
        </w:rPr>
      </w:pPr>
    </w:p>
    <w:p>
      <w:pPr>
        <w:tabs>
          <w:tab w:val="left" w:pos="1004"/>
          <w:tab w:val="left" w:pos="4267"/>
        </w:tabs>
        <w:spacing w:line="400" w:lineRule="exact"/>
        <w:ind w:firstLine="420" w:firstLineChars="200"/>
        <w:rPr>
          <w:rFonts w:ascii="宋体" w:hAnsi="宋体"/>
          <w:bCs/>
          <w:color w:val="000000" w:themeColor="text1"/>
          <w:highlight w:val="none"/>
        </w:rPr>
      </w:pPr>
    </w:p>
    <w:p>
      <w:pPr>
        <w:tabs>
          <w:tab w:val="left" w:pos="1004"/>
          <w:tab w:val="left" w:pos="4267"/>
        </w:tabs>
        <w:spacing w:line="400" w:lineRule="exact"/>
        <w:ind w:firstLine="420" w:firstLineChars="200"/>
        <w:rPr>
          <w:rFonts w:ascii="宋体" w:hAnsi="宋体"/>
          <w:bCs/>
          <w:color w:val="000000" w:themeColor="text1"/>
          <w:highlight w:val="none"/>
        </w:rPr>
      </w:pPr>
    </w:p>
    <w:p>
      <w:pPr>
        <w:tabs>
          <w:tab w:val="left" w:pos="1004"/>
          <w:tab w:val="left" w:pos="4267"/>
        </w:tabs>
        <w:spacing w:line="400" w:lineRule="exact"/>
        <w:ind w:firstLine="420" w:firstLineChars="200"/>
        <w:rPr>
          <w:rFonts w:ascii="宋体" w:hAnsi="宋体"/>
          <w:bCs/>
          <w:color w:val="000000" w:themeColor="text1"/>
          <w:highlight w:val="none"/>
        </w:rPr>
      </w:pPr>
    </w:p>
    <w:p>
      <w:pPr>
        <w:pStyle w:val="5"/>
        <w:numPr>
          <w:ilvl w:val="1"/>
          <w:numId w:val="0"/>
        </w:numPr>
        <w:spacing w:line="360" w:lineRule="auto"/>
        <w:jc w:val="center"/>
        <w:rPr>
          <w:rFonts w:ascii="宋体" w:hAnsi="宋体" w:eastAsia="宋体"/>
          <w:color w:val="000000" w:themeColor="text1"/>
          <w:sz w:val="21"/>
          <w:szCs w:val="21"/>
          <w:highlight w:val="none"/>
        </w:rPr>
      </w:pPr>
      <w:bookmarkStart w:id="146" w:name="_Toc200414514"/>
      <w:bookmarkStart w:id="147" w:name="_Toc361"/>
      <w:bookmarkStart w:id="148" w:name="_Toc519865432"/>
      <w:r>
        <w:rPr>
          <w:rFonts w:hint="eastAsia" w:ascii="宋体" w:hAnsi="宋体" w:eastAsia="宋体"/>
          <w:color w:val="000000" w:themeColor="text1"/>
          <w:sz w:val="21"/>
          <w:szCs w:val="21"/>
          <w:highlight w:val="none"/>
        </w:rPr>
        <w:t>第一章  资格性/符合性自查表</w:t>
      </w:r>
      <w:bookmarkEnd w:id="146"/>
      <w:bookmarkEnd w:id="147"/>
      <w:bookmarkEnd w:id="148"/>
    </w:p>
    <w:tbl>
      <w:tblPr>
        <w:tblStyle w:val="45"/>
        <w:tblW w:w="9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1972"/>
        <w:gridCol w:w="2512"/>
        <w:gridCol w:w="1728"/>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89"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2512"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谈判文件要求</w:t>
            </w:r>
          </w:p>
        </w:tc>
        <w:tc>
          <w:tcPr>
            <w:tcW w:w="1728"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355"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7" w:type="dxa"/>
            <w:vMerge w:val="restart"/>
            <w:vAlign w:val="center"/>
          </w:tcPr>
          <w:p>
            <w:pPr>
              <w:tabs>
                <w:tab w:val="left" w:pos="480"/>
              </w:tabs>
              <w:ind w:left="480" w:hanging="480"/>
              <w:jc w:val="center"/>
              <w:rPr>
                <w:rFonts w:ascii="宋体" w:hAnsi="宋体"/>
                <w:color w:val="000000" w:themeColor="text1"/>
                <w:szCs w:val="21"/>
                <w:highlight w:val="none"/>
              </w:rPr>
            </w:pPr>
            <w:r>
              <w:rPr>
                <w:rFonts w:hint="eastAsia" w:ascii="宋体" w:hAnsi="宋体"/>
                <w:color w:val="000000" w:themeColor="text1"/>
                <w:szCs w:val="21"/>
                <w:highlight w:val="none"/>
              </w:rPr>
              <w:t>资</w:t>
            </w:r>
          </w:p>
          <w:p>
            <w:pPr>
              <w:tabs>
                <w:tab w:val="left" w:pos="480"/>
              </w:tabs>
              <w:ind w:left="480" w:hanging="480"/>
              <w:jc w:val="center"/>
              <w:rPr>
                <w:rFonts w:ascii="宋体" w:hAnsi="宋体"/>
                <w:color w:val="000000" w:themeColor="text1"/>
                <w:szCs w:val="21"/>
                <w:highlight w:val="none"/>
              </w:rPr>
            </w:pPr>
            <w:r>
              <w:rPr>
                <w:rFonts w:hint="eastAsia" w:ascii="宋体" w:hAnsi="宋体"/>
                <w:color w:val="000000" w:themeColor="text1"/>
                <w:szCs w:val="21"/>
                <w:highlight w:val="none"/>
              </w:rPr>
              <w:t>格</w:t>
            </w:r>
          </w:p>
          <w:p>
            <w:pPr>
              <w:tabs>
                <w:tab w:val="left" w:pos="480"/>
              </w:tabs>
              <w:ind w:left="480" w:hanging="480"/>
              <w:jc w:val="center"/>
              <w:rPr>
                <w:rFonts w:ascii="宋体" w:hAnsi="宋体"/>
                <w:color w:val="000000" w:themeColor="text1"/>
                <w:szCs w:val="21"/>
                <w:highlight w:val="none"/>
              </w:rPr>
            </w:pPr>
            <w:r>
              <w:rPr>
                <w:rFonts w:hint="eastAsia" w:ascii="宋体" w:hAnsi="宋体"/>
                <w:color w:val="000000" w:themeColor="text1"/>
                <w:szCs w:val="21"/>
                <w:highlight w:val="none"/>
              </w:rPr>
              <w:t>性</w:t>
            </w:r>
          </w:p>
          <w:p>
            <w:pPr>
              <w:tabs>
                <w:tab w:val="left" w:pos="480"/>
              </w:tabs>
              <w:ind w:left="480" w:hanging="480"/>
              <w:jc w:val="center"/>
              <w:rPr>
                <w:rFonts w:ascii="宋体" w:hAnsi="宋体"/>
                <w:color w:val="000000" w:themeColor="text1"/>
                <w:szCs w:val="21"/>
                <w:highlight w:val="none"/>
              </w:rPr>
            </w:pPr>
            <w:r>
              <w:rPr>
                <w:rFonts w:hint="eastAsia" w:ascii="宋体" w:hAnsi="宋体"/>
                <w:color w:val="000000" w:themeColor="text1"/>
                <w:szCs w:val="21"/>
                <w:highlight w:val="none"/>
              </w:rPr>
              <w:t>检</w:t>
            </w:r>
          </w:p>
          <w:p>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查</w:t>
            </w:r>
          </w:p>
        </w:tc>
        <w:tc>
          <w:tcPr>
            <w:tcW w:w="1972" w:type="dxa"/>
            <w:vMerge w:val="restart"/>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投标人要求</w:t>
            </w:r>
          </w:p>
        </w:tc>
        <w:tc>
          <w:tcPr>
            <w:tcW w:w="2512"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pPr>
              <w:tabs>
                <w:tab w:val="left" w:pos="0"/>
              </w:tabs>
              <w:rPr>
                <w:rFonts w:ascii="宋体" w:hAnsi="宋体"/>
                <w:b/>
                <w:bCs/>
                <w:color w:val="000000" w:themeColor="text1"/>
                <w:szCs w:val="21"/>
                <w:highlight w:val="none"/>
              </w:rPr>
            </w:pPr>
          </w:p>
        </w:tc>
        <w:tc>
          <w:tcPr>
            <w:tcW w:w="1728" w:type="dxa"/>
            <w:vAlign w:val="center"/>
          </w:tcPr>
          <w:p>
            <w:pPr>
              <w:tabs>
                <w:tab w:val="left" w:pos="480"/>
              </w:tabs>
              <w:ind w:left="480" w:hanging="480"/>
              <w:rPr>
                <w:rFonts w:ascii="宋体" w:hAnsi="宋体"/>
                <w:b/>
                <w:bCs/>
                <w:color w:val="000000" w:themeColor="text1"/>
                <w:szCs w:val="21"/>
                <w:highlight w:val="none"/>
              </w:rPr>
            </w:pPr>
          </w:p>
        </w:tc>
        <w:tc>
          <w:tcPr>
            <w:tcW w:w="2355" w:type="dxa"/>
            <w:vAlign w:val="center"/>
          </w:tcPr>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见谈判响应文件</w:t>
            </w:r>
          </w:p>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pPr>
              <w:tabs>
                <w:tab w:val="left" w:pos="0"/>
              </w:tabs>
              <w:jc w:val="center"/>
              <w:rPr>
                <w:rFonts w:ascii="宋体" w:hAnsi="宋体"/>
                <w:b/>
                <w:bCs/>
                <w:color w:val="000000" w:themeColor="text1"/>
                <w:sz w:val="18"/>
                <w:szCs w:val="18"/>
                <w:highlight w:val="none"/>
              </w:rPr>
            </w:pPr>
            <w:r>
              <w:rPr>
                <w:rFonts w:hint="eastAsia" w:ascii="宋体" w:hAnsi="宋体"/>
                <w:color w:val="000000" w:themeColor="text1"/>
                <w:szCs w:val="21"/>
                <w:highlight w:val="none"/>
              </w:rPr>
              <w:t>要求：提交合法有效的营业执照复印件加盖公章、</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9" w:hRule="atLeast"/>
          <w:jc w:val="center"/>
        </w:trPr>
        <w:tc>
          <w:tcPr>
            <w:tcW w:w="917" w:type="dxa"/>
            <w:vMerge w:val="continue"/>
            <w:vAlign w:val="center"/>
          </w:tcPr>
          <w:p>
            <w:pPr>
              <w:tabs>
                <w:tab w:val="left" w:pos="480"/>
              </w:tabs>
              <w:ind w:left="480" w:hanging="480"/>
              <w:rPr>
                <w:rFonts w:ascii="宋体" w:hAnsi="宋体"/>
                <w:color w:val="000000" w:themeColor="text1"/>
                <w:szCs w:val="21"/>
                <w:highlight w:val="none"/>
              </w:rPr>
            </w:pPr>
          </w:p>
        </w:tc>
        <w:tc>
          <w:tcPr>
            <w:tcW w:w="1972" w:type="dxa"/>
            <w:vMerge w:val="continue"/>
            <w:vAlign w:val="center"/>
          </w:tcPr>
          <w:p>
            <w:pPr>
              <w:tabs>
                <w:tab w:val="left" w:pos="146"/>
              </w:tabs>
              <w:ind w:left="146"/>
              <w:rPr>
                <w:rFonts w:ascii="宋体" w:hAnsi="宋体"/>
                <w:color w:val="000000" w:themeColor="text1"/>
                <w:szCs w:val="21"/>
                <w:highlight w:val="none"/>
              </w:rPr>
            </w:pPr>
          </w:p>
        </w:tc>
        <w:tc>
          <w:tcPr>
            <w:tcW w:w="2512" w:type="dxa"/>
            <w:vAlign w:val="center"/>
          </w:tcPr>
          <w:p>
            <w:pPr>
              <w:keepNext w:val="0"/>
              <w:keepLines w:val="0"/>
              <w:pageBreakBefore w:val="0"/>
              <w:widowControl w:val="0"/>
              <w:tabs>
                <w:tab w:val="left" w:pos="0"/>
              </w:tabs>
              <w:kinsoku/>
              <w:wordWrap w:val="0"/>
              <w:overflowPunct/>
              <w:topLinePunct w:val="0"/>
              <w:autoSpaceDE/>
              <w:autoSpaceDN/>
              <w:bidi w:val="0"/>
              <w:adjustRightInd/>
              <w:snapToGrid/>
              <w:textAlignment w:val="auto"/>
              <w:rPr>
                <w:rFonts w:ascii="宋体" w:hAnsi="宋体"/>
                <w:color w:val="000000" w:themeColor="text1"/>
                <w:szCs w:val="21"/>
                <w:highlight w:val="none"/>
              </w:rPr>
            </w:pPr>
            <w:r>
              <w:rPr>
                <w:rFonts w:hint="eastAsia" w:ascii="宋体" w:hAnsi="宋体"/>
                <w:color w:val="000000" w:themeColor="text1"/>
                <w:szCs w:val="21"/>
                <w:highlight w:val="none"/>
                <w:lang w:val="en-US" w:eastAsia="zh-CN"/>
              </w:rPr>
              <w:t>投标人未被“信用中国”网站（www.creditchina.gov.cn ）列入失信被执行人和重大税收违法案件当事人名单和“中国政府采购网”网站（www.ccgp.gov.cn ）未被列入政府采购严重违法失信行为记录名单</w:t>
            </w:r>
          </w:p>
        </w:tc>
        <w:tc>
          <w:tcPr>
            <w:tcW w:w="1728" w:type="dxa"/>
            <w:vAlign w:val="center"/>
          </w:tcPr>
          <w:p>
            <w:pPr>
              <w:tabs>
                <w:tab w:val="left" w:pos="480"/>
              </w:tabs>
              <w:ind w:left="480" w:hanging="480"/>
              <w:rPr>
                <w:rFonts w:ascii="宋体" w:hAnsi="宋体"/>
                <w:b/>
                <w:bCs/>
                <w:color w:val="000000" w:themeColor="text1"/>
                <w:szCs w:val="21"/>
                <w:highlight w:val="none"/>
              </w:rPr>
            </w:pPr>
          </w:p>
        </w:tc>
        <w:tc>
          <w:tcPr>
            <w:tcW w:w="2355"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pPr>
              <w:tabs>
                <w:tab w:val="left" w:pos="0"/>
              </w:tabs>
              <w:jc w:val="center"/>
              <w:rPr>
                <w:rFonts w:ascii="宋体" w:hAnsi="宋体"/>
                <w:b/>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 w:type="dxa"/>
            <w:vMerge w:val="restart"/>
            <w:vAlign w:val="center"/>
          </w:tcPr>
          <w:p>
            <w:pPr>
              <w:tabs>
                <w:tab w:val="left" w:pos="480"/>
              </w:tabs>
              <w:ind w:left="480" w:hanging="480"/>
              <w:jc w:val="center"/>
              <w:rPr>
                <w:rFonts w:ascii="宋体" w:hAnsi="宋体"/>
                <w:color w:val="000000" w:themeColor="text1"/>
                <w:szCs w:val="21"/>
                <w:highlight w:val="none"/>
              </w:rPr>
            </w:pPr>
            <w:r>
              <w:rPr>
                <w:rFonts w:hint="eastAsia" w:ascii="宋体" w:hAnsi="宋体"/>
                <w:color w:val="000000" w:themeColor="text1"/>
                <w:szCs w:val="21"/>
                <w:highlight w:val="none"/>
              </w:rPr>
              <w:t>符</w:t>
            </w:r>
          </w:p>
          <w:p>
            <w:pPr>
              <w:tabs>
                <w:tab w:val="left" w:pos="480"/>
              </w:tabs>
              <w:ind w:left="480" w:hanging="480"/>
              <w:jc w:val="center"/>
              <w:rPr>
                <w:rFonts w:ascii="宋体" w:hAnsi="宋体"/>
                <w:color w:val="000000" w:themeColor="text1"/>
                <w:szCs w:val="21"/>
                <w:highlight w:val="none"/>
              </w:rPr>
            </w:pPr>
            <w:r>
              <w:rPr>
                <w:rFonts w:hint="eastAsia" w:ascii="宋体" w:hAnsi="宋体"/>
                <w:color w:val="000000" w:themeColor="text1"/>
                <w:szCs w:val="21"/>
                <w:highlight w:val="none"/>
              </w:rPr>
              <w:t>合</w:t>
            </w:r>
          </w:p>
          <w:p>
            <w:pPr>
              <w:tabs>
                <w:tab w:val="left" w:pos="480"/>
              </w:tabs>
              <w:ind w:left="480" w:hanging="480"/>
              <w:jc w:val="center"/>
              <w:rPr>
                <w:rFonts w:ascii="宋体" w:hAnsi="宋体"/>
                <w:color w:val="000000" w:themeColor="text1"/>
                <w:szCs w:val="21"/>
                <w:highlight w:val="none"/>
              </w:rPr>
            </w:pPr>
            <w:r>
              <w:rPr>
                <w:rFonts w:hint="eastAsia" w:ascii="宋体" w:hAnsi="宋体"/>
                <w:color w:val="000000" w:themeColor="text1"/>
                <w:szCs w:val="21"/>
                <w:highlight w:val="none"/>
              </w:rPr>
              <w:t>性</w:t>
            </w:r>
          </w:p>
          <w:p>
            <w:pPr>
              <w:tabs>
                <w:tab w:val="left" w:pos="480"/>
              </w:tabs>
              <w:ind w:left="480" w:hanging="480"/>
              <w:jc w:val="center"/>
              <w:rPr>
                <w:rFonts w:ascii="宋体" w:hAnsi="宋体"/>
                <w:color w:val="000000" w:themeColor="text1"/>
                <w:szCs w:val="21"/>
                <w:highlight w:val="none"/>
              </w:rPr>
            </w:pPr>
            <w:r>
              <w:rPr>
                <w:rFonts w:hint="eastAsia" w:ascii="宋体" w:hAnsi="宋体"/>
                <w:color w:val="000000" w:themeColor="text1"/>
                <w:szCs w:val="21"/>
                <w:highlight w:val="none"/>
              </w:rPr>
              <w:t>审</w:t>
            </w:r>
          </w:p>
          <w:p>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查</w:t>
            </w:r>
          </w:p>
        </w:tc>
        <w:tc>
          <w:tcPr>
            <w:tcW w:w="1972" w:type="dxa"/>
            <w:vAlign w:val="center"/>
          </w:tcPr>
          <w:p>
            <w:pPr>
              <w:tabs>
                <w:tab w:val="left" w:pos="146"/>
              </w:tabs>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lang w:eastAsia="zh-CN"/>
              </w:rPr>
              <w:t>完工期</w:t>
            </w:r>
            <w:r>
              <w:rPr>
                <w:rFonts w:hint="eastAsia" w:ascii="宋体" w:hAnsi="宋体"/>
                <w:color w:val="000000" w:themeColor="text1"/>
                <w:szCs w:val="21"/>
                <w:highlight w:val="none"/>
              </w:rPr>
              <w:t>须满足要求</w:t>
            </w:r>
          </w:p>
        </w:tc>
        <w:tc>
          <w:tcPr>
            <w:tcW w:w="2512"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按</w:t>
            </w:r>
            <w:r>
              <w:rPr>
                <w:rFonts w:hint="eastAsia" w:ascii="宋体" w:hAnsi="宋体"/>
                <w:bCs/>
                <w:color w:val="000000" w:themeColor="text1"/>
                <w:szCs w:val="21"/>
                <w:highlight w:val="none"/>
              </w:rPr>
              <w:t>谈判</w:t>
            </w:r>
            <w:r>
              <w:rPr>
                <w:rFonts w:hint="eastAsia" w:ascii="宋体" w:hAnsi="宋体"/>
                <w:color w:val="000000" w:themeColor="text1"/>
                <w:szCs w:val="21"/>
                <w:highlight w:val="none"/>
              </w:rPr>
              <w:t>文件要求</w:t>
            </w:r>
          </w:p>
        </w:tc>
        <w:tc>
          <w:tcPr>
            <w:tcW w:w="1728" w:type="dxa"/>
            <w:vAlign w:val="center"/>
          </w:tcPr>
          <w:p>
            <w:pPr>
              <w:tabs>
                <w:tab w:val="left" w:pos="480"/>
              </w:tabs>
              <w:ind w:left="480" w:hanging="480"/>
              <w:rPr>
                <w:rFonts w:ascii="宋体" w:hAnsi="宋体"/>
                <w:b/>
                <w:bCs/>
                <w:color w:val="000000" w:themeColor="text1"/>
                <w:szCs w:val="21"/>
                <w:highlight w:val="none"/>
              </w:rPr>
            </w:pPr>
          </w:p>
        </w:tc>
        <w:tc>
          <w:tcPr>
            <w:tcW w:w="2355"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 w:type="dxa"/>
            <w:vMerge w:val="continue"/>
          </w:tcPr>
          <w:p>
            <w:pPr>
              <w:tabs>
                <w:tab w:val="left" w:pos="480"/>
              </w:tabs>
              <w:ind w:left="480" w:hanging="480"/>
              <w:jc w:val="center"/>
              <w:rPr>
                <w:rFonts w:ascii="宋体" w:hAnsi="宋体"/>
                <w:b/>
                <w:bCs/>
                <w:color w:val="000000" w:themeColor="text1"/>
                <w:szCs w:val="21"/>
                <w:highlight w:val="none"/>
              </w:rPr>
            </w:pPr>
          </w:p>
        </w:tc>
        <w:tc>
          <w:tcPr>
            <w:tcW w:w="1972" w:type="dxa"/>
            <w:vAlign w:val="center"/>
          </w:tcPr>
          <w:p>
            <w:pPr>
              <w:tabs>
                <w:tab w:val="left" w:pos="146"/>
              </w:tabs>
              <w:rPr>
                <w:rFonts w:ascii="宋体" w:hAnsi="宋体"/>
                <w:b/>
                <w:bCs/>
                <w:color w:val="000000" w:themeColor="text1"/>
                <w:szCs w:val="21"/>
                <w:highlight w:val="none"/>
              </w:rPr>
            </w:pPr>
            <w:r>
              <w:rPr>
                <w:rFonts w:hint="eastAsia" w:ascii="宋体" w:hAnsi="宋体"/>
                <w:color w:val="000000" w:themeColor="text1"/>
                <w:szCs w:val="21"/>
                <w:highlight w:val="none"/>
              </w:rPr>
              <w:t>投标报价未超出报价上限</w:t>
            </w:r>
          </w:p>
        </w:tc>
        <w:tc>
          <w:tcPr>
            <w:tcW w:w="2512"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w:t>
            </w:r>
            <w:r>
              <w:rPr>
                <w:rFonts w:hint="eastAsia" w:ascii="宋体" w:hAnsi="宋体"/>
                <w:bCs/>
                <w:color w:val="000000" w:themeColor="text1"/>
                <w:szCs w:val="21"/>
                <w:highlight w:val="none"/>
              </w:rPr>
              <w:t>谈判</w:t>
            </w:r>
            <w:r>
              <w:rPr>
                <w:rFonts w:hint="eastAsia" w:ascii="宋体" w:hAnsi="宋体"/>
                <w:color w:val="000000" w:themeColor="text1"/>
                <w:szCs w:val="21"/>
                <w:highlight w:val="none"/>
              </w:rPr>
              <w:t>文件要求</w:t>
            </w:r>
          </w:p>
        </w:tc>
        <w:tc>
          <w:tcPr>
            <w:tcW w:w="1728" w:type="dxa"/>
            <w:vAlign w:val="center"/>
          </w:tcPr>
          <w:p>
            <w:pPr>
              <w:tabs>
                <w:tab w:val="left" w:pos="480"/>
              </w:tabs>
              <w:ind w:left="480" w:hanging="480"/>
              <w:rPr>
                <w:rFonts w:ascii="宋体" w:hAnsi="宋体"/>
                <w:b/>
                <w:bCs/>
                <w:color w:val="000000" w:themeColor="text1"/>
                <w:szCs w:val="21"/>
                <w:highlight w:val="none"/>
              </w:rPr>
            </w:pPr>
          </w:p>
        </w:tc>
        <w:tc>
          <w:tcPr>
            <w:tcW w:w="2355"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 w:type="dxa"/>
            <w:vMerge w:val="continue"/>
          </w:tcPr>
          <w:p>
            <w:pPr>
              <w:tabs>
                <w:tab w:val="left" w:pos="480"/>
              </w:tabs>
              <w:ind w:left="480" w:hanging="480"/>
              <w:jc w:val="center"/>
              <w:rPr>
                <w:rFonts w:ascii="宋体" w:hAnsi="宋体"/>
                <w:b/>
                <w:bCs/>
                <w:color w:val="000000" w:themeColor="text1"/>
                <w:szCs w:val="21"/>
                <w:highlight w:val="none"/>
              </w:rPr>
            </w:pPr>
          </w:p>
        </w:tc>
        <w:tc>
          <w:tcPr>
            <w:tcW w:w="1972" w:type="dxa"/>
            <w:vAlign w:val="center"/>
          </w:tcPr>
          <w:p>
            <w:pPr>
              <w:tabs>
                <w:tab w:val="left" w:pos="146"/>
              </w:tabs>
              <w:rPr>
                <w:rFonts w:ascii="宋体" w:hAnsi="宋体"/>
                <w:color w:val="000000" w:themeColor="text1"/>
                <w:szCs w:val="21"/>
                <w:highlight w:val="none"/>
              </w:rPr>
            </w:pPr>
            <w:r>
              <w:rPr>
                <w:rFonts w:hint="eastAsia" w:ascii="宋体" w:hAnsi="宋体"/>
                <w:color w:val="000000" w:themeColor="text1"/>
                <w:szCs w:val="21"/>
                <w:highlight w:val="none"/>
              </w:rPr>
              <w:t>保证金须满足要求</w:t>
            </w:r>
          </w:p>
        </w:tc>
        <w:tc>
          <w:tcPr>
            <w:tcW w:w="2512"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w:t>
            </w:r>
            <w:r>
              <w:rPr>
                <w:rFonts w:hint="eastAsia" w:ascii="宋体" w:hAnsi="宋体"/>
                <w:bCs/>
                <w:color w:val="000000" w:themeColor="text1"/>
                <w:szCs w:val="21"/>
                <w:highlight w:val="none"/>
              </w:rPr>
              <w:t>谈判</w:t>
            </w:r>
            <w:r>
              <w:rPr>
                <w:rFonts w:hint="eastAsia" w:ascii="宋体" w:hAnsi="宋体"/>
                <w:color w:val="000000" w:themeColor="text1"/>
                <w:szCs w:val="21"/>
                <w:highlight w:val="none"/>
              </w:rPr>
              <w:t>文件要求</w:t>
            </w:r>
          </w:p>
        </w:tc>
        <w:tc>
          <w:tcPr>
            <w:tcW w:w="1728" w:type="dxa"/>
            <w:vAlign w:val="center"/>
          </w:tcPr>
          <w:p>
            <w:pPr>
              <w:tabs>
                <w:tab w:val="left" w:pos="480"/>
              </w:tabs>
              <w:ind w:left="480" w:hanging="480"/>
              <w:rPr>
                <w:rFonts w:ascii="宋体" w:hAnsi="宋体"/>
                <w:color w:val="000000" w:themeColor="text1"/>
                <w:szCs w:val="21"/>
                <w:highlight w:val="none"/>
              </w:rPr>
            </w:pPr>
          </w:p>
        </w:tc>
        <w:tc>
          <w:tcPr>
            <w:tcW w:w="2355"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 w:type="dxa"/>
            <w:vMerge w:val="continue"/>
          </w:tcPr>
          <w:p>
            <w:pPr>
              <w:tabs>
                <w:tab w:val="left" w:pos="480"/>
              </w:tabs>
              <w:ind w:left="480" w:hanging="480"/>
              <w:jc w:val="center"/>
              <w:rPr>
                <w:rFonts w:ascii="宋体" w:hAnsi="宋体"/>
                <w:b/>
                <w:bCs/>
                <w:color w:val="000000" w:themeColor="text1"/>
                <w:szCs w:val="21"/>
                <w:highlight w:val="none"/>
              </w:rPr>
            </w:pPr>
          </w:p>
        </w:tc>
        <w:tc>
          <w:tcPr>
            <w:tcW w:w="1972" w:type="dxa"/>
            <w:vAlign w:val="center"/>
          </w:tcPr>
          <w:p>
            <w:pPr>
              <w:tabs>
                <w:tab w:val="left" w:pos="146"/>
              </w:tabs>
              <w:rPr>
                <w:rFonts w:ascii="宋体" w:hAnsi="宋体"/>
                <w:b/>
                <w:bCs/>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2512"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728" w:type="dxa"/>
            <w:vAlign w:val="center"/>
          </w:tcPr>
          <w:p>
            <w:pPr>
              <w:tabs>
                <w:tab w:val="left" w:pos="480"/>
              </w:tabs>
              <w:ind w:left="-107" w:leftChars="-51" w:firstLine="106"/>
              <w:rPr>
                <w:rFonts w:ascii="宋体" w:hAnsi="宋体"/>
                <w:b/>
                <w:bCs/>
                <w:color w:val="000000" w:themeColor="text1"/>
                <w:szCs w:val="21"/>
                <w:highlight w:val="none"/>
              </w:rPr>
            </w:pPr>
          </w:p>
        </w:tc>
        <w:tc>
          <w:tcPr>
            <w:tcW w:w="2355"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 w:type="dxa"/>
            <w:vMerge w:val="continue"/>
          </w:tcPr>
          <w:p>
            <w:pPr>
              <w:tabs>
                <w:tab w:val="left" w:pos="480"/>
              </w:tabs>
              <w:ind w:left="480" w:hanging="480"/>
              <w:jc w:val="center"/>
              <w:rPr>
                <w:rFonts w:ascii="宋体" w:hAnsi="宋体"/>
                <w:b/>
                <w:bCs/>
                <w:color w:val="000000" w:themeColor="text1"/>
                <w:szCs w:val="21"/>
                <w:highlight w:val="none"/>
              </w:rPr>
            </w:pPr>
          </w:p>
        </w:tc>
        <w:tc>
          <w:tcPr>
            <w:tcW w:w="1972" w:type="dxa"/>
            <w:vAlign w:val="center"/>
          </w:tcPr>
          <w:p>
            <w:pPr>
              <w:tabs>
                <w:tab w:val="left" w:pos="146"/>
              </w:tabs>
              <w:rPr>
                <w:rFonts w:ascii="宋体" w:hAnsi="宋体"/>
                <w:color w:val="000000" w:themeColor="text1"/>
                <w:szCs w:val="21"/>
                <w:highlight w:val="none"/>
              </w:rPr>
            </w:pPr>
            <w:r>
              <w:rPr>
                <w:rFonts w:hint="eastAsia" w:ascii="宋体" w:hAnsi="宋体"/>
                <w:color w:val="000000" w:themeColor="text1"/>
                <w:szCs w:val="21"/>
                <w:highlight w:val="none"/>
              </w:rPr>
              <w:t>不接受联合体投标</w:t>
            </w:r>
          </w:p>
        </w:tc>
        <w:tc>
          <w:tcPr>
            <w:tcW w:w="2512"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w:t>
            </w:r>
            <w:r>
              <w:rPr>
                <w:rFonts w:hint="eastAsia" w:ascii="宋体" w:hAnsi="宋体"/>
                <w:bCs/>
                <w:color w:val="000000" w:themeColor="text1"/>
                <w:szCs w:val="21"/>
                <w:highlight w:val="none"/>
              </w:rPr>
              <w:t>谈判</w:t>
            </w:r>
            <w:r>
              <w:rPr>
                <w:rFonts w:hint="eastAsia" w:ascii="宋体" w:hAnsi="宋体"/>
                <w:color w:val="000000" w:themeColor="text1"/>
                <w:szCs w:val="21"/>
                <w:highlight w:val="none"/>
              </w:rPr>
              <w:t>文件要求</w:t>
            </w:r>
          </w:p>
        </w:tc>
        <w:tc>
          <w:tcPr>
            <w:tcW w:w="1728" w:type="dxa"/>
            <w:vAlign w:val="center"/>
          </w:tcPr>
          <w:p>
            <w:pPr>
              <w:tabs>
                <w:tab w:val="left" w:pos="480"/>
              </w:tabs>
              <w:ind w:left="-107" w:leftChars="-51" w:firstLine="106"/>
              <w:rPr>
                <w:rFonts w:ascii="宋体" w:hAnsi="宋体"/>
                <w:b/>
                <w:bCs/>
                <w:color w:val="000000" w:themeColor="text1"/>
                <w:szCs w:val="21"/>
                <w:highlight w:val="none"/>
              </w:rPr>
            </w:pPr>
          </w:p>
        </w:tc>
        <w:tc>
          <w:tcPr>
            <w:tcW w:w="2355"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 w:type="dxa"/>
            <w:vMerge w:val="continue"/>
          </w:tcPr>
          <w:p>
            <w:pPr>
              <w:tabs>
                <w:tab w:val="left" w:pos="480"/>
              </w:tabs>
              <w:ind w:left="480" w:hanging="480"/>
              <w:jc w:val="center"/>
              <w:rPr>
                <w:rFonts w:ascii="宋体" w:hAnsi="宋体"/>
                <w:b/>
                <w:bCs/>
                <w:color w:val="000000" w:themeColor="text1"/>
                <w:szCs w:val="21"/>
                <w:highlight w:val="none"/>
              </w:rPr>
            </w:pPr>
          </w:p>
        </w:tc>
        <w:tc>
          <w:tcPr>
            <w:tcW w:w="1972" w:type="dxa"/>
            <w:vAlign w:val="center"/>
          </w:tcPr>
          <w:p>
            <w:pPr>
              <w:tabs>
                <w:tab w:val="left" w:pos="146"/>
              </w:tabs>
              <w:rPr>
                <w:rFonts w:ascii="宋体" w:hAnsi="宋体"/>
                <w:b/>
                <w:bCs/>
                <w:color w:val="000000" w:themeColor="text1"/>
                <w:szCs w:val="21"/>
                <w:highlight w:val="none"/>
              </w:rPr>
            </w:pPr>
            <w:r>
              <w:rPr>
                <w:rFonts w:hint="eastAsia" w:ascii="宋体" w:hAnsi="宋体"/>
                <w:color w:val="000000" w:themeColor="text1"/>
                <w:szCs w:val="21"/>
                <w:highlight w:val="none"/>
              </w:rPr>
              <w:t>其他要求</w:t>
            </w:r>
          </w:p>
        </w:tc>
        <w:tc>
          <w:tcPr>
            <w:tcW w:w="2512"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按资料清单中规定提供“必须提交”的文件资料</w:t>
            </w:r>
          </w:p>
        </w:tc>
        <w:tc>
          <w:tcPr>
            <w:tcW w:w="1728" w:type="dxa"/>
            <w:vAlign w:val="center"/>
          </w:tcPr>
          <w:p>
            <w:pPr>
              <w:tabs>
                <w:tab w:val="left" w:pos="480"/>
              </w:tabs>
              <w:ind w:left="480" w:hanging="480"/>
              <w:rPr>
                <w:rFonts w:ascii="宋体" w:hAnsi="宋体"/>
                <w:b/>
                <w:bCs/>
                <w:color w:val="000000" w:themeColor="text1"/>
                <w:szCs w:val="21"/>
                <w:highlight w:val="none"/>
              </w:rPr>
            </w:pPr>
          </w:p>
        </w:tc>
        <w:tc>
          <w:tcPr>
            <w:tcW w:w="2355"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pPr>
        <w:keepNext w:val="0"/>
        <w:keepLines w:val="0"/>
        <w:pageBreakBefore w:val="0"/>
        <w:widowControl w:val="0"/>
        <w:tabs>
          <w:tab w:val="center" w:pos="4483"/>
        </w:tabs>
        <w:kinsoku/>
        <w:wordWrap/>
        <w:overflowPunct/>
        <w:topLinePunct w:val="0"/>
        <w:autoSpaceDE/>
        <w:autoSpaceDN/>
        <w:bidi w:val="0"/>
        <w:adjustRightInd/>
        <w:snapToGrid/>
        <w:spacing w:line="360" w:lineRule="auto"/>
        <w:ind w:left="315" w:leftChars="50" w:hanging="210" w:hangingChars="100"/>
        <w:textAlignment w:val="auto"/>
        <w:rPr>
          <w:rFonts w:ascii="宋体" w:hAnsi="宋体"/>
          <w:color w:val="000000" w:themeColor="text1"/>
          <w:szCs w:val="21"/>
          <w:highlight w:val="none"/>
        </w:rPr>
      </w:pPr>
      <w:r>
        <w:rPr>
          <w:rFonts w:hint="eastAsia" w:ascii="宋体" w:hAnsi="宋体"/>
          <w:color w:val="000000" w:themeColor="text1"/>
          <w:szCs w:val="21"/>
          <w:highlight w:val="none"/>
        </w:rPr>
        <w:t>注：1、以上材料将作为</w:t>
      </w:r>
      <w:r>
        <w:rPr>
          <w:rFonts w:hint="eastAsia" w:ascii="宋体" w:hAnsi="宋体"/>
          <w:bCs/>
          <w:color w:val="000000" w:themeColor="text1"/>
          <w:szCs w:val="21"/>
          <w:highlight w:val="none"/>
        </w:rPr>
        <w:t>投标供应商</w:t>
      </w:r>
      <w:r>
        <w:rPr>
          <w:rFonts w:hint="eastAsia" w:ascii="宋体" w:hAnsi="宋体"/>
          <w:color w:val="000000" w:themeColor="text1"/>
          <w:szCs w:val="21"/>
          <w:highlight w:val="none"/>
        </w:rPr>
        <w:t>资格性和符合性审核的重要内容之一，</w:t>
      </w:r>
      <w:r>
        <w:rPr>
          <w:rFonts w:hint="eastAsia" w:ascii="宋体" w:hAnsi="宋体"/>
          <w:bCs/>
          <w:color w:val="000000" w:themeColor="text1"/>
          <w:szCs w:val="21"/>
          <w:highlight w:val="none"/>
        </w:rPr>
        <w:t>投标供应商</w:t>
      </w:r>
      <w:r>
        <w:rPr>
          <w:rFonts w:hint="eastAsia" w:ascii="宋体" w:hAnsi="宋体"/>
          <w:color w:val="000000" w:themeColor="text1"/>
          <w:szCs w:val="21"/>
          <w:highlight w:val="none"/>
        </w:rPr>
        <w:t>必须严格按照其内容及序列要求在谈判响应文件中对应如实提供。在对应的自查结论中填“通过”或“不通过”。</w:t>
      </w:r>
    </w:p>
    <w:p>
      <w:pPr>
        <w:keepNext w:val="0"/>
        <w:keepLines w:val="0"/>
        <w:pageBreakBefore w:val="0"/>
        <w:widowControl w:val="0"/>
        <w:tabs>
          <w:tab w:val="center" w:pos="4483"/>
        </w:tabs>
        <w:kinsoku/>
        <w:wordWrap/>
        <w:overflowPunct/>
        <w:topLinePunct w:val="0"/>
        <w:autoSpaceDE/>
        <w:autoSpaceDN/>
        <w:bidi w:val="0"/>
        <w:adjustRightInd/>
        <w:snapToGrid/>
        <w:spacing w:line="360" w:lineRule="auto"/>
        <w:ind w:left="315" w:leftChars="50" w:hanging="210" w:hangingChars="100"/>
        <w:textAlignment w:val="auto"/>
        <w:rPr>
          <w:rFonts w:ascii="宋体" w:hAnsi="宋体"/>
          <w:bCs/>
          <w:color w:val="000000" w:themeColor="text1"/>
          <w:szCs w:val="21"/>
          <w:highlight w:val="none"/>
        </w:rPr>
      </w:pPr>
      <w:r>
        <w:rPr>
          <w:rFonts w:ascii="宋体" w:hAnsi="宋体"/>
          <w:bCs/>
          <w:color w:val="000000" w:themeColor="text1"/>
          <w:szCs w:val="21"/>
          <w:highlight w:val="none"/>
        </w:rPr>
        <w:t xml:space="preserve">   2</w:t>
      </w:r>
      <w:r>
        <w:rPr>
          <w:rFonts w:hint="eastAsia" w:ascii="宋体" w:hAnsi="宋体"/>
          <w:bCs/>
          <w:color w:val="000000" w:themeColor="text1"/>
          <w:szCs w:val="21"/>
          <w:highlight w:val="none"/>
        </w:rPr>
        <w:t>、投标供应商的</w:t>
      </w:r>
      <w:r>
        <w:rPr>
          <w:rFonts w:hint="eastAsia" w:ascii="宋体" w:hAnsi="宋体"/>
          <w:color w:val="000000" w:themeColor="text1"/>
          <w:szCs w:val="21"/>
          <w:highlight w:val="none"/>
        </w:rPr>
        <w:t>谈判响应</w:t>
      </w:r>
      <w:r>
        <w:rPr>
          <w:rFonts w:hint="eastAsia" w:ascii="宋体" w:hAnsi="宋体"/>
          <w:bCs/>
          <w:color w:val="000000" w:themeColor="text1"/>
          <w:szCs w:val="21"/>
          <w:highlight w:val="none"/>
        </w:rPr>
        <w:t>文件为法定代表人签署并由法定代表人亲自递交</w:t>
      </w:r>
      <w:r>
        <w:rPr>
          <w:rFonts w:hint="eastAsia" w:ascii="宋体" w:hAnsi="宋体"/>
          <w:color w:val="000000" w:themeColor="text1"/>
          <w:szCs w:val="21"/>
          <w:highlight w:val="none"/>
        </w:rPr>
        <w:t>谈判响应</w:t>
      </w:r>
      <w:r>
        <w:rPr>
          <w:rFonts w:hint="eastAsia" w:ascii="宋体" w:hAnsi="宋体"/>
          <w:bCs/>
          <w:color w:val="000000" w:themeColor="text1"/>
          <w:szCs w:val="21"/>
          <w:highlight w:val="none"/>
        </w:rPr>
        <w:t>文件和参加</w:t>
      </w:r>
      <w:r>
        <w:rPr>
          <w:rFonts w:hint="eastAsia" w:ascii="宋体" w:hAnsi="宋体"/>
          <w:color w:val="000000" w:themeColor="text1"/>
          <w:szCs w:val="21"/>
          <w:highlight w:val="none"/>
        </w:rPr>
        <w:t>谈判</w:t>
      </w:r>
      <w:r>
        <w:rPr>
          <w:rFonts w:hint="eastAsia" w:ascii="宋体" w:hAnsi="宋体"/>
          <w:bCs/>
          <w:color w:val="000000" w:themeColor="text1"/>
          <w:szCs w:val="21"/>
          <w:highlight w:val="none"/>
        </w:rPr>
        <w:t>的，可不提供“法定代表人授权书”及“代理人身份证”。</w:t>
      </w:r>
    </w:p>
    <w:p>
      <w:pPr>
        <w:tabs>
          <w:tab w:val="center" w:pos="4483"/>
        </w:tabs>
        <w:ind w:left="315" w:leftChars="50" w:hanging="210" w:hangingChars="100"/>
        <w:rPr>
          <w:rFonts w:ascii="宋体" w:hAnsi="宋体"/>
          <w:bCs/>
          <w:color w:val="000000" w:themeColor="text1"/>
          <w:szCs w:val="21"/>
          <w:highlight w:val="none"/>
        </w:rPr>
      </w:pPr>
    </w:p>
    <w:p>
      <w:pPr>
        <w:tabs>
          <w:tab w:val="center" w:pos="4483"/>
        </w:tabs>
        <w:ind w:left="315" w:leftChars="50" w:hanging="210" w:hangingChars="100"/>
        <w:rPr>
          <w:rFonts w:ascii="宋体" w:hAnsi="宋体"/>
          <w:bCs/>
          <w:color w:val="000000" w:themeColor="text1"/>
          <w:szCs w:val="21"/>
          <w:highlight w:val="none"/>
        </w:rPr>
      </w:pPr>
    </w:p>
    <w:p>
      <w:pPr>
        <w:tabs>
          <w:tab w:val="center" w:pos="4483"/>
        </w:tabs>
        <w:ind w:left="315" w:leftChars="50" w:hanging="210" w:hangingChars="100"/>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供应商法定代表人或授权代理人（签字）：</w:t>
      </w:r>
      <w:r>
        <w:rPr>
          <w:rFonts w:hint="eastAsia" w:ascii="宋体" w:hAnsi="宋体"/>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hint="eastAsia" w:ascii="宋体" w:hAnsi="宋体"/>
          <w:color w:val="000000" w:themeColor="text1"/>
          <w:szCs w:val="21"/>
          <w:highlight w:val="none"/>
          <w:u w:val="single"/>
        </w:rPr>
        <w:t xml:space="preserve">                   </w:t>
      </w:r>
    </w:p>
    <w:p>
      <w:pPr>
        <w:adjustRightInd w:val="0"/>
        <w:snapToGrid w:val="0"/>
        <w:spacing w:line="360" w:lineRule="auto"/>
        <w:rPr>
          <w:rFonts w:ascii="宋体" w:hAnsi="宋体"/>
          <w:bCs/>
          <w:color w:val="000000" w:themeColor="text1"/>
          <w:szCs w:val="21"/>
          <w:highlight w:val="none"/>
        </w:rPr>
        <w:sectPr>
          <w:headerReference r:id="rId7" w:type="first"/>
          <w:footerReference r:id="rId10" w:type="first"/>
          <w:headerReference r:id="rId6" w:type="default"/>
          <w:footerReference r:id="rId8" w:type="default"/>
          <w:footerReference r:id="rId9" w:type="even"/>
          <w:pgSz w:w="11906" w:h="16838"/>
          <w:pgMar w:top="1134" w:right="1361" w:bottom="1134" w:left="1361" w:header="851" w:footer="992" w:gutter="0"/>
          <w:cols w:space="720" w:num="1"/>
          <w:docGrid w:linePitch="312" w:charSpace="0"/>
        </w:sectPr>
      </w:pPr>
      <w:r>
        <w:rPr>
          <w:rFonts w:hint="eastAsia" w:ascii="宋体" w:hAnsi="宋体"/>
          <w:bCs/>
          <w:color w:val="000000" w:themeColor="text1"/>
          <w:szCs w:val="21"/>
          <w:highlight w:val="none"/>
        </w:rPr>
        <w:t>日期：   年   月   日</w:t>
      </w:r>
    </w:p>
    <w:p>
      <w:pPr>
        <w:pStyle w:val="5"/>
        <w:numPr>
          <w:ilvl w:val="0"/>
          <w:numId w:val="0"/>
        </w:numPr>
        <w:jc w:val="center"/>
        <w:rPr>
          <w:color w:val="000000" w:themeColor="text1"/>
          <w:sz w:val="28"/>
          <w:szCs w:val="28"/>
          <w:highlight w:val="none"/>
        </w:rPr>
      </w:pPr>
      <w:bookmarkStart w:id="149" w:name="_Toc14225"/>
      <w:bookmarkStart w:id="150" w:name="_Toc200414515"/>
      <w:r>
        <w:rPr>
          <w:rFonts w:hint="eastAsia"/>
          <w:color w:val="000000" w:themeColor="text1"/>
          <w:sz w:val="28"/>
          <w:szCs w:val="28"/>
          <w:highlight w:val="none"/>
        </w:rPr>
        <w:t>（一）无重大违法记录声明函</w:t>
      </w:r>
      <w:bookmarkEnd w:id="149"/>
      <w:bookmarkEnd w:id="150"/>
    </w:p>
    <w:p>
      <w:pPr>
        <w:pStyle w:val="10"/>
        <w:spacing w:line="360" w:lineRule="auto"/>
        <w:ind w:left="420" w:firstLine="0"/>
        <w:rPr>
          <w:color w:val="000000" w:themeColor="text1"/>
          <w:highlight w:val="none"/>
        </w:rPr>
      </w:pPr>
    </w:p>
    <w:p>
      <w:pPr>
        <w:spacing w:line="360" w:lineRule="auto"/>
        <w:rPr>
          <w:color w:val="000000" w:themeColor="text1"/>
          <w:szCs w:val="21"/>
          <w:highlight w:val="none"/>
        </w:rPr>
      </w:pPr>
      <w:r>
        <w:rPr>
          <w:rFonts w:hint="eastAsia"/>
          <w:color w:val="000000" w:themeColor="text1"/>
          <w:szCs w:val="21"/>
          <w:highlight w:val="none"/>
        </w:rPr>
        <w:t>致广东业信采购招标有限公司：</w:t>
      </w:r>
    </w:p>
    <w:p>
      <w:pPr>
        <w:spacing w:line="360" w:lineRule="auto"/>
        <w:rPr>
          <w:color w:val="000000" w:themeColor="text1"/>
          <w:szCs w:val="21"/>
          <w:highlight w:val="none"/>
        </w:rPr>
      </w:pPr>
      <w:r>
        <w:rPr>
          <w:rFonts w:hint="eastAsia"/>
          <w:color w:val="000000" w:themeColor="text1"/>
          <w:szCs w:val="21"/>
          <w:highlight w:val="none"/>
        </w:rPr>
        <w:t xml:space="preserve">    针对贵方组织的</w:t>
      </w:r>
      <w:r>
        <w:rPr>
          <w:rFonts w:hint="eastAsia"/>
          <w:color w:val="000000" w:themeColor="text1"/>
          <w:szCs w:val="21"/>
          <w:highlight w:val="none"/>
          <w:u w:val="single"/>
        </w:rPr>
        <w:t xml:space="preserve"> </w:t>
      </w:r>
      <w:r>
        <w:rPr>
          <w:rFonts w:hint="eastAsia"/>
          <w:color w:val="000000" w:themeColor="text1"/>
          <w:szCs w:val="21"/>
          <w:highlight w:val="none"/>
          <w:u w:val="single"/>
          <w:lang w:eastAsia="zh-CN"/>
        </w:rPr>
        <w:t>中共阳西县委组织部干部人事档案管理信息系统建设及档案整理数字化项目</w:t>
      </w:r>
      <w:r>
        <w:rPr>
          <w:rFonts w:hint="eastAsia"/>
          <w:color w:val="000000" w:themeColor="text1"/>
          <w:szCs w:val="21"/>
          <w:highlight w:val="none"/>
          <w:u w:val="single"/>
        </w:rPr>
        <w:t xml:space="preserve">  </w:t>
      </w:r>
      <w:r>
        <w:rPr>
          <w:rFonts w:hint="eastAsia"/>
          <w:color w:val="000000" w:themeColor="text1"/>
          <w:szCs w:val="21"/>
          <w:highlight w:val="none"/>
        </w:rPr>
        <w:t>（项目编号</w:t>
      </w:r>
      <w:r>
        <w:rPr>
          <w:rFonts w:hint="eastAsia"/>
          <w:color w:val="000000" w:themeColor="text1"/>
          <w:szCs w:val="21"/>
          <w:highlight w:val="none"/>
          <w:u w:val="single"/>
        </w:rPr>
        <w:t>：</w:t>
      </w:r>
      <w:r>
        <w:rPr>
          <w:rFonts w:hint="eastAsia" w:ascii="宋体" w:hAnsi="宋体"/>
          <w:b/>
          <w:bCs/>
          <w:color w:val="000000" w:themeColor="text1"/>
          <w:szCs w:val="21"/>
          <w:highlight w:val="none"/>
          <w:u w:val="single"/>
          <w:lang w:eastAsia="zh-CN"/>
        </w:rPr>
        <w:t>YXCG-20220303</w:t>
      </w:r>
      <w:r>
        <w:rPr>
          <w:rFonts w:hint="eastAsia"/>
          <w:color w:val="000000" w:themeColor="text1"/>
          <w:szCs w:val="21"/>
          <w:highlight w:val="none"/>
          <w:u w:val="single"/>
        </w:rPr>
        <w:t>）</w:t>
      </w:r>
      <w:r>
        <w:rPr>
          <w:rFonts w:hint="eastAsia"/>
          <w:color w:val="000000" w:themeColor="text1"/>
          <w:szCs w:val="21"/>
          <w:highlight w:val="none"/>
        </w:rPr>
        <w:t>，我方郑重承诺：</w:t>
      </w:r>
    </w:p>
    <w:p>
      <w:pPr>
        <w:spacing w:line="360" w:lineRule="auto"/>
        <w:rPr>
          <w:color w:val="000000" w:themeColor="text1"/>
          <w:szCs w:val="21"/>
          <w:highlight w:val="none"/>
        </w:rPr>
      </w:pPr>
      <w:r>
        <w:rPr>
          <w:rFonts w:hint="eastAsia"/>
          <w:color w:val="000000" w:themeColor="text1"/>
          <w:szCs w:val="21"/>
          <w:highlight w:val="none"/>
        </w:rPr>
        <w:t xml:space="preserve">   参加本次政府采购活动前三年内，在经营活动中没有重大违法记录。</w:t>
      </w:r>
    </w:p>
    <w:p>
      <w:pPr>
        <w:spacing w:line="360" w:lineRule="auto"/>
        <w:rPr>
          <w:color w:val="000000" w:themeColor="text1"/>
          <w:sz w:val="24"/>
          <w:highlight w:val="none"/>
        </w:rPr>
      </w:pPr>
      <w:r>
        <w:rPr>
          <w:rFonts w:hint="eastAsia"/>
          <w:color w:val="000000" w:themeColor="text1"/>
          <w:sz w:val="24"/>
          <w:highlight w:val="none"/>
        </w:rPr>
        <w:t xml:space="preserve">    本公司对上述声明的真实性负责。如有虚假，将依法承担相关责任。</w:t>
      </w:r>
    </w:p>
    <w:p>
      <w:pPr>
        <w:spacing w:line="360" w:lineRule="auto"/>
        <w:rPr>
          <w:color w:val="000000" w:themeColor="text1"/>
          <w:szCs w:val="21"/>
          <w:highlight w:val="none"/>
        </w:rPr>
      </w:pPr>
      <w:r>
        <w:rPr>
          <w:rFonts w:hint="eastAsia"/>
          <w:color w:val="000000" w:themeColor="text1"/>
          <w:szCs w:val="21"/>
          <w:highlight w:val="none"/>
        </w:rPr>
        <w:t xml:space="preserve">    特此声明。</w:t>
      </w: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rPr>
          <w:color w:val="000000" w:themeColor="text1"/>
          <w:szCs w:val="21"/>
          <w:highlight w:val="none"/>
        </w:rPr>
      </w:pPr>
      <w:r>
        <w:rPr>
          <w:rFonts w:hint="eastAsia"/>
          <w:color w:val="000000" w:themeColor="text1"/>
          <w:szCs w:val="21"/>
          <w:highlight w:val="none"/>
        </w:rPr>
        <w:t>供应商法定代表人或授权代理人（签字）：</w:t>
      </w:r>
      <w:r>
        <w:rPr>
          <w:rFonts w:hint="eastAsia"/>
          <w:color w:val="000000" w:themeColor="text1"/>
          <w:szCs w:val="21"/>
          <w:highlight w:val="none"/>
          <w:u w:val="single"/>
        </w:rPr>
        <w:t xml:space="preserve">              </w:t>
      </w:r>
      <w:r>
        <w:rPr>
          <w:rFonts w:hint="eastAsia"/>
          <w:color w:val="000000" w:themeColor="text1"/>
          <w:szCs w:val="21"/>
          <w:highlight w:val="none"/>
        </w:rPr>
        <w:t xml:space="preserve">          </w:t>
      </w:r>
    </w:p>
    <w:p>
      <w:pPr>
        <w:spacing w:line="360" w:lineRule="auto"/>
        <w:rPr>
          <w:color w:val="000000" w:themeColor="text1"/>
          <w:szCs w:val="21"/>
          <w:highlight w:val="none"/>
        </w:rPr>
      </w:pPr>
      <w:r>
        <w:rPr>
          <w:rFonts w:hint="eastAsia"/>
          <w:color w:val="000000" w:themeColor="text1"/>
          <w:szCs w:val="21"/>
          <w:highlight w:val="none"/>
        </w:rPr>
        <w:t>供应商名称（加盖公章）：</w:t>
      </w:r>
      <w:r>
        <w:rPr>
          <w:rFonts w:hint="eastAsia"/>
          <w:color w:val="000000" w:themeColor="text1"/>
          <w:szCs w:val="21"/>
          <w:highlight w:val="none"/>
          <w:u w:val="single"/>
        </w:rPr>
        <w:t xml:space="preserve">                        </w:t>
      </w:r>
      <w:r>
        <w:rPr>
          <w:rFonts w:hint="eastAsia"/>
          <w:color w:val="000000" w:themeColor="text1"/>
          <w:szCs w:val="21"/>
          <w:highlight w:val="none"/>
        </w:rPr>
        <w:t xml:space="preserve">                        </w:t>
      </w:r>
    </w:p>
    <w:p>
      <w:pPr>
        <w:pStyle w:val="10"/>
        <w:ind w:left="420" w:firstLine="0"/>
        <w:rPr>
          <w:color w:val="000000" w:themeColor="text1"/>
          <w:highlight w:val="none"/>
        </w:rPr>
      </w:pPr>
    </w:p>
    <w:p>
      <w:pPr>
        <w:pStyle w:val="10"/>
        <w:ind w:left="420" w:firstLine="0"/>
        <w:rPr>
          <w:color w:val="000000" w:themeColor="text1"/>
          <w:highlight w:val="none"/>
        </w:rPr>
      </w:pPr>
    </w:p>
    <w:p>
      <w:pPr>
        <w:pStyle w:val="10"/>
        <w:ind w:left="420" w:firstLine="0"/>
        <w:rPr>
          <w:color w:val="000000" w:themeColor="text1"/>
          <w:highlight w:val="none"/>
        </w:rPr>
      </w:pPr>
    </w:p>
    <w:p>
      <w:pPr>
        <w:pStyle w:val="10"/>
        <w:ind w:left="420" w:firstLine="0"/>
        <w:rPr>
          <w:color w:val="000000" w:themeColor="text1"/>
          <w:highlight w:val="none"/>
        </w:rPr>
      </w:pPr>
    </w:p>
    <w:p>
      <w:pPr>
        <w:pStyle w:val="10"/>
        <w:ind w:left="420" w:firstLine="0"/>
        <w:rPr>
          <w:color w:val="000000" w:themeColor="text1"/>
          <w:highlight w:val="none"/>
        </w:rPr>
      </w:pPr>
    </w:p>
    <w:p>
      <w:pPr>
        <w:pStyle w:val="10"/>
        <w:ind w:left="420" w:firstLine="0"/>
        <w:rPr>
          <w:color w:val="000000" w:themeColor="text1"/>
          <w:highlight w:val="none"/>
        </w:rPr>
      </w:pPr>
    </w:p>
    <w:p>
      <w:pPr>
        <w:pStyle w:val="10"/>
        <w:ind w:left="420" w:firstLine="0"/>
        <w:rPr>
          <w:color w:val="000000" w:themeColor="text1"/>
          <w:highlight w:val="none"/>
        </w:rPr>
      </w:pPr>
    </w:p>
    <w:p>
      <w:pPr>
        <w:pStyle w:val="10"/>
        <w:ind w:left="420" w:firstLine="0"/>
        <w:rPr>
          <w:color w:val="000000" w:themeColor="text1"/>
          <w:highlight w:val="none"/>
        </w:rPr>
      </w:pPr>
    </w:p>
    <w:p>
      <w:pPr>
        <w:pStyle w:val="10"/>
        <w:ind w:left="420" w:firstLine="0"/>
        <w:rPr>
          <w:color w:val="000000" w:themeColor="text1"/>
          <w:highlight w:val="none"/>
        </w:rPr>
      </w:pPr>
    </w:p>
    <w:p>
      <w:pPr>
        <w:pStyle w:val="10"/>
        <w:ind w:left="420" w:firstLine="0"/>
        <w:rPr>
          <w:color w:val="000000" w:themeColor="text1"/>
          <w:highlight w:val="none"/>
        </w:rPr>
      </w:pPr>
    </w:p>
    <w:p>
      <w:pPr>
        <w:pStyle w:val="10"/>
        <w:ind w:left="420" w:firstLine="0"/>
        <w:rPr>
          <w:color w:val="000000" w:themeColor="text1"/>
          <w:highlight w:val="none"/>
        </w:rPr>
      </w:pPr>
    </w:p>
    <w:p>
      <w:pPr>
        <w:pStyle w:val="10"/>
        <w:ind w:left="420" w:firstLine="0"/>
        <w:rPr>
          <w:color w:val="000000" w:themeColor="text1"/>
          <w:highlight w:val="none"/>
        </w:rPr>
      </w:pPr>
    </w:p>
    <w:p>
      <w:pPr>
        <w:pStyle w:val="10"/>
        <w:ind w:left="420" w:firstLine="0"/>
        <w:rPr>
          <w:color w:val="000000" w:themeColor="text1"/>
          <w:highlight w:val="none"/>
        </w:rPr>
      </w:pPr>
    </w:p>
    <w:p>
      <w:pPr>
        <w:pStyle w:val="10"/>
        <w:ind w:left="420" w:firstLine="0"/>
        <w:rPr>
          <w:color w:val="000000" w:themeColor="text1"/>
          <w:highlight w:val="none"/>
        </w:rPr>
      </w:pPr>
    </w:p>
    <w:p>
      <w:pPr>
        <w:pStyle w:val="10"/>
        <w:ind w:left="420" w:firstLine="0"/>
        <w:rPr>
          <w:color w:val="000000" w:themeColor="text1"/>
          <w:highlight w:val="none"/>
        </w:rPr>
      </w:pPr>
    </w:p>
    <w:p>
      <w:pPr>
        <w:pStyle w:val="10"/>
        <w:ind w:left="420" w:firstLine="0"/>
        <w:rPr>
          <w:color w:val="000000" w:themeColor="text1"/>
          <w:highlight w:val="none"/>
        </w:rPr>
      </w:pPr>
    </w:p>
    <w:p>
      <w:pPr>
        <w:pStyle w:val="10"/>
        <w:ind w:left="420" w:firstLine="0"/>
        <w:rPr>
          <w:color w:val="000000" w:themeColor="text1"/>
          <w:highlight w:val="none"/>
        </w:rPr>
      </w:pPr>
    </w:p>
    <w:p>
      <w:pPr>
        <w:pStyle w:val="10"/>
        <w:ind w:left="420" w:firstLine="0"/>
        <w:rPr>
          <w:color w:val="000000" w:themeColor="text1"/>
          <w:highlight w:val="none"/>
        </w:rPr>
      </w:pPr>
    </w:p>
    <w:p>
      <w:pPr>
        <w:pStyle w:val="5"/>
        <w:numPr>
          <w:ilvl w:val="0"/>
          <w:numId w:val="0"/>
        </w:numPr>
        <w:jc w:val="center"/>
        <w:rPr>
          <w:color w:val="000000" w:themeColor="text1"/>
          <w:kern w:val="0"/>
          <w:sz w:val="28"/>
          <w:szCs w:val="28"/>
          <w:highlight w:val="none"/>
        </w:rPr>
      </w:pPr>
      <w:bookmarkStart w:id="151" w:name="_Toc22482"/>
      <w:bookmarkStart w:id="152" w:name="_Toc200414516"/>
      <w:r>
        <w:rPr>
          <w:rFonts w:hint="eastAsia"/>
          <w:color w:val="000000" w:themeColor="text1"/>
          <w:kern w:val="0"/>
          <w:sz w:val="28"/>
          <w:szCs w:val="28"/>
          <w:highlight w:val="none"/>
        </w:rPr>
        <w:t>（二）法定代表人证明书</w:t>
      </w:r>
      <w:bookmarkEnd w:id="151"/>
      <w:bookmarkEnd w:id="152"/>
    </w:p>
    <w:p>
      <w:pPr>
        <w:pStyle w:val="10"/>
        <w:rPr>
          <w:color w:val="000000" w:themeColor="text1"/>
          <w:highlight w:val="none"/>
        </w:rPr>
      </w:pPr>
    </w:p>
    <w:p>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供应商名称                  </w:t>
      </w:r>
      <w:r>
        <w:rPr>
          <w:rFonts w:hint="eastAsia" w:ascii="宋体" w:hAnsi="宋体"/>
          <w:color w:val="000000" w:themeColor="text1"/>
          <w:highlight w:val="none"/>
        </w:rPr>
        <w:t xml:space="preserve">的   </w:t>
      </w:r>
      <w:r>
        <w:rPr>
          <w:rFonts w:hint="eastAsia" w:ascii="宋体" w:hAnsi="宋体"/>
          <w:color w:val="000000" w:themeColor="text1"/>
          <w:highlight w:val="none"/>
          <w:u w:val="single"/>
        </w:rPr>
        <w:t xml:space="preserve">职务    </w:t>
      </w:r>
      <w:r>
        <w:rPr>
          <w:rFonts w:hint="eastAsia" w:ascii="宋体" w:hAnsi="宋体"/>
          <w:color w:val="000000" w:themeColor="text1"/>
          <w:highlight w:val="none"/>
        </w:rPr>
        <w:t>，为法定代表人，特此证明。</w:t>
      </w:r>
    </w:p>
    <w:p>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r>
        <w:rPr>
          <w:rFonts w:hint="eastAsia" w:ascii="宋体" w:hAnsi="宋体"/>
          <w:color w:val="000000" w:themeColor="text1"/>
          <w:highlight w:val="none"/>
        </w:rPr>
        <w:t xml:space="preserve">                          </w:t>
      </w:r>
    </w:p>
    <w:p>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spacing w:line="480" w:lineRule="exact"/>
        <w:ind w:firstLine="420" w:firstLineChars="200"/>
        <w:rPr>
          <w:rFonts w:ascii="宋体" w:hAnsi="宋体"/>
          <w:color w:val="000000" w:themeColor="text1"/>
          <w:highlight w:val="none"/>
        </w:rPr>
      </w:pPr>
    </w:p>
    <w:p>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pPr>
        <w:spacing w:line="480" w:lineRule="exact"/>
        <w:ind w:firstLine="420" w:firstLineChars="200"/>
        <w:rPr>
          <w:rFonts w:ascii="宋体" w:hAnsi="宋体"/>
          <w:color w:val="000000" w:themeColor="text1"/>
          <w:highlight w:val="none"/>
        </w:rPr>
      </w:pPr>
    </w:p>
    <w:p>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pPr>
        <w:pStyle w:val="10"/>
        <w:rPr>
          <w:color w:val="000000" w:themeColor="text1"/>
          <w:highlight w:val="none"/>
        </w:rPr>
      </w:pPr>
    </w:p>
    <w:p>
      <w:pPr>
        <w:pStyle w:val="10"/>
        <w:rPr>
          <w:color w:val="000000" w:themeColor="text1"/>
          <w:highlight w:val="none"/>
        </w:rPr>
      </w:pPr>
    </w:p>
    <w:p>
      <w:pPr>
        <w:pStyle w:val="10"/>
        <w:rPr>
          <w:color w:val="000000" w:themeColor="text1"/>
          <w:highlight w:val="none"/>
        </w:rPr>
      </w:pPr>
    </w:p>
    <w:p>
      <w:pPr>
        <w:pStyle w:val="10"/>
        <w:ind w:firstLine="0"/>
        <w:rPr>
          <w:color w:val="000000" w:themeColor="text1"/>
          <w:highlight w:val="none"/>
        </w:rPr>
      </w:pPr>
      <w:r>
        <w:rPr>
          <w:color w:val="000000" w:themeColor="text1"/>
          <w:highlight w:val="none"/>
        </w:rPr>
        <w:pict>
          <v:shape id="_x0000_s1217" o:spid="_x0000_s1217" o:spt="176" type="#_x0000_t176" style="position:absolute;left:0pt;margin-left:62.75pt;margin-top:6.95pt;height:140.3pt;width:275.8pt;z-index:251660288;mso-width-relative:page;mso-height-relative:page;" coordsize="21600,2160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r>
        <w:rPr>
          <w:rFonts w:hint="eastAsia"/>
          <w:color w:val="000000" w:themeColor="text1"/>
          <w:highlight w:val="none"/>
        </w:rPr>
        <w:t xml:space="preserve">    </w:t>
      </w:r>
    </w:p>
    <w:p>
      <w:pPr>
        <w:pStyle w:val="10"/>
        <w:ind w:firstLine="0"/>
        <w:rPr>
          <w:color w:val="000000" w:themeColor="text1"/>
          <w:highlight w:val="none"/>
        </w:rPr>
      </w:pPr>
    </w:p>
    <w:p>
      <w:pPr>
        <w:pStyle w:val="10"/>
        <w:ind w:firstLine="0"/>
        <w:rPr>
          <w:color w:val="000000" w:themeColor="text1"/>
          <w:highlight w:val="none"/>
        </w:rPr>
      </w:pPr>
      <w:r>
        <w:rPr>
          <w:rFonts w:hint="eastAsia"/>
          <w:color w:val="000000" w:themeColor="text1"/>
          <w:highlight w:val="none"/>
        </w:rPr>
        <w:t xml:space="preserve">   </w:t>
      </w:r>
    </w:p>
    <w:p>
      <w:pPr>
        <w:pStyle w:val="10"/>
        <w:ind w:firstLine="0"/>
        <w:rPr>
          <w:color w:val="000000" w:themeColor="text1"/>
          <w:highlight w:val="none"/>
        </w:rPr>
      </w:pPr>
    </w:p>
    <w:p>
      <w:pPr>
        <w:pStyle w:val="10"/>
        <w:rPr>
          <w:color w:val="000000" w:themeColor="text1"/>
          <w:highlight w:val="none"/>
        </w:rPr>
      </w:pPr>
    </w:p>
    <w:p>
      <w:pPr>
        <w:pStyle w:val="10"/>
        <w:rPr>
          <w:color w:val="000000" w:themeColor="text1"/>
          <w:highlight w:val="none"/>
        </w:rPr>
      </w:pPr>
    </w:p>
    <w:p>
      <w:pPr>
        <w:pStyle w:val="10"/>
        <w:rPr>
          <w:color w:val="000000" w:themeColor="text1"/>
          <w:highlight w:val="none"/>
        </w:rPr>
      </w:pPr>
    </w:p>
    <w:p>
      <w:pPr>
        <w:pStyle w:val="10"/>
        <w:rPr>
          <w:color w:val="000000" w:themeColor="text1"/>
          <w:highlight w:val="none"/>
        </w:rPr>
      </w:pPr>
    </w:p>
    <w:p>
      <w:pPr>
        <w:pStyle w:val="10"/>
        <w:rPr>
          <w:color w:val="000000" w:themeColor="text1"/>
          <w:highlight w:val="none"/>
        </w:rPr>
      </w:pPr>
    </w:p>
    <w:p>
      <w:pPr>
        <w:pStyle w:val="10"/>
        <w:rPr>
          <w:color w:val="000000" w:themeColor="text1"/>
          <w:highlight w:val="none"/>
        </w:rPr>
      </w:pPr>
    </w:p>
    <w:p>
      <w:pPr>
        <w:pStyle w:val="10"/>
        <w:rPr>
          <w:color w:val="000000" w:themeColor="text1"/>
          <w:highlight w:val="none"/>
        </w:rPr>
      </w:pPr>
    </w:p>
    <w:p>
      <w:pPr>
        <w:pStyle w:val="10"/>
        <w:rPr>
          <w:color w:val="000000" w:themeColor="text1"/>
          <w:highlight w:val="none"/>
        </w:rPr>
      </w:pPr>
    </w:p>
    <w:p>
      <w:pPr>
        <w:pStyle w:val="10"/>
        <w:rPr>
          <w:color w:val="000000" w:themeColor="text1"/>
          <w:highlight w:val="none"/>
        </w:rPr>
      </w:pPr>
    </w:p>
    <w:p>
      <w:pPr>
        <w:pStyle w:val="10"/>
        <w:rPr>
          <w:color w:val="000000" w:themeColor="text1"/>
          <w:highlight w:val="none"/>
        </w:rPr>
      </w:pPr>
    </w:p>
    <w:p>
      <w:pPr>
        <w:pStyle w:val="10"/>
        <w:rPr>
          <w:color w:val="000000" w:themeColor="text1"/>
          <w:highlight w:val="none"/>
        </w:rPr>
      </w:pPr>
    </w:p>
    <w:p>
      <w:pPr>
        <w:pStyle w:val="10"/>
        <w:rPr>
          <w:color w:val="000000" w:themeColor="text1"/>
          <w:highlight w:val="none"/>
        </w:rPr>
      </w:pPr>
    </w:p>
    <w:p>
      <w:pPr>
        <w:pStyle w:val="10"/>
        <w:rPr>
          <w:color w:val="000000" w:themeColor="text1"/>
          <w:highlight w:val="none"/>
        </w:rPr>
      </w:pPr>
    </w:p>
    <w:p>
      <w:pPr>
        <w:pStyle w:val="10"/>
        <w:rPr>
          <w:color w:val="000000" w:themeColor="text1"/>
          <w:highlight w:val="none"/>
        </w:rPr>
      </w:pPr>
    </w:p>
    <w:p>
      <w:pPr>
        <w:pStyle w:val="10"/>
        <w:rPr>
          <w:color w:val="000000" w:themeColor="text1"/>
          <w:highlight w:val="none"/>
        </w:rPr>
      </w:pPr>
    </w:p>
    <w:p>
      <w:pPr>
        <w:pStyle w:val="10"/>
        <w:rPr>
          <w:color w:val="000000" w:themeColor="text1"/>
          <w:highlight w:val="none"/>
        </w:rPr>
      </w:pPr>
    </w:p>
    <w:p>
      <w:pPr>
        <w:pStyle w:val="10"/>
        <w:rPr>
          <w:color w:val="000000" w:themeColor="text1"/>
          <w:highlight w:val="none"/>
        </w:rPr>
      </w:pPr>
    </w:p>
    <w:p>
      <w:pPr>
        <w:pStyle w:val="10"/>
        <w:rPr>
          <w:color w:val="000000" w:themeColor="text1"/>
          <w:highlight w:val="none"/>
        </w:rPr>
      </w:pPr>
    </w:p>
    <w:p>
      <w:pPr>
        <w:pStyle w:val="10"/>
        <w:rPr>
          <w:color w:val="000000" w:themeColor="text1"/>
          <w:highlight w:val="none"/>
        </w:rPr>
      </w:pPr>
    </w:p>
    <w:p>
      <w:pPr>
        <w:pStyle w:val="10"/>
        <w:rPr>
          <w:color w:val="000000" w:themeColor="text1"/>
          <w:highlight w:val="none"/>
        </w:rPr>
      </w:pPr>
    </w:p>
    <w:p>
      <w:pPr>
        <w:pStyle w:val="10"/>
        <w:rPr>
          <w:color w:val="000000" w:themeColor="text1"/>
          <w:highlight w:val="none"/>
        </w:rPr>
      </w:pPr>
    </w:p>
    <w:p>
      <w:pPr>
        <w:pStyle w:val="10"/>
        <w:rPr>
          <w:color w:val="000000" w:themeColor="text1"/>
          <w:highlight w:val="none"/>
        </w:rPr>
      </w:pPr>
    </w:p>
    <w:p>
      <w:pPr>
        <w:pStyle w:val="5"/>
        <w:numPr>
          <w:ilvl w:val="0"/>
          <w:numId w:val="0"/>
        </w:numPr>
        <w:jc w:val="center"/>
        <w:rPr>
          <w:color w:val="000000" w:themeColor="text1"/>
          <w:sz w:val="28"/>
          <w:szCs w:val="28"/>
          <w:highlight w:val="none"/>
        </w:rPr>
      </w:pPr>
      <w:bookmarkStart w:id="153" w:name="_Toc200414517"/>
      <w:bookmarkStart w:id="154" w:name="_Toc19863"/>
      <w:r>
        <w:rPr>
          <w:rFonts w:hint="eastAsia"/>
          <w:color w:val="000000" w:themeColor="text1"/>
          <w:sz w:val="28"/>
          <w:szCs w:val="28"/>
          <w:highlight w:val="none"/>
        </w:rPr>
        <w:t>（三）法定代表人授权书</w:t>
      </w:r>
      <w:bookmarkEnd w:id="153"/>
      <w:bookmarkEnd w:id="154"/>
    </w:p>
    <w:p>
      <w:pPr>
        <w:spacing w:line="560" w:lineRule="exact"/>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本授权委托书声明：我</w:t>
      </w:r>
      <w:r>
        <w:rPr>
          <w:rFonts w:hint="eastAsia" w:ascii="宋体" w:hAnsi="宋体"/>
          <w:bCs/>
          <w:color w:val="000000" w:themeColor="text1"/>
          <w:kern w:val="0"/>
          <w:szCs w:val="21"/>
          <w:highlight w:val="none"/>
          <w:u w:val="single"/>
        </w:rPr>
        <w:t xml:space="preserve">        （单位</w:t>
      </w:r>
      <w:r>
        <w:rPr>
          <w:rFonts w:hint="eastAsia" w:ascii="宋体" w:hAnsi="宋体" w:cs="宋体"/>
          <w:bCs/>
          <w:color w:val="000000" w:themeColor="text1"/>
          <w:kern w:val="0"/>
          <w:szCs w:val="21"/>
          <w:highlight w:val="none"/>
          <w:u w:val="single"/>
        </w:rPr>
        <w:t>法定代表人</w:t>
      </w:r>
      <w:r>
        <w:rPr>
          <w:rFonts w:hint="eastAsia" w:ascii="宋体" w:hAnsi="宋体"/>
          <w:bCs/>
          <w:color w:val="000000" w:themeColor="text1"/>
          <w:kern w:val="0"/>
          <w:szCs w:val="21"/>
          <w:highlight w:val="none"/>
          <w:u w:val="single"/>
        </w:rPr>
        <w:t>姓名）</w:t>
      </w:r>
      <w:r>
        <w:rPr>
          <w:rFonts w:hint="eastAsia" w:ascii="宋体" w:hAnsi="宋体"/>
          <w:bCs/>
          <w:color w:val="000000" w:themeColor="text1"/>
          <w:kern w:val="0"/>
          <w:szCs w:val="21"/>
          <w:highlight w:val="none"/>
        </w:rPr>
        <w:t xml:space="preserve"> 系</w:t>
      </w:r>
      <w:r>
        <w:rPr>
          <w:rFonts w:hint="eastAsia" w:ascii="宋体" w:hAnsi="宋体"/>
          <w:bCs/>
          <w:color w:val="000000" w:themeColor="text1"/>
          <w:kern w:val="0"/>
          <w:szCs w:val="21"/>
          <w:highlight w:val="none"/>
          <w:u w:val="single"/>
        </w:rPr>
        <w:t xml:space="preserve">       （供应商名称）</w:t>
      </w:r>
      <w:r>
        <w:rPr>
          <w:rFonts w:hint="eastAsia" w:ascii="宋体" w:hAnsi="宋体"/>
          <w:bCs/>
          <w:color w:val="000000" w:themeColor="text1"/>
          <w:kern w:val="0"/>
          <w:szCs w:val="21"/>
          <w:highlight w:val="none"/>
        </w:rPr>
        <w:t>的法定代表人，现授权委托</w:t>
      </w:r>
      <w:r>
        <w:rPr>
          <w:rFonts w:hint="eastAsia" w:ascii="宋体" w:hAnsi="宋体"/>
          <w:bCs/>
          <w:color w:val="000000" w:themeColor="text1"/>
          <w:kern w:val="0"/>
          <w:szCs w:val="21"/>
          <w:highlight w:val="none"/>
          <w:u w:val="single"/>
        </w:rPr>
        <w:t xml:space="preserve">                        （供应商名称）</w:t>
      </w:r>
      <w:r>
        <w:rPr>
          <w:rFonts w:hint="eastAsia" w:ascii="宋体" w:hAnsi="宋体"/>
          <w:bCs/>
          <w:color w:val="000000" w:themeColor="text1"/>
          <w:kern w:val="0"/>
          <w:szCs w:val="21"/>
          <w:highlight w:val="none"/>
        </w:rPr>
        <w:t>的</w:t>
      </w:r>
      <w:r>
        <w:rPr>
          <w:rFonts w:hint="eastAsia" w:ascii="宋体" w:hAnsi="宋体"/>
          <w:bCs/>
          <w:color w:val="000000" w:themeColor="text1"/>
          <w:kern w:val="0"/>
          <w:szCs w:val="21"/>
          <w:highlight w:val="none"/>
          <w:u w:val="single"/>
        </w:rPr>
        <w:t xml:space="preserve">            （代理人姓名）</w:t>
      </w:r>
      <w:r>
        <w:rPr>
          <w:rFonts w:hint="eastAsia" w:ascii="宋体" w:hAnsi="宋体"/>
          <w:bCs/>
          <w:color w:val="000000" w:themeColor="text1"/>
          <w:kern w:val="0"/>
          <w:szCs w:val="21"/>
          <w:highlight w:val="none"/>
        </w:rPr>
        <w:t>为我公司代理人，以本公司的名义参加广东业信采购招标有限公司组织的</w:t>
      </w:r>
      <w:r>
        <w:rPr>
          <w:rFonts w:hint="eastAsia" w:ascii="宋体" w:hAnsi="宋体"/>
          <w:bCs/>
          <w:color w:val="000000" w:themeColor="text1"/>
          <w:kern w:val="0"/>
          <w:szCs w:val="21"/>
          <w:highlight w:val="none"/>
          <w:u w:val="single"/>
        </w:rPr>
        <w:t xml:space="preserve">  </w:t>
      </w:r>
      <w:r>
        <w:rPr>
          <w:rFonts w:hint="eastAsia" w:ascii="宋体" w:hAnsi="宋体" w:cs="宋体"/>
          <w:b/>
          <w:color w:val="000000" w:themeColor="text1"/>
          <w:szCs w:val="21"/>
          <w:highlight w:val="none"/>
          <w:u w:val="single"/>
        </w:rPr>
        <w:t>项目名称，由供应商填写</w:t>
      </w:r>
      <w:r>
        <w:rPr>
          <w:rFonts w:hint="eastAsia" w:ascii="宋体" w:hAnsi="宋体" w:cs="宋体"/>
          <w:color w:val="000000" w:themeColor="text1"/>
          <w:szCs w:val="21"/>
          <w:highlight w:val="none"/>
          <w:u w:val="single"/>
        </w:rPr>
        <w:t xml:space="preserve">   </w:t>
      </w:r>
      <w:r>
        <w:rPr>
          <w:rFonts w:hint="eastAsia" w:ascii="宋体" w:hAnsi="宋体"/>
          <w:bCs/>
          <w:color w:val="000000" w:themeColor="text1"/>
          <w:szCs w:val="21"/>
          <w:highlight w:val="none"/>
        </w:rPr>
        <w:t xml:space="preserve">谈判项目（项目编号: </w:t>
      </w:r>
      <w:r>
        <w:rPr>
          <w:rFonts w:hint="eastAsia" w:ascii="宋体" w:hAnsi="宋体" w:cs="宋体"/>
          <w:b/>
          <w:color w:val="000000" w:themeColor="text1"/>
          <w:szCs w:val="21"/>
          <w:highlight w:val="none"/>
          <w:u w:val="single"/>
          <w:lang w:eastAsia="zh-CN"/>
        </w:rPr>
        <w:t>YXCG-20220303</w:t>
      </w:r>
      <w:r>
        <w:rPr>
          <w:rFonts w:hint="eastAsia" w:ascii="宋体" w:hAnsi="宋体" w:cs="宋体"/>
          <w:b/>
          <w:color w:val="000000" w:themeColor="text1"/>
          <w:szCs w:val="21"/>
          <w:highlight w:val="none"/>
          <w:u w:val="single"/>
        </w:rPr>
        <w:t xml:space="preserve"> </w:t>
      </w:r>
      <w:r>
        <w:rPr>
          <w:rFonts w:hint="eastAsia" w:ascii="宋体" w:hAnsi="宋体"/>
          <w:bCs/>
          <w:color w:val="000000" w:themeColor="text1"/>
          <w:szCs w:val="21"/>
          <w:highlight w:val="none"/>
        </w:rPr>
        <w:t>）</w:t>
      </w:r>
      <w:r>
        <w:rPr>
          <w:rFonts w:hint="eastAsia" w:ascii="宋体" w:hAnsi="宋体"/>
          <w:bCs/>
          <w:color w:val="000000" w:themeColor="text1"/>
          <w:kern w:val="0"/>
          <w:szCs w:val="21"/>
          <w:highlight w:val="none"/>
        </w:rPr>
        <w:t>的活动。代理人在开标、评标、合同谈判过程中所签署的一切文件和处理与之有关的一切事务，我均予以承认。本授权委托书自签署之日起生效，特此声明。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代理人无转移委托权。</w:t>
      </w:r>
    </w:p>
    <w:p>
      <w:pPr>
        <w:spacing w:line="560" w:lineRule="exact"/>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特此委托。</w:t>
      </w:r>
    </w:p>
    <w:p>
      <w:pPr>
        <w:autoSpaceDE w:val="0"/>
        <w:autoSpaceDN w:val="0"/>
        <w:adjustRightInd w:val="0"/>
        <w:snapToGrid w:val="0"/>
        <w:spacing w:line="440" w:lineRule="exact"/>
        <w:ind w:firstLine="600"/>
        <w:jc w:val="left"/>
        <w:rPr>
          <w:rFonts w:ascii="宋体" w:hAnsi="宋体"/>
          <w:bCs/>
          <w:color w:val="000000" w:themeColor="text1"/>
          <w:kern w:val="0"/>
          <w:szCs w:val="21"/>
          <w:highlight w:val="none"/>
        </w:rPr>
      </w:pPr>
    </w:p>
    <w:p>
      <w:pPr>
        <w:spacing w:line="560" w:lineRule="exact"/>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代理人：</w:t>
      </w:r>
      <w:r>
        <w:rPr>
          <w:rFonts w:hint="eastAsia" w:ascii="宋体" w:hAnsi="宋体"/>
          <w:bCs/>
          <w:color w:val="000000" w:themeColor="text1"/>
          <w:kern w:val="0"/>
          <w:szCs w:val="21"/>
          <w:highlight w:val="none"/>
          <w:u w:val="single"/>
        </w:rPr>
        <w:t xml:space="preserve">   </w:t>
      </w:r>
      <w:r>
        <w:rPr>
          <w:rFonts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性别：</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年龄：</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职务：</w:t>
      </w:r>
      <w:r>
        <w:rPr>
          <w:rFonts w:hint="eastAsia" w:ascii="宋体" w:hAnsi="宋体"/>
          <w:bCs/>
          <w:color w:val="000000" w:themeColor="text1"/>
          <w:kern w:val="0"/>
          <w:szCs w:val="21"/>
          <w:highlight w:val="none"/>
          <w:u w:val="single"/>
        </w:rPr>
        <w:t xml:space="preserve">           </w:t>
      </w:r>
    </w:p>
    <w:p>
      <w:pPr>
        <w:spacing w:line="560" w:lineRule="exact"/>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供应商：</w:t>
      </w:r>
      <w:r>
        <w:rPr>
          <w:rFonts w:hint="eastAsia" w:ascii="宋体" w:hAnsi="宋体"/>
          <w:bCs/>
          <w:color w:val="000000" w:themeColor="text1"/>
          <w:kern w:val="0"/>
          <w:szCs w:val="21"/>
          <w:highlight w:val="none"/>
          <w:u w:val="single"/>
        </w:rPr>
        <w:t xml:space="preserve">          （名称并加盖公章）                                         </w:t>
      </w:r>
    </w:p>
    <w:p>
      <w:pPr>
        <w:spacing w:line="560" w:lineRule="exact"/>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法定代表人：</w:t>
      </w:r>
      <w:r>
        <w:rPr>
          <w:rFonts w:hint="eastAsia" w:ascii="宋体" w:hAnsi="宋体"/>
          <w:bCs/>
          <w:color w:val="000000" w:themeColor="text1"/>
          <w:kern w:val="0"/>
          <w:szCs w:val="21"/>
          <w:highlight w:val="none"/>
          <w:u w:val="single"/>
        </w:rPr>
        <w:t xml:space="preserve">    （签字或盖章）         </w:t>
      </w:r>
    </w:p>
    <w:p>
      <w:pPr>
        <w:spacing w:line="56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签发日期：</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 xml:space="preserve">  有效日期至：</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年</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月</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日</w:t>
      </w:r>
    </w:p>
    <w:p>
      <w:pPr>
        <w:autoSpaceDE w:val="0"/>
        <w:autoSpaceDN w:val="0"/>
        <w:adjustRightInd w:val="0"/>
        <w:snapToGrid w:val="0"/>
        <w:spacing w:line="360" w:lineRule="auto"/>
        <w:ind w:firstLine="630"/>
        <w:rPr>
          <w:rFonts w:ascii="宋体" w:hAnsi="宋体"/>
          <w:bCs/>
          <w:color w:val="000000" w:themeColor="text1"/>
          <w:kern w:val="0"/>
          <w:szCs w:val="21"/>
          <w:highlight w:val="none"/>
        </w:rPr>
      </w:pPr>
    </w:p>
    <w:p>
      <w:pPr>
        <w:rPr>
          <w:rFonts w:ascii="宋体" w:hAnsi="宋体"/>
          <w:b/>
          <w:color w:val="000000" w:themeColor="text1"/>
          <w:szCs w:val="21"/>
          <w:highlight w:val="none"/>
        </w:rPr>
      </w:pPr>
      <w:r>
        <w:rPr>
          <w:rFonts w:hint="eastAsia" w:ascii="宋体" w:hAnsi="宋体"/>
          <w:b/>
          <w:color w:val="000000" w:themeColor="text1"/>
          <w:szCs w:val="21"/>
          <w:highlight w:val="none"/>
        </w:rPr>
        <w:t>（注：供应商的谈判响应文件为</w:t>
      </w:r>
      <w:r>
        <w:rPr>
          <w:rFonts w:hint="eastAsia" w:ascii="宋体" w:hAnsi="宋体" w:cs="宋体"/>
          <w:b/>
          <w:color w:val="000000" w:themeColor="text1"/>
          <w:szCs w:val="21"/>
          <w:highlight w:val="none"/>
        </w:rPr>
        <w:t>法定代表人</w:t>
      </w:r>
      <w:r>
        <w:rPr>
          <w:rFonts w:hint="eastAsia" w:ascii="宋体" w:hAnsi="宋体"/>
          <w:b/>
          <w:color w:val="000000" w:themeColor="text1"/>
          <w:szCs w:val="21"/>
          <w:highlight w:val="none"/>
        </w:rPr>
        <w:t>签署并且由</w:t>
      </w:r>
      <w:r>
        <w:rPr>
          <w:rFonts w:hint="eastAsia" w:ascii="宋体" w:hAnsi="宋体" w:cs="宋体"/>
          <w:b/>
          <w:color w:val="000000" w:themeColor="text1"/>
          <w:szCs w:val="21"/>
          <w:highlight w:val="none"/>
        </w:rPr>
        <w:t>法定代表人</w:t>
      </w:r>
      <w:r>
        <w:rPr>
          <w:rFonts w:hint="eastAsia" w:ascii="宋体" w:hAnsi="宋体"/>
          <w:b/>
          <w:color w:val="000000" w:themeColor="text1"/>
          <w:szCs w:val="21"/>
          <w:highlight w:val="none"/>
        </w:rPr>
        <w:t>亲自递交谈判响应文件和参加谈判的，不须提供该委托书，但需提供法定代表人证明书及法定代表人的身份证复印件。）</w:t>
      </w:r>
    </w:p>
    <w:p>
      <w:pPr>
        <w:rPr>
          <w:rFonts w:ascii="宋体" w:hAnsi="宋体"/>
          <w:color w:val="000000" w:themeColor="text1"/>
          <w:szCs w:val="21"/>
          <w:highlight w:val="none"/>
        </w:rPr>
      </w:pPr>
    </w:p>
    <w:p>
      <w:pPr>
        <w:rPr>
          <w:rFonts w:ascii="宋体" w:hAnsi="宋体"/>
          <w:color w:val="000000" w:themeColor="text1"/>
          <w:szCs w:val="21"/>
          <w:highlight w:val="none"/>
        </w:rPr>
      </w:pPr>
      <w:r>
        <w:rPr>
          <w:rFonts w:ascii="宋体" w:hAnsi="宋体"/>
          <w:color w:val="000000" w:themeColor="text1"/>
          <w:szCs w:val="21"/>
          <w:highlight w:val="none"/>
        </w:rPr>
        <w:pict>
          <v:shape id="_x0000_s1216" o:spid="_x0000_s1216" o:spt="176" type="#_x0000_t176" style="position:absolute;left:0pt;margin-left:99.75pt;margin-top:10.95pt;height:140.3pt;width:275.8pt;z-index:251659264;mso-width-relative:page;mso-height-relative:page;" coordsize="21600,2160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rPr>
          <w:rFonts w:ascii="宋体" w:hAnsi="宋体"/>
          <w:color w:val="000000" w:themeColor="text1"/>
          <w:szCs w:val="21"/>
          <w:highlight w:val="none"/>
        </w:rPr>
      </w:pPr>
    </w:p>
    <w:p>
      <w:pPr>
        <w:rPr>
          <w:rFonts w:ascii="宋体" w:hAnsi="宋体"/>
          <w:color w:val="000000" w:themeColor="text1"/>
          <w:szCs w:val="21"/>
          <w:highlight w:val="none"/>
        </w:rPr>
      </w:pPr>
    </w:p>
    <w:p>
      <w:pPr>
        <w:rPr>
          <w:rFonts w:ascii="宋体" w:hAnsi="宋体"/>
          <w:color w:val="000000" w:themeColor="text1"/>
          <w:szCs w:val="21"/>
          <w:highlight w:val="none"/>
        </w:rPr>
      </w:pPr>
    </w:p>
    <w:p>
      <w:pPr>
        <w:rPr>
          <w:rFonts w:ascii="宋体" w:hAnsi="宋体"/>
          <w:color w:val="000000" w:themeColor="text1"/>
          <w:szCs w:val="21"/>
          <w:highlight w:val="none"/>
        </w:rPr>
      </w:pPr>
    </w:p>
    <w:p>
      <w:pPr>
        <w:rPr>
          <w:rFonts w:ascii="宋体" w:hAnsi="宋体"/>
          <w:color w:val="000000" w:themeColor="text1"/>
          <w:szCs w:val="21"/>
          <w:highlight w:val="none"/>
        </w:rPr>
      </w:pPr>
    </w:p>
    <w:p>
      <w:pPr>
        <w:rPr>
          <w:rFonts w:ascii="宋体" w:hAnsi="宋体"/>
          <w:color w:val="000000" w:themeColor="text1"/>
          <w:szCs w:val="21"/>
          <w:highlight w:val="none"/>
        </w:rPr>
      </w:pPr>
    </w:p>
    <w:p>
      <w:pPr>
        <w:rPr>
          <w:rFonts w:ascii="宋体" w:hAnsi="宋体"/>
          <w:color w:val="000000" w:themeColor="text1"/>
          <w:szCs w:val="21"/>
          <w:highlight w:val="none"/>
        </w:rPr>
      </w:pPr>
    </w:p>
    <w:p>
      <w:pPr>
        <w:rPr>
          <w:rFonts w:ascii="宋体" w:hAnsi="宋体"/>
          <w:color w:val="000000" w:themeColor="text1"/>
          <w:szCs w:val="21"/>
          <w:highlight w:val="none"/>
        </w:rPr>
      </w:pPr>
    </w:p>
    <w:p>
      <w:pPr>
        <w:rPr>
          <w:rFonts w:ascii="宋体" w:hAnsi="宋体"/>
          <w:color w:val="000000" w:themeColor="text1"/>
          <w:szCs w:val="2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rFonts w:ascii="宋体" w:hAnsi="宋体"/>
          <w:color w:val="000000" w:themeColor="text1"/>
          <w:szCs w:val="21"/>
          <w:highlight w:val="none"/>
          <w:u w:val="single"/>
        </w:rPr>
      </w:pPr>
    </w:p>
    <w:p>
      <w:pPr>
        <w:rPr>
          <w:rFonts w:ascii="宋体" w:hAnsi="宋体"/>
          <w:color w:val="000000" w:themeColor="text1"/>
          <w:szCs w:val="21"/>
          <w:highlight w:val="none"/>
          <w:u w:val="single"/>
        </w:rPr>
      </w:pPr>
    </w:p>
    <w:p>
      <w:pPr>
        <w:rPr>
          <w:rFonts w:ascii="宋体" w:hAnsi="宋体"/>
          <w:color w:val="000000" w:themeColor="text1"/>
          <w:szCs w:val="21"/>
          <w:highlight w:val="none"/>
          <w:u w:val="single"/>
        </w:rPr>
      </w:pPr>
    </w:p>
    <w:p>
      <w:pPr>
        <w:rPr>
          <w:rFonts w:ascii="宋体" w:hAnsi="宋体"/>
          <w:color w:val="000000" w:themeColor="text1"/>
          <w:szCs w:val="21"/>
          <w:highlight w:val="none"/>
          <w:u w:val="single"/>
        </w:rPr>
      </w:pPr>
    </w:p>
    <w:p>
      <w:pPr>
        <w:pStyle w:val="5"/>
        <w:numPr>
          <w:ilvl w:val="0"/>
          <w:numId w:val="0"/>
        </w:numPr>
        <w:jc w:val="center"/>
        <w:rPr>
          <w:color w:val="000000" w:themeColor="text1"/>
          <w:sz w:val="28"/>
          <w:szCs w:val="28"/>
          <w:highlight w:val="none"/>
        </w:rPr>
      </w:pPr>
      <w:bookmarkStart w:id="155" w:name="_Toc200414519"/>
      <w:bookmarkStart w:id="156" w:name="_Toc19616"/>
      <w:r>
        <w:rPr>
          <w:rFonts w:hint="eastAsia"/>
          <w:color w:val="000000" w:themeColor="text1"/>
          <w:sz w:val="28"/>
          <w:szCs w:val="28"/>
          <w:highlight w:val="none"/>
        </w:rPr>
        <w:t>（四）</w:t>
      </w:r>
      <w:bookmarkEnd w:id="155"/>
      <w:bookmarkStart w:id="157" w:name="_Toc200414522"/>
      <w:r>
        <w:rPr>
          <w:rFonts w:hint="eastAsia"/>
          <w:color w:val="000000" w:themeColor="text1"/>
          <w:sz w:val="28"/>
          <w:szCs w:val="28"/>
          <w:highlight w:val="none"/>
        </w:rPr>
        <w:t>财务报表、缴税证明、社会保险登记证明</w:t>
      </w:r>
      <w:bookmarkEnd w:id="156"/>
      <w:bookmarkEnd w:id="157"/>
    </w:p>
    <w:p>
      <w:pPr>
        <w:tabs>
          <w:tab w:val="center" w:pos="4483"/>
        </w:tabs>
        <w:rPr>
          <w:rFonts w:ascii="宋体" w:hAnsi="宋体"/>
          <w:color w:val="000000" w:themeColor="text1"/>
          <w:kern w:val="0"/>
          <w:szCs w:val="21"/>
          <w:highlight w:val="none"/>
        </w:rPr>
      </w:pPr>
    </w:p>
    <w:p>
      <w:pPr>
        <w:adjustRightInd w:val="0"/>
        <w:snapToGrid w:val="0"/>
        <w:spacing w:line="360" w:lineRule="auto"/>
        <w:jc w:val="left"/>
        <w:rPr>
          <w:rFonts w:hint="eastAsia" w:ascii="宋体" w:hAnsi="宋体" w:eastAsia="宋体"/>
          <w:color w:val="000000" w:themeColor="text1"/>
          <w:kern w:val="0"/>
          <w:szCs w:val="21"/>
          <w:highlight w:val="none"/>
          <w:lang w:eastAsia="zh-CN"/>
        </w:rPr>
      </w:pPr>
      <w:r>
        <w:rPr>
          <w:rFonts w:hint="eastAsia" w:ascii="宋体" w:hAnsi="宋体"/>
          <w:color w:val="000000" w:themeColor="text1"/>
          <w:kern w:val="0"/>
          <w:szCs w:val="21"/>
          <w:highlight w:val="none"/>
        </w:rPr>
        <w:t xml:space="preserve">项目编号: </w:t>
      </w:r>
      <w:r>
        <w:rPr>
          <w:rFonts w:hint="eastAsia" w:ascii="宋体" w:hAnsi="宋体"/>
          <w:b/>
          <w:color w:val="000000" w:themeColor="text1"/>
          <w:kern w:val="0"/>
          <w:szCs w:val="21"/>
          <w:highlight w:val="none"/>
          <w:u w:val="single"/>
          <w:lang w:eastAsia="zh-CN"/>
        </w:rPr>
        <w:t>YXCG-20220303</w:t>
      </w:r>
    </w:p>
    <w:p>
      <w:pPr>
        <w:tabs>
          <w:tab w:val="center" w:pos="4483"/>
        </w:tabs>
        <w:rPr>
          <w:rFonts w:hint="eastAsia" w:ascii="宋体" w:hAnsi="宋体" w:eastAsia="宋体"/>
          <w:b/>
          <w:color w:val="000000" w:themeColor="text1"/>
          <w:kern w:val="0"/>
          <w:szCs w:val="21"/>
          <w:highlight w:val="none"/>
          <w:u w:val="single"/>
          <w:lang w:eastAsia="zh-CN"/>
        </w:rPr>
      </w:pPr>
      <w:r>
        <w:rPr>
          <w:rFonts w:hint="eastAsia" w:ascii="宋体" w:hAnsi="宋体"/>
          <w:color w:val="000000" w:themeColor="text1"/>
          <w:kern w:val="0"/>
          <w:szCs w:val="21"/>
          <w:highlight w:val="none"/>
        </w:rPr>
        <w:t>项目名称：</w:t>
      </w:r>
      <w:r>
        <w:rPr>
          <w:rFonts w:hint="eastAsia" w:ascii="宋体" w:hAnsi="宋体"/>
          <w:b/>
          <w:color w:val="000000" w:themeColor="text1"/>
          <w:kern w:val="0"/>
          <w:szCs w:val="21"/>
          <w:highlight w:val="none"/>
          <w:u w:val="single"/>
          <w:lang w:eastAsia="zh-CN"/>
        </w:rPr>
        <w:t>中共阳西县委组织部干部人事档案管理信息系统建设及档案整理数字化项目</w:t>
      </w:r>
    </w:p>
    <w:p>
      <w:pPr>
        <w:tabs>
          <w:tab w:val="center" w:pos="4483"/>
        </w:tabs>
        <w:rPr>
          <w:rFonts w:ascii="宋体" w:hAnsi="宋体"/>
          <w:b/>
          <w:bCs/>
          <w:color w:val="000000" w:themeColor="text1"/>
          <w:highlight w:val="none"/>
          <w:u w:val="single"/>
        </w:rPr>
      </w:pPr>
    </w:p>
    <w:p>
      <w:pPr>
        <w:tabs>
          <w:tab w:val="center" w:pos="4483"/>
        </w:tabs>
        <w:rPr>
          <w:rFonts w:ascii="宋体" w:hAnsi="宋体"/>
          <w:b/>
          <w:bCs/>
          <w:color w:val="000000" w:themeColor="text1"/>
          <w:highlight w:val="none"/>
          <w:u w:val="single"/>
        </w:rPr>
      </w:pPr>
    </w:p>
    <w:p>
      <w:pPr>
        <w:tabs>
          <w:tab w:val="center" w:pos="4483"/>
        </w:tabs>
        <w:rPr>
          <w:rFonts w:ascii="宋体" w:hAnsi="宋体"/>
          <w:color w:val="000000" w:themeColor="text1"/>
          <w:kern w:val="0"/>
          <w:szCs w:val="21"/>
          <w:highlight w:val="none"/>
        </w:rPr>
        <w:sectPr>
          <w:headerReference r:id="rId11" w:type="default"/>
          <w:pgSz w:w="11906" w:h="16838"/>
          <w:pgMar w:top="1418" w:right="1474" w:bottom="1418" w:left="1474" w:header="851" w:footer="851" w:gutter="0"/>
          <w:cols w:space="720" w:num="1"/>
          <w:titlePg/>
          <w:docGrid w:linePitch="312" w:charSpace="0"/>
        </w:sectPr>
      </w:pPr>
      <w:r>
        <w:rPr>
          <w:rFonts w:hint="eastAsia" w:ascii="宋体" w:hAnsi="宋体"/>
          <w:color w:val="000000" w:themeColor="text1"/>
          <w:kern w:val="0"/>
          <w:szCs w:val="21"/>
          <w:highlight w:val="none"/>
        </w:rPr>
        <w:t>提供财务报表复印件加盖公章、缴税证明复印件加盖公章、社会保险登记证明复印件加盖公章</w:t>
      </w:r>
    </w:p>
    <w:p>
      <w:pPr>
        <w:pStyle w:val="5"/>
        <w:numPr>
          <w:ilvl w:val="0"/>
          <w:numId w:val="0"/>
        </w:numPr>
        <w:jc w:val="center"/>
        <w:rPr>
          <w:color w:val="000000" w:themeColor="text1"/>
          <w:sz w:val="28"/>
          <w:szCs w:val="28"/>
          <w:highlight w:val="none"/>
        </w:rPr>
      </w:pPr>
      <w:bookmarkStart w:id="158" w:name="_Toc200414523"/>
      <w:bookmarkStart w:id="159" w:name="_Toc17070"/>
      <w:r>
        <w:rPr>
          <w:rFonts w:hint="eastAsia"/>
          <w:color w:val="000000" w:themeColor="text1"/>
          <w:sz w:val="28"/>
          <w:szCs w:val="28"/>
          <w:highlight w:val="none"/>
        </w:rPr>
        <w:t>（五） 资格审查文件要求提交的其它有效证明文件</w:t>
      </w:r>
      <w:bookmarkEnd w:id="158"/>
      <w:bookmarkEnd w:id="159"/>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1、合法有效的营业执照复印件加盖公章；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2、财务报表复印件加盖公章；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3、缴税证明复印件加盖公章；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4、无重大违法记录声明函；</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szCs w:val="21"/>
          <w:highlight w:val="none"/>
        </w:rPr>
        <w:t>5、</w:t>
      </w:r>
      <w:r>
        <w:rPr>
          <w:rFonts w:hint="eastAsia" w:ascii="宋体" w:hAnsi="宋体"/>
          <w:color w:val="000000" w:themeColor="text1"/>
          <w:highlight w:val="none"/>
        </w:rPr>
        <w:t>法定代表人证明书；</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6、法定代表人授权书；</w:t>
      </w:r>
    </w:p>
    <w:p>
      <w:pPr>
        <w:spacing w:line="440" w:lineRule="exact"/>
        <w:ind w:firstLine="420"/>
        <w:rPr>
          <w:rFonts w:ascii="宋体" w:hAnsi="宋体"/>
          <w:color w:val="000000" w:themeColor="text1"/>
          <w:szCs w:val="21"/>
          <w:highlight w:val="none"/>
        </w:rPr>
      </w:pPr>
      <w:r>
        <w:rPr>
          <w:rFonts w:hint="eastAsia" w:ascii="宋体" w:hAnsi="宋体"/>
          <w:color w:val="000000" w:themeColor="text1"/>
          <w:szCs w:val="21"/>
          <w:highlight w:val="none"/>
        </w:rPr>
        <w:t>7、</w:t>
      </w:r>
      <w:r>
        <w:rPr>
          <w:rFonts w:ascii="宋体" w:hAnsi="宋体"/>
          <w:color w:val="000000" w:themeColor="text1"/>
          <w:szCs w:val="21"/>
          <w:highlight w:val="none"/>
        </w:rPr>
        <w:t>……</w:t>
      </w:r>
    </w:p>
    <w:p>
      <w:pPr>
        <w:spacing w:line="440" w:lineRule="exact"/>
        <w:ind w:firstLine="420"/>
        <w:rPr>
          <w:rFonts w:ascii="宋体" w:hAnsi="宋体"/>
          <w:color w:val="000000" w:themeColor="text1"/>
          <w:szCs w:val="21"/>
          <w:highlight w:val="none"/>
        </w:rPr>
      </w:pPr>
    </w:p>
    <w:p>
      <w:pPr>
        <w:spacing w:line="440" w:lineRule="exact"/>
        <w:ind w:firstLine="420"/>
        <w:rPr>
          <w:rFonts w:ascii="宋体" w:hAnsi="宋体"/>
          <w:color w:val="000000" w:themeColor="text1"/>
          <w:szCs w:val="21"/>
          <w:highlight w:val="none"/>
        </w:rPr>
      </w:pPr>
    </w:p>
    <w:p>
      <w:pPr>
        <w:spacing w:line="440" w:lineRule="exact"/>
        <w:ind w:firstLine="420"/>
        <w:rPr>
          <w:rFonts w:ascii="宋体" w:hAnsi="宋体"/>
          <w:color w:val="000000" w:themeColor="text1"/>
          <w:szCs w:val="21"/>
          <w:highlight w:val="none"/>
        </w:rPr>
      </w:pPr>
    </w:p>
    <w:p>
      <w:pPr>
        <w:spacing w:line="440" w:lineRule="exact"/>
        <w:ind w:firstLine="420"/>
        <w:rPr>
          <w:rFonts w:ascii="宋体" w:hAnsi="宋体"/>
          <w:color w:val="000000" w:themeColor="text1"/>
          <w:szCs w:val="21"/>
          <w:highlight w:val="none"/>
        </w:rPr>
      </w:pPr>
    </w:p>
    <w:p>
      <w:pPr>
        <w:spacing w:line="440" w:lineRule="exact"/>
        <w:ind w:firstLine="420"/>
        <w:rPr>
          <w:rFonts w:ascii="宋体" w:hAnsi="宋体"/>
          <w:color w:val="000000" w:themeColor="text1"/>
          <w:szCs w:val="21"/>
          <w:highlight w:val="none"/>
        </w:rPr>
      </w:pPr>
    </w:p>
    <w:p>
      <w:pPr>
        <w:spacing w:line="440" w:lineRule="exact"/>
        <w:ind w:firstLine="420"/>
        <w:rPr>
          <w:rFonts w:ascii="宋体" w:hAnsi="宋体"/>
          <w:color w:val="000000" w:themeColor="text1"/>
          <w:szCs w:val="21"/>
          <w:highlight w:val="none"/>
        </w:rPr>
      </w:pPr>
    </w:p>
    <w:p>
      <w:pPr>
        <w:spacing w:line="440" w:lineRule="exact"/>
        <w:ind w:firstLine="420"/>
        <w:rPr>
          <w:rFonts w:ascii="宋体" w:hAnsi="宋体"/>
          <w:color w:val="000000" w:themeColor="text1"/>
          <w:szCs w:val="21"/>
          <w:highlight w:val="none"/>
        </w:rPr>
      </w:pPr>
    </w:p>
    <w:p>
      <w:pPr>
        <w:spacing w:line="440" w:lineRule="exact"/>
        <w:ind w:firstLine="420"/>
        <w:rPr>
          <w:rFonts w:ascii="宋体" w:hAnsi="宋体"/>
          <w:color w:val="000000" w:themeColor="text1"/>
          <w:szCs w:val="21"/>
          <w:highlight w:val="none"/>
        </w:rPr>
      </w:pPr>
    </w:p>
    <w:p>
      <w:pPr>
        <w:spacing w:line="440" w:lineRule="exact"/>
        <w:ind w:firstLine="420"/>
        <w:rPr>
          <w:rFonts w:ascii="宋体" w:hAnsi="宋体"/>
          <w:color w:val="000000" w:themeColor="text1"/>
          <w:szCs w:val="21"/>
          <w:highlight w:val="none"/>
        </w:rPr>
      </w:pPr>
    </w:p>
    <w:p>
      <w:pPr>
        <w:spacing w:line="440" w:lineRule="exact"/>
        <w:ind w:firstLine="420"/>
        <w:rPr>
          <w:rFonts w:ascii="宋体" w:hAnsi="宋体"/>
          <w:color w:val="000000" w:themeColor="text1"/>
          <w:szCs w:val="21"/>
          <w:highlight w:val="none"/>
        </w:rPr>
      </w:pPr>
    </w:p>
    <w:p>
      <w:pPr>
        <w:spacing w:line="440" w:lineRule="exact"/>
        <w:ind w:firstLine="420"/>
        <w:rPr>
          <w:rFonts w:ascii="宋体" w:hAnsi="宋体"/>
          <w:color w:val="000000" w:themeColor="text1"/>
          <w:szCs w:val="21"/>
          <w:highlight w:val="none"/>
        </w:rPr>
      </w:pPr>
    </w:p>
    <w:p>
      <w:pPr>
        <w:spacing w:line="440" w:lineRule="exact"/>
        <w:ind w:firstLine="420"/>
        <w:rPr>
          <w:rFonts w:ascii="宋体" w:hAnsi="宋体"/>
          <w:color w:val="000000" w:themeColor="text1"/>
          <w:szCs w:val="21"/>
          <w:highlight w:val="none"/>
        </w:rPr>
      </w:pPr>
    </w:p>
    <w:p>
      <w:pPr>
        <w:spacing w:line="440" w:lineRule="exact"/>
        <w:ind w:firstLine="420"/>
        <w:rPr>
          <w:rFonts w:ascii="宋体" w:hAnsi="宋体"/>
          <w:color w:val="000000" w:themeColor="text1"/>
          <w:szCs w:val="21"/>
          <w:highlight w:val="none"/>
        </w:rPr>
      </w:pPr>
    </w:p>
    <w:p>
      <w:pPr>
        <w:spacing w:line="440" w:lineRule="exact"/>
        <w:ind w:firstLine="420"/>
        <w:rPr>
          <w:rFonts w:ascii="宋体" w:hAnsi="宋体"/>
          <w:color w:val="000000" w:themeColor="text1"/>
          <w:szCs w:val="21"/>
          <w:highlight w:val="none"/>
        </w:rPr>
      </w:pPr>
    </w:p>
    <w:p>
      <w:pPr>
        <w:spacing w:line="440" w:lineRule="exact"/>
        <w:ind w:firstLine="420"/>
        <w:rPr>
          <w:rFonts w:ascii="宋体" w:hAnsi="宋体"/>
          <w:color w:val="000000" w:themeColor="text1"/>
          <w:szCs w:val="21"/>
          <w:highlight w:val="none"/>
        </w:rPr>
      </w:pPr>
    </w:p>
    <w:p>
      <w:pPr>
        <w:spacing w:line="440" w:lineRule="exact"/>
        <w:ind w:firstLine="420"/>
        <w:rPr>
          <w:rFonts w:ascii="宋体" w:hAnsi="宋体"/>
          <w:color w:val="000000" w:themeColor="text1"/>
          <w:szCs w:val="21"/>
          <w:highlight w:val="none"/>
        </w:rPr>
      </w:pPr>
    </w:p>
    <w:p>
      <w:pPr>
        <w:spacing w:line="440" w:lineRule="exact"/>
        <w:ind w:firstLine="420"/>
        <w:rPr>
          <w:rFonts w:ascii="宋体" w:hAnsi="宋体"/>
          <w:color w:val="000000" w:themeColor="text1"/>
          <w:szCs w:val="21"/>
          <w:highlight w:val="none"/>
        </w:rPr>
      </w:pPr>
    </w:p>
    <w:p>
      <w:pPr>
        <w:spacing w:line="440" w:lineRule="exact"/>
        <w:ind w:firstLine="420"/>
        <w:rPr>
          <w:rFonts w:ascii="宋体" w:hAnsi="宋体"/>
          <w:color w:val="000000" w:themeColor="text1"/>
          <w:szCs w:val="21"/>
          <w:highlight w:val="none"/>
        </w:rPr>
      </w:pPr>
    </w:p>
    <w:p>
      <w:pPr>
        <w:pStyle w:val="5"/>
        <w:numPr>
          <w:ilvl w:val="0"/>
          <w:numId w:val="0"/>
        </w:numPr>
        <w:spacing w:line="276" w:lineRule="auto"/>
        <w:ind w:firstLine="2249" w:firstLineChars="800"/>
        <w:rPr>
          <w:color w:val="000000" w:themeColor="text1"/>
          <w:sz w:val="28"/>
          <w:szCs w:val="28"/>
          <w:highlight w:val="none"/>
        </w:rPr>
      </w:pPr>
      <w:bookmarkStart w:id="160" w:name="_Toc2676"/>
      <w:bookmarkStart w:id="161" w:name="_Toc200414524"/>
      <w:r>
        <w:rPr>
          <w:rFonts w:hint="eastAsia"/>
          <w:color w:val="000000" w:themeColor="text1"/>
          <w:sz w:val="28"/>
          <w:szCs w:val="28"/>
          <w:highlight w:val="none"/>
        </w:rPr>
        <w:t>第二章  谈判响应文件商务及技术部分</w:t>
      </w:r>
      <w:bookmarkEnd w:id="160"/>
      <w:bookmarkEnd w:id="161"/>
    </w:p>
    <w:p>
      <w:pPr>
        <w:pStyle w:val="5"/>
        <w:numPr>
          <w:ilvl w:val="0"/>
          <w:numId w:val="0"/>
        </w:numPr>
        <w:spacing w:line="276" w:lineRule="auto"/>
        <w:ind w:firstLine="3373" w:firstLineChars="1200"/>
        <w:rPr>
          <w:color w:val="000000" w:themeColor="text1"/>
          <w:sz w:val="28"/>
          <w:szCs w:val="28"/>
          <w:highlight w:val="none"/>
        </w:rPr>
      </w:pPr>
      <w:bookmarkStart w:id="162" w:name="_Toc200414525"/>
      <w:bookmarkStart w:id="163" w:name="_Toc27390"/>
      <w:r>
        <w:rPr>
          <w:rFonts w:hint="eastAsia"/>
          <w:color w:val="000000" w:themeColor="text1"/>
          <w:sz w:val="28"/>
          <w:szCs w:val="28"/>
          <w:highlight w:val="none"/>
        </w:rPr>
        <w:t>附件一：谈判邀请函</w:t>
      </w:r>
      <w:bookmarkEnd w:id="162"/>
      <w:bookmarkEnd w:id="163"/>
    </w:p>
    <w:p>
      <w:pPr>
        <w:widowControl/>
        <w:spacing w:line="400" w:lineRule="exact"/>
        <w:jc w:val="left"/>
        <w:rPr>
          <w:rFonts w:ascii="宋体" w:hAnsi="宋体" w:cs="宋体"/>
          <w:color w:val="000000" w:themeColor="text1"/>
          <w:kern w:val="0"/>
          <w:sz w:val="24"/>
          <w:highlight w:val="none"/>
          <w:u w:val="single"/>
        </w:rPr>
      </w:pPr>
      <w:r>
        <w:rPr>
          <w:rFonts w:ascii="宋体" w:hAnsi="宋体" w:cs="宋体"/>
          <w:color w:val="000000" w:themeColor="text1"/>
          <w:kern w:val="0"/>
          <w:sz w:val="24"/>
          <w:highlight w:val="none"/>
          <w:u w:val="single"/>
        </w:rPr>
        <w:t>致（采购人</w:t>
      </w:r>
      <w:r>
        <w:rPr>
          <w:rFonts w:hint="eastAsia" w:ascii="宋体" w:hAnsi="宋体" w:cs="宋体"/>
          <w:color w:val="000000" w:themeColor="text1"/>
          <w:kern w:val="0"/>
          <w:sz w:val="24"/>
          <w:highlight w:val="none"/>
          <w:u w:val="single"/>
        </w:rPr>
        <w:t>名称</w:t>
      </w:r>
      <w:r>
        <w:rPr>
          <w:rFonts w:ascii="宋体" w:hAnsi="宋体" w:cs="宋体"/>
          <w:color w:val="000000" w:themeColor="text1"/>
          <w:kern w:val="0"/>
          <w:sz w:val="24"/>
          <w:highlight w:val="none"/>
          <w:u w:val="single"/>
        </w:rPr>
        <w:t>）    </w:t>
      </w:r>
      <w:r>
        <w:rPr>
          <w:rFonts w:ascii="宋体" w:hAnsi="宋体" w:cs="宋体"/>
          <w:color w:val="000000" w:themeColor="text1"/>
          <w:kern w:val="0"/>
          <w:sz w:val="24"/>
          <w:highlight w:val="none"/>
        </w:rPr>
        <w:t xml:space="preserve">： </w:t>
      </w:r>
    </w:p>
    <w:p>
      <w:pPr>
        <w:adjustRightInd w:val="0"/>
        <w:snapToGrid w:val="0"/>
        <w:spacing w:beforeLines="50" w:line="360" w:lineRule="exact"/>
        <w:ind w:firstLine="420"/>
        <w:rPr>
          <w:rFonts w:ascii="宋体" w:hAnsi="宋体"/>
          <w:bCs/>
          <w:color w:val="000000" w:themeColor="text1"/>
          <w:szCs w:val="21"/>
          <w:highlight w:val="none"/>
        </w:rPr>
      </w:pPr>
      <w:r>
        <w:rPr>
          <w:rFonts w:hint="eastAsia" w:ascii="宋体" w:hAnsi="宋体"/>
          <w:bCs/>
          <w:color w:val="000000" w:themeColor="text1"/>
          <w:szCs w:val="21"/>
          <w:highlight w:val="none"/>
        </w:rPr>
        <w:t>根据贵方就</w:t>
      </w:r>
      <w:r>
        <w:rPr>
          <w:rFonts w:hint="eastAsia" w:ascii="宋体" w:hAnsi="宋体"/>
          <w:bCs/>
          <w:color w:val="000000" w:themeColor="text1"/>
          <w:szCs w:val="21"/>
          <w:highlight w:val="none"/>
          <w:u w:val="single"/>
        </w:rPr>
        <w:t xml:space="preserve">      </w:t>
      </w:r>
      <w:r>
        <w:rPr>
          <w:rFonts w:hint="eastAsia" w:ascii="宋体" w:hAnsi="宋体" w:cs="宋体"/>
          <w:b/>
          <w:color w:val="000000" w:themeColor="text1"/>
          <w:szCs w:val="21"/>
          <w:highlight w:val="none"/>
          <w:u w:val="single"/>
        </w:rPr>
        <w:t xml:space="preserve">项目名称，由供应商填写      </w:t>
      </w:r>
      <w:r>
        <w:rPr>
          <w:rFonts w:hint="eastAsia" w:ascii="宋体" w:hAnsi="宋体"/>
          <w:bCs/>
          <w:color w:val="000000" w:themeColor="text1"/>
          <w:szCs w:val="21"/>
          <w:highlight w:val="none"/>
        </w:rPr>
        <w:t>的投标邀请（项目编号:</w:t>
      </w:r>
      <w:r>
        <w:rPr>
          <w:rFonts w:hint="eastAsia" w:ascii="宋体" w:hAnsi="宋体"/>
          <w:b/>
          <w:bCs/>
          <w:color w:val="000000" w:themeColor="text1"/>
          <w:szCs w:val="21"/>
          <w:highlight w:val="none"/>
        </w:rPr>
        <w:t xml:space="preserve"> </w:t>
      </w:r>
      <w:r>
        <w:rPr>
          <w:rFonts w:hint="eastAsia" w:ascii="宋体" w:hAnsi="宋体"/>
          <w:b/>
          <w:bCs/>
          <w:color w:val="000000" w:themeColor="text1"/>
          <w:szCs w:val="21"/>
          <w:highlight w:val="none"/>
          <w:u w:val="single"/>
          <w:lang w:eastAsia="zh-CN"/>
        </w:rPr>
        <w:t>YXCG-20220303</w:t>
      </w:r>
      <w:r>
        <w:rPr>
          <w:rFonts w:hint="eastAsia" w:ascii="宋体" w:hAnsi="宋体"/>
          <w:bCs/>
          <w:color w:val="000000" w:themeColor="text1"/>
          <w:szCs w:val="21"/>
          <w:highlight w:val="none"/>
        </w:rPr>
        <w:t>），我方正式响应谈判文件内容并提交下述文件</w:t>
      </w:r>
      <w:r>
        <w:rPr>
          <w:rFonts w:hint="eastAsia" w:ascii="宋体" w:hAnsi="宋体"/>
          <w:b/>
          <w:bCs/>
          <w:color w:val="000000" w:themeColor="text1"/>
          <w:szCs w:val="21"/>
          <w:highlight w:val="none"/>
          <w:u w:val="single"/>
        </w:rPr>
        <w:t>1份正本</w:t>
      </w:r>
      <w:r>
        <w:rPr>
          <w:rFonts w:hint="eastAsia" w:ascii="宋体" w:hAnsi="宋体"/>
          <w:b/>
          <w:bCs/>
          <w:color w:val="000000" w:themeColor="text1"/>
          <w:szCs w:val="21"/>
          <w:highlight w:val="none"/>
        </w:rPr>
        <w:t>和</w:t>
      </w:r>
      <w:r>
        <w:rPr>
          <w:rFonts w:hint="eastAsia" w:ascii="宋体" w:hAnsi="宋体"/>
          <w:b/>
          <w:bCs/>
          <w:color w:val="000000" w:themeColor="text1"/>
          <w:szCs w:val="21"/>
          <w:highlight w:val="none"/>
          <w:u w:val="single"/>
          <w:lang w:val="en-US" w:eastAsia="zh-CN"/>
        </w:rPr>
        <w:t>2</w:t>
      </w:r>
      <w:r>
        <w:rPr>
          <w:rFonts w:hint="eastAsia" w:ascii="宋体" w:hAnsi="宋体"/>
          <w:b/>
          <w:bCs/>
          <w:color w:val="000000" w:themeColor="text1"/>
          <w:szCs w:val="21"/>
          <w:highlight w:val="none"/>
          <w:u w:val="single"/>
        </w:rPr>
        <w:t>份副本</w:t>
      </w:r>
      <w:r>
        <w:rPr>
          <w:rFonts w:hint="eastAsia" w:ascii="宋体" w:hAnsi="宋体"/>
          <w:b/>
          <w:bCs/>
          <w:color w:val="000000" w:themeColor="text1"/>
          <w:szCs w:val="21"/>
          <w:highlight w:val="none"/>
        </w:rPr>
        <w:t>和电子文件</w:t>
      </w:r>
      <w:r>
        <w:rPr>
          <w:rFonts w:hint="eastAsia" w:ascii="宋体" w:hAnsi="宋体"/>
          <w:b/>
          <w:bCs/>
          <w:color w:val="000000" w:themeColor="text1"/>
          <w:szCs w:val="21"/>
          <w:highlight w:val="none"/>
          <w:u w:val="single"/>
        </w:rPr>
        <w:t>1</w:t>
      </w:r>
      <w:r>
        <w:rPr>
          <w:rFonts w:hint="eastAsia" w:ascii="宋体" w:hAnsi="宋体"/>
          <w:b/>
          <w:bCs/>
          <w:color w:val="000000" w:themeColor="text1"/>
          <w:szCs w:val="21"/>
          <w:highlight w:val="none"/>
        </w:rPr>
        <w:t>份</w:t>
      </w:r>
      <w:r>
        <w:rPr>
          <w:rFonts w:hint="eastAsia" w:ascii="宋体" w:hAnsi="宋体"/>
          <w:bCs/>
          <w:color w:val="000000" w:themeColor="text1"/>
          <w:szCs w:val="21"/>
          <w:highlight w:val="none"/>
        </w:rPr>
        <w:t>：</w:t>
      </w:r>
    </w:p>
    <w:p>
      <w:pPr>
        <w:widowControl/>
        <w:numPr>
          <w:ilvl w:val="1"/>
          <w:numId w:val="13"/>
        </w:numPr>
        <w:adjustRightInd w:val="0"/>
        <w:snapToGrid w:val="0"/>
        <w:spacing w:line="360" w:lineRule="exact"/>
        <w:ind w:left="630" w:leftChars="300"/>
        <w:rPr>
          <w:rFonts w:ascii="宋体" w:hAnsi="宋体"/>
          <w:bCs/>
          <w:color w:val="000000" w:themeColor="text1"/>
          <w:szCs w:val="21"/>
          <w:highlight w:val="none"/>
        </w:rPr>
      </w:pPr>
      <w:r>
        <w:rPr>
          <w:rFonts w:hint="eastAsia" w:ascii="宋体" w:hAnsi="宋体"/>
          <w:bCs/>
          <w:color w:val="000000" w:themeColor="text1"/>
          <w:szCs w:val="21"/>
          <w:highlight w:val="none"/>
        </w:rPr>
        <w:t>谈判邀请函；</w:t>
      </w:r>
    </w:p>
    <w:p>
      <w:pPr>
        <w:widowControl/>
        <w:numPr>
          <w:ilvl w:val="1"/>
          <w:numId w:val="13"/>
        </w:numPr>
        <w:adjustRightInd w:val="0"/>
        <w:snapToGrid w:val="0"/>
        <w:spacing w:line="360" w:lineRule="exact"/>
        <w:ind w:left="630" w:leftChars="300"/>
        <w:rPr>
          <w:rFonts w:ascii="宋体" w:hAnsi="宋体"/>
          <w:bCs/>
          <w:color w:val="000000" w:themeColor="text1"/>
          <w:szCs w:val="21"/>
          <w:highlight w:val="none"/>
        </w:rPr>
      </w:pPr>
      <w:r>
        <w:rPr>
          <w:rFonts w:hint="eastAsia" w:ascii="宋体" w:hAnsi="宋体"/>
          <w:bCs/>
          <w:color w:val="000000" w:themeColor="text1"/>
          <w:highlight w:val="none"/>
        </w:rPr>
        <w:t>承诺书；</w:t>
      </w:r>
    </w:p>
    <w:p>
      <w:pPr>
        <w:widowControl/>
        <w:adjustRightInd w:val="0"/>
        <w:snapToGrid w:val="0"/>
        <w:spacing w:line="360" w:lineRule="exact"/>
        <w:ind w:left="630" w:leftChars="300"/>
        <w:rPr>
          <w:rFonts w:ascii="宋体" w:hAnsi="宋体"/>
          <w:bCs/>
          <w:color w:val="000000" w:themeColor="text1"/>
          <w:szCs w:val="21"/>
          <w:highlight w:val="none"/>
        </w:rPr>
      </w:pPr>
      <w:r>
        <w:rPr>
          <w:rFonts w:hint="eastAsia" w:ascii="宋体" w:hAnsi="宋体"/>
          <w:bCs/>
          <w:color w:val="000000" w:themeColor="text1"/>
          <w:szCs w:val="21"/>
          <w:highlight w:val="none"/>
        </w:rPr>
        <w:t>3、报价一览表；</w:t>
      </w:r>
    </w:p>
    <w:p>
      <w:pPr>
        <w:widowControl/>
        <w:adjustRightInd w:val="0"/>
        <w:snapToGrid w:val="0"/>
        <w:spacing w:line="360" w:lineRule="exact"/>
        <w:ind w:left="630" w:leftChars="300"/>
        <w:rPr>
          <w:rFonts w:ascii="宋体" w:hAnsi="宋体"/>
          <w:bCs/>
          <w:color w:val="000000" w:themeColor="text1"/>
          <w:szCs w:val="21"/>
          <w:highlight w:val="none"/>
        </w:rPr>
      </w:pPr>
      <w:r>
        <w:rPr>
          <w:rFonts w:hint="eastAsia" w:ascii="宋体" w:hAnsi="宋体"/>
          <w:bCs/>
          <w:color w:val="000000" w:themeColor="text1"/>
          <w:szCs w:val="21"/>
          <w:highlight w:val="none"/>
        </w:rPr>
        <w:t>4、谈判分项报价表；</w:t>
      </w:r>
    </w:p>
    <w:p>
      <w:pPr>
        <w:widowControl/>
        <w:adjustRightInd w:val="0"/>
        <w:snapToGrid w:val="0"/>
        <w:spacing w:line="360" w:lineRule="exact"/>
        <w:ind w:left="630" w:leftChars="300"/>
        <w:rPr>
          <w:rFonts w:ascii="宋体" w:hAnsi="宋体"/>
          <w:bCs/>
          <w:color w:val="000000" w:themeColor="text1"/>
          <w:szCs w:val="21"/>
          <w:highlight w:val="none"/>
        </w:rPr>
      </w:pPr>
      <w:r>
        <w:rPr>
          <w:rFonts w:hint="eastAsia" w:ascii="宋体" w:hAnsi="宋体"/>
          <w:bCs/>
          <w:color w:val="000000" w:themeColor="text1"/>
          <w:szCs w:val="21"/>
          <w:highlight w:val="none"/>
        </w:rPr>
        <w:t>5、商务条款偏离一览表；</w:t>
      </w:r>
    </w:p>
    <w:p>
      <w:pPr>
        <w:widowControl/>
        <w:adjustRightInd w:val="0"/>
        <w:snapToGrid w:val="0"/>
        <w:spacing w:line="360" w:lineRule="exact"/>
        <w:ind w:left="630" w:leftChars="300"/>
        <w:rPr>
          <w:rFonts w:ascii="宋体" w:hAnsi="宋体"/>
          <w:bCs/>
          <w:color w:val="000000" w:themeColor="text1"/>
          <w:szCs w:val="21"/>
          <w:highlight w:val="none"/>
        </w:rPr>
      </w:pPr>
      <w:r>
        <w:rPr>
          <w:rFonts w:hint="eastAsia" w:ascii="宋体" w:hAnsi="宋体"/>
          <w:bCs/>
          <w:color w:val="000000" w:themeColor="text1"/>
          <w:szCs w:val="21"/>
          <w:highlight w:val="none"/>
        </w:rPr>
        <w:t>6、技术条款偏离一览表；</w:t>
      </w:r>
    </w:p>
    <w:p>
      <w:pPr>
        <w:widowControl/>
        <w:adjustRightInd w:val="0"/>
        <w:snapToGrid w:val="0"/>
        <w:spacing w:line="360" w:lineRule="exact"/>
        <w:ind w:left="630" w:leftChars="300"/>
        <w:rPr>
          <w:rFonts w:ascii="宋体" w:hAnsi="宋体"/>
          <w:bCs/>
          <w:color w:val="000000" w:themeColor="text1"/>
          <w:szCs w:val="21"/>
          <w:highlight w:val="none"/>
        </w:rPr>
      </w:pPr>
      <w:r>
        <w:rPr>
          <w:rFonts w:hint="eastAsia" w:ascii="宋体" w:hAnsi="宋体"/>
          <w:bCs/>
          <w:color w:val="000000" w:themeColor="text1"/>
          <w:highlight w:val="none"/>
        </w:rPr>
        <w:t>7、项目实施方案；</w:t>
      </w:r>
    </w:p>
    <w:p>
      <w:pPr>
        <w:widowControl/>
        <w:adjustRightInd w:val="0"/>
        <w:snapToGrid w:val="0"/>
        <w:spacing w:line="360" w:lineRule="exact"/>
        <w:ind w:left="630" w:leftChars="300"/>
        <w:rPr>
          <w:rFonts w:ascii="宋体" w:hAnsi="宋体"/>
          <w:bCs/>
          <w:color w:val="000000" w:themeColor="text1"/>
          <w:szCs w:val="21"/>
          <w:highlight w:val="none"/>
        </w:rPr>
      </w:pPr>
      <w:r>
        <w:rPr>
          <w:rFonts w:hint="eastAsia" w:ascii="宋体" w:hAnsi="宋体"/>
          <w:bCs/>
          <w:color w:val="000000" w:themeColor="text1"/>
          <w:szCs w:val="21"/>
          <w:highlight w:val="none"/>
        </w:rPr>
        <w:t xml:space="preserve">8、同类业绩一览表； </w:t>
      </w:r>
    </w:p>
    <w:p>
      <w:pPr>
        <w:widowControl/>
        <w:adjustRightInd w:val="0"/>
        <w:snapToGrid w:val="0"/>
        <w:spacing w:line="360" w:lineRule="exact"/>
        <w:ind w:left="630" w:leftChars="300"/>
        <w:rPr>
          <w:rFonts w:ascii="宋体" w:hAnsi="宋体"/>
          <w:bCs/>
          <w:color w:val="000000" w:themeColor="text1"/>
          <w:szCs w:val="21"/>
          <w:highlight w:val="none"/>
        </w:rPr>
      </w:pPr>
      <w:r>
        <w:rPr>
          <w:rFonts w:hint="eastAsia" w:ascii="宋体" w:hAnsi="宋体"/>
          <w:bCs/>
          <w:color w:val="000000" w:themeColor="text1"/>
          <w:szCs w:val="21"/>
          <w:highlight w:val="none"/>
        </w:rPr>
        <w:t>9、谈判供应商提交的其他资料</w:t>
      </w:r>
    </w:p>
    <w:p>
      <w:pPr>
        <w:widowControl/>
        <w:tabs>
          <w:tab w:val="left" w:pos="502"/>
        </w:tabs>
        <w:adjustRightInd w:val="0"/>
        <w:snapToGrid w:val="0"/>
        <w:spacing w:line="360" w:lineRule="exact"/>
        <w:ind w:left="374" w:leftChars="178" w:firstLine="315" w:firstLineChars="150"/>
        <w:rPr>
          <w:rFonts w:ascii="宋体" w:hAnsi="宋体"/>
          <w:color w:val="000000" w:themeColor="text1"/>
          <w:szCs w:val="21"/>
          <w:highlight w:val="none"/>
        </w:rPr>
      </w:pPr>
      <w:r>
        <w:rPr>
          <w:rFonts w:hint="eastAsia" w:ascii="宋体" w:hAnsi="宋体"/>
          <w:bCs/>
          <w:color w:val="000000" w:themeColor="text1"/>
          <w:szCs w:val="21"/>
          <w:highlight w:val="none"/>
        </w:rPr>
        <w:t>以</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形式提交的谈判保证金，金额为大写</w:t>
      </w:r>
      <w:r>
        <w:rPr>
          <w:rFonts w:hint="eastAsia" w:ascii="宋体"/>
          <w:color w:val="000000" w:themeColor="text1"/>
          <w:szCs w:val="21"/>
          <w:highlight w:val="none"/>
        </w:rPr>
        <w:t>人民币</w:t>
      </w:r>
      <w:r>
        <w:rPr>
          <w:rFonts w:hint="eastAsia" w:ascii="宋体"/>
          <w:color w:val="000000" w:themeColor="text1"/>
          <w:szCs w:val="21"/>
          <w:highlight w:val="none"/>
          <w:u w:val="single"/>
        </w:rPr>
        <w:t xml:space="preserve">                 </w:t>
      </w:r>
      <w:r>
        <w:rPr>
          <w:rFonts w:hint="eastAsia" w:ascii="宋体"/>
          <w:color w:val="000000" w:themeColor="text1"/>
          <w:szCs w:val="21"/>
          <w:highlight w:val="none"/>
        </w:rPr>
        <w:t>（</w:t>
      </w:r>
      <w:r>
        <w:rPr>
          <w:rFonts w:hint="eastAsia" w:ascii="宋体" w:hAnsi="宋体"/>
          <w:bCs/>
          <w:color w:val="000000" w:themeColor="text1"/>
          <w:szCs w:val="21"/>
          <w:highlight w:val="none"/>
        </w:rPr>
        <w:t xml:space="preserve">¥ </w:t>
      </w:r>
      <w:r>
        <w:rPr>
          <w:rFonts w:hint="eastAsia" w:ascii="宋体"/>
          <w:bCs/>
          <w:color w:val="000000" w:themeColor="text1"/>
          <w:szCs w:val="21"/>
          <w:highlight w:val="none"/>
          <w:u w:val="single"/>
        </w:rPr>
        <w:t xml:space="preserve">        </w:t>
      </w:r>
      <w:r>
        <w:rPr>
          <w:rFonts w:hint="eastAsia" w:ascii="宋体"/>
          <w:bCs/>
          <w:color w:val="000000" w:themeColor="text1"/>
          <w:szCs w:val="21"/>
          <w:highlight w:val="none"/>
        </w:rPr>
        <w:t>）。</w:t>
      </w:r>
    </w:p>
    <w:p>
      <w:pPr>
        <w:widowControl/>
        <w:tabs>
          <w:tab w:val="left" w:pos="502"/>
        </w:tabs>
        <w:adjustRightInd w:val="0"/>
        <w:snapToGrid w:val="0"/>
        <w:spacing w:line="360" w:lineRule="exact"/>
        <w:ind w:left="374" w:leftChars="177" w:hanging="2" w:hangingChars="1"/>
        <w:rPr>
          <w:rFonts w:ascii="宋体" w:hAnsi="宋体"/>
          <w:bCs/>
          <w:color w:val="000000" w:themeColor="text1"/>
          <w:szCs w:val="21"/>
          <w:highlight w:val="none"/>
        </w:rPr>
      </w:pPr>
      <w:r>
        <w:rPr>
          <w:rFonts w:hint="eastAsia" w:ascii="宋体" w:hAnsi="宋体"/>
          <w:bCs/>
          <w:color w:val="000000" w:themeColor="text1"/>
          <w:szCs w:val="21"/>
          <w:highlight w:val="none"/>
        </w:rPr>
        <w:t>据此函，签字代表宣布同意如下：</w:t>
      </w:r>
    </w:p>
    <w:p>
      <w:pPr>
        <w:widowControl/>
        <w:numPr>
          <w:ilvl w:val="0"/>
          <w:numId w:val="14"/>
        </w:numPr>
        <w:tabs>
          <w:tab w:val="left" w:pos="840"/>
        </w:tabs>
        <w:adjustRightInd w:val="0"/>
        <w:snapToGrid w:val="0"/>
        <w:spacing w:line="360" w:lineRule="exact"/>
        <w:ind w:left="840" w:hanging="420"/>
        <w:rPr>
          <w:rFonts w:ascii="宋体" w:hAnsi="宋体"/>
          <w:bCs/>
          <w:color w:val="000000" w:themeColor="text1"/>
          <w:szCs w:val="21"/>
          <w:highlight w:val="none"/>
        </w:rPr>
      </w:pPr>
      <w:r>
        <w:rPr>
          <w:rFonts w:hint="eastAsia" w:ascii="宋体" w:hAnsi="宋体"/>
          <w:color w:val="000000" w:themeColor="text1"/>
          <w:szCs w:val="21"/>
          <w:highlight w:val="none"/>
        </w:rPr>
        <w:t>所附投标价格表中规定的应提交的</w:t>
      </w:r>
      <w:r>
        <w:rPr>
          <w:rFonts w:hint="eastAsia" w:ascii="宋体" w:hAnsi="宋体"/>
          <w:color w:val="000000" w:themeColor="text1"/>
          <w:szCs w:val="21"/>
          <w:highlight w:val="none"/>
          <w:lang w:val="en-US" w:eastAsia="zh-CN"/>
        </w:rPr>
        <w:t>服务</w:t>
      </w:r>
      <w:r>
        <w:rPr>
          <w:rFonts w:hint="eastAsia" w:ascii="宋体" w:hAnsi="宋体"/>
          <w:color w:val="000000" w:themeColor="text1"/>
          <w:szCs w:val="21"/>
          <w:highlight w:val="none"/>
        </w:rPr>
        <w:t>投标总价为人民币：</w:t>
      </w:r>
      <w:r>
        <w:rPr>
          <w:rFonts w:hint="eastAsia" w:ascii="宋体" w:hAnsi="宋体"/>
          <w:color w:val="000000" w:themeColor="text1"/>
          <w:szCs w:val="21"/>
          <w:highlight w:val="none"/>
          <w:u w:val="single"/>
        </w:rPr>
        <w:t xml:space="preserve"> （用文字和数字表示的谈判总价）  </w:t>
      </w:r>
      <w:r>
        <w:rPr>
          <w:rFonts w:hint="eastAsia" w:ascii="宋体" w:hAnsi="宋体"/>
          <w:color w:val="000000" w:themeColor="text1"/>
          <w:szCs w:val="21"/>
          <w:highlight w:val="none"/>
        </w:rPr>
        <w:t>。</w:t>
      </w:r>
    </w:p>
    <w:p>
      <w:pPr>
        <w:widowControl/>
        <w:numPr>
          <w:ilvl w:val="0"/>
          <w:numId w:val="14"/>
        </w:numPr>
        <w:tabs>
          <w:tab w:val="left" w:pos="840"/>
        </w:tabs>
        <w:adjustRightInd w:val="0"/>
        <w:snapToGrid w:val="0"/>
        <w:spacing w:line="360" w:lineRule="exact"/>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单位负责人为同一人或者存在直接控股、管理关系的不同投标人，不得参加本项目同一合同项下的政府采购活动。</w:t>
      </w:r>
    </w:p>
    <w:p>
      <w:pPr>
        <w:widowControl/>
        <w:numPr>
          <w:ilvl w:val="0"/>
          <w:numId w:val="14"/>
        </w:numPr>
        <w:tabs>
          <w:tab w:val="left" w:pos="840"/>
        </w:tabs>
        <w:adjustRightInd w:val="0"/>
        <w:snapToGrid w:val="0"/>
        <w:spacing w:line="360" w:lineRule="exact"/>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为本采购项目提供整体设计、规范编制或者项目管理、监理、检测等服务的，不得再参加本项目的其他招标采购活动。</w:t>
      </w:r>
    </w:p>
    <w:p>
      <w:pPr>
        <w:widowControl/>
        <w:numPr>
          <w:ilvl w:val="0"/>
          <w:numId w:val="14"/>
        </w:numPr>
        <w:tabs>
          <w:tab w:val="left" w:pos="840"/>
        </w:tabs>
        <w:adjustRightInd w:val="0"/>
        <w:snapToGrid w:val="0"/>
        <w:spacing w:line="360" w:lineRule="exact"/>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本次投标所报内容完全按照谈判文件要求填报，所有内容都是真实、准确的。</w:t>
      </w:r>
    </w:p>
    <w:p>
      <w:pPr>
        <w:widowControl/>
        <w:numPr>
          <w:ilvl w:val="0"/>
          <w:numId w:val="14"/>
        </w:numPr>
        <w:tabs>
          <w:tab w:val="left" w:pos="840"/>
        </w:tabs>
        <w:adjustRightInd w:val="0"/>
        <w:snapToGrid w:val="0"/>
        <w:spacing w:line="360" w:lineRule="exact"/>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供应商将按谈判文件的规定履行全部合同责任和义务。</w:t>
      </w:r>
    </w:p>
    <w:p>
      <w:pPr>
        <w:widowControl/>
        <w:numPr>
          <w:ilvl w:val="0"/>
          <w:numId w:val="14"/>
        </w:numPr>
        <w:tabs>
          <w:tab w:val="left" w:pos="840"/>
        </w:tabs>
        <w:adjustRightInd w:val="0"/>
        <w:snapToGrid w:val="0"/>
        <w:spacing w:line="360" w:lineRule="exact"/>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供应商已详细审查全部谈判文件，包括修改文件（如有的话）以及全部参考资料和有关附件。我们完全理解并同意放弃对这方面有不明及误解的权利。</w:t>
      </w:r>
    </w:p>
    <w:p>
      <w:pPr>
        <w:widowControl/>
        <w:numPr>
          <w:ilvl w:val="0"/>
          <w:numId w:val="14"/>
        </w:numPr>
        <w:tabs>
          <w:tab w:val="left" w:pos="840"/>
        </w:tabs>
        <w:adjustRightInd w:val="0"/>
        <w:snapToGrid w:val="0"/>
        <w:spacing w:line="360" w:lineRule="exact"/>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本次投标自递交谈判响应文件截止之日起有效期为90天。</w:t>
      </w:r>
    </w:p>
    <w:p>
      <w:pPr>
        <w:widowControl/>
        <w:numPr>
          <w:ilvl w:val="0"/>
          <w:numId w:val="14"/>
        </w:numPr>
        <w:tabs>
          <w:tab w:val="left" w:pos="840"/>
        </w:tabs>
        <w:adjustRightInd w:val="0"/>
        <w:snapToGrid w:val="0"/>
        <w:spacing w:line="360" w:lineRule="exact"/>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如果在规定的递交谈判响应文件截止之日后，供应商在投标有效期内撤回投标，投标保证金将被贵方没收。</w:t>
      </w:r>
    </w:p>
    <w:p>
      <w:pPr>
        <w:widowControl/>
        <w:numPr>
          <w:ilvl w:val="0"/>
          <w:numId w:val="14"/>
        </w:numPr>
        <w:tabs>
          <w:tab w:val="left" w:pos="840"/>
        </w:tabs>
        <w:adjustRightInd w:val="0"/>
        <w:snapToGrid w:val="0"/>
        <w:spacing w:line="360" w:lineRule="exact"/>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供应商同意提供按照贵方可能要求与其投标有关的一切数据或资料，完全理解贵方不一定接受最低价的投标或收到的任何投标。</w:t>
      </w:r>
    </w:p>
    <w:p>
      <w:pPr>
        <w:widowControl/>
        <w:numPr>
          <w:ilvl w:val="0"/>
          <w:numId w:val="14"/>
        </w:numPr>
        <w:tabs>
          <w:tab w:val="left" w:pos="840"/>
        </w:tabs>
        <w:adjustRightInd w:val="0"/>
        <w:snapToGrid w:val="0"/>
        <w:spacing w:line="360" w:lineRule="exact"/>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与本投标有关的一切正式往来通讯请寄至谈判响应文件封面指定地址、联系方式。</w:t>
      </w:r>
    </w:p>
    <w:p>
      <w:pPr>
        <w:adjustRightInd w:val="0"/>
        <w:snapToGrid w:val="0"/>
        <w:spacing w:line="360" w:lineRule="exact"/>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供应商法定代表人或授权代理人（签字）：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pPr>
        <w:adjustRightInd w:val="0"/>
        <w:snapToGrid w:val="0"/>
        <w:spacing w:line="360" w:lineRule="exact"/>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adjustRightInd w:val="0"/>
        <w:snapToGrid w:val="0"/>
        <w:spacing w:line="360" w:lineRule="exact"/>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ascii="宋体" w:hAnsi="宋体"/>
          <w:bCs/>
          <w:color w:val="000000" w:themeColor="text1"/>
          <w:szCs w:val="21"/>
          <w:highlight w:val="none"/>
        </w:rPr>
        <w:t xml:space="preserve">   </w:t>
      </w:r>
    </w:p>
    <w:p>
      <w:pPr>
        <w:pStyle w:val="24"/>
        <w:spacing w:line="360" w:lineRule="exact"/>
        <w:rPr>
          <w:rFonts w:hAnsi="宋体"/>
          <w:color w:val="000000" w:themeColor="text1"/>
          <w:highlight w:val="none"/>
        </w:rPr>
      </w:pPr>
      <w:r>
        <w:rPr>
          <w:rFonts w:hint="eastAsia" w:hAnsi="宋体"/>
          <w:color w:val="000000" w:themeColor="text1"/>
          <w:highlight w:val="none"/>
        </w:rPr>
        <w:t>注：本投标函为供应商响应本次谈判项目的郑重承诺，供应商不得改动且必须满足。</w:t>
      </w:r>
    </w:p>
    <w:p>
      <w:pPr>
        <w:pStyle w:val="5"/>
        <w:numPr>
          <w:ilvl w:val="0"/>
          <w:numId w:val="0"/>
        </w:numPr>
        <w:jc w:val="center"/>
        <w:rPr>
          <w:color w:val="000000" w:themeColor="text1"/>
          <w:sz w:val="28"/>
          <w:szCs w:val="28"/>
          <w:highlight w:val="none"/>
        </w:rPr>
      </w:pPr>
      <w:bookmarkStart w:id="164" w:name="_Toc343248440"/>
      <w:bookmarkStart w:id="165" w:name="_Toc333935709"/>
      <w:bookmarkStart w:id="166" w:name="_Toc332270369"/>
      <w:bookmarkStart w:id="167" w:name="_Toc342398152"/>
      <w:bookmarkStart w:id="168" w:name="_Toc366072551"/>
      <w:bookmarkStart w:id="169" w:name="_Toc332206731"/>
      <w:bookmarkStart w:id="170" w:name="_Toc339441109"/>
      <w:bookmarkStart w:id="171" w:name="_Toc340677092"/>
      <w:bookmarkStart w:id="172" w:name="_Toc339020117"/>
      <w:bookmarkStart w:id="173" w:name="_Toc365967094"/>
      <w:bookmarkStart w:id="174" w:name="_Toc340507464"/>
      <w:bookmarkStart w:id="175" w:name="_Toc342296783"/>
      <w:bookmarkStart w:id="176" w:name="_Toc343612942"/>
      <w:bookmarkStart w:id="177" w:name="_Toc339020255"/>
      <w:bookmarkStart w:id="178" w:name="_Toc336681957"/>
      <w:bookmarkStart w:id="179" w:name="_Toc333238656"/>
      <w:bookmarkStart w:id="180" w:name="_Toc342060397"/>
      <w:bookmarkStart w:id="181" w:name="_Toc331684064"/>
      <w:bookmarkStart w:id="182" w:name="_Toc333237811"/>
      <w:bookmarkStart w:id="183" w:name="_Toc341348362"/>
      <w:bookmarkStart w:id="184" w:name="_Toc350438771"/>
      <w:bookmarkStart w:id="185" w:name="_Toc333237700"/>
      <w:bookmarkStart w:id="186" w:name="_Toc343247122"/>
      <w:bookmarkStart w:id="187" w:name="_Toc365985200"/>
      <w:bookmarkStart w:id="188" w:name="_Toc342312465"/>
      <w:bookmarkStart w:id="189" w:name="_Toc78816017"/>
      <w:bookmarkStart w:id="190" w:name="_Toc333935368"/>
      <w:bookmarkStart w:id="191" w:name="_Toc336681602"/>
      <w:bookmarkStart w:id="192" w:name="_Toc339019911"/>
      <w:bookmarkStart w:id="193" w:name="_Toc340672891"/>
      <w:bookmarkStart w:id="194" w:name="_Toc350756472"/>
      <w:bookmarkStart w:id="195" w:name="_Toc337632380"/>
      <w:bookmarkStart w:id="196" w:name="_Toc345312619"/>
      <w:bookmarkStart w:id="197" w:name="_Toc339362322"/>
      <w:bookmarkStart w:id="198" w:name="_Toc339020037"/>
      <w:bookmarkStart w:id="199" w:name="_Toc330460008"/>
      <w:bookmarkStart w:id="200" w:name="_Toc331512923"/>
      <w:bookmarkStart w:id="201" w:name="_Toc438589238"/>
      <w:bookmarkStart w:id="202" w:name="_Toc16577"/>
      <w:bookmarkStart w:id="203" w:name="_Toc427330699"/>
      <w:r>
        <w:rPr>
          <w:rFonts w:hint="eastAsia"/>
          <w:color w:val="000000" w:themeColor="text1"/>
          <w:sz w:val="28"/>
          <w:szCs w:val="28"/>
          <w:highlight w:val="none"/>
        </w:rPr>
        <w:t>附件二：</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Pr>
          <w:rFonts w:hint="eastAsia"/>
          <w:color w:val="000000" w:themeColor="text1"/>
          <w:sz w:val="28"/>
          <w:szCs w:val="28"/>
          <w:highlight w:val="none"/>
        </w:rPr>
        <w:t>承诺书</w:t>
      </w:r>
      <w:bookmarkEnd w:id="201"/>
      <w:bookmarkEnd w:id="202"/>
      <w:bookmarkEnd w:id="203"/>
    </w:p>
    <w:p>
      <w:pPr>
        <w:spacing w:line="500" w:lineRule="exact"/>
        <w:rPr>
          <w:rFonts w:ascii="宋体" w:hAnsi="宋体"/>
          <w:color w:val="000000" w:themeColor="text1"/>
          <w:szCs w:val="21"/>
          <w:highlight w:val="none"/>
        </w:rPr>
      </w:pPr>
      <w:r>
        <w:rPr>
          <w:rFonts w:hint="eastAsia" w:ascii="宋体" w:hAnsi="宋体"/>
          <w:color w:val="000000" w:themeColor="text1"/>
          <w:szCs w:val="21"/>
          <w:highlight w:val="none"/>
        </w:rPr>
        <w:t>致：</w:t>
      </w:r>
      <w:r>
        <w:rPr>
          <w:rFonts w:hint="eastAsia" w:ascii="宋体" w:hAnsi="宋体"/>
          <w:color w:val="000000" w:themeColor="text1"/>
          <w:szCs w:val="21"/>
          <w:highlight w:val="none"/>
          <w:u w:val="single"/>
        </w:rPr>
        <w:t xml:space="preserve">                                </w:t>
      </w:r>
    </w:p>
    <w:p>
      <w:pPr>
        <w:spacing w:line="500" w:lineRule="exact"/>
        <w:ind w:firstLine="420" w:firstLineChars="200"/>
        <w:rPr>
          <w:rFonts w:ascii="宋体" w:hAnsi="宋体"/>
          <w:color w:val="000000" w:themeColor="text1"/>
          <w:szCs w:val="21"/>
          <w:highlight w:val="none"/>
        </w:rPr>
      </w:pPr>
    </w:p>
    <w:p>
      <w:pPr>
        <w:spacing w:line="50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为满足</w:t>
      </w:r>
      <w:r>
        <w:rPr>
          <w:rFonts w:hint="eastAsia" w:ascii="宋体" w:hAnsi="宋体"/>
          <w:b/>
          <w:bCs/>
          <w:color w:val="000000" w:themeColor="text1"/>
          <w:highlight w:val="none"/>
          <w:u w:val="single"/>
        </w:rPr>
        <w:t xml:space="preserve">                                  </w:t>
      </w:r>
      <w:r>
        <w:rPr>
          <w:rFonts w:hint="eastAsia" w:ascii="宋体" w:hAnsi="宋体"/>
          <w:b/>
          <w:bCs/>
          <w:color w:val="000000" w:themeColor="text1"/>
          <w:szCs w:val="21"/>
          <w:highlight w:val="none"/>
          <w:u w:val="single"/>
        </w:rPr>
        <w:t>(项目编号:             )</w:t>
      </w:r>
      <w:r>
        <w:rPr>
          <w:rFonts w:hint="eastAsia" w:ascii="宋体" w:hAnsi="宋体"/>
          <w:color w:val="000000" w:themeColor="text1"/>
          <w:szCs w:val="21"/>
          <w:highlight w:val="none"/>
        </w:rPr>
        <w:t>的要求，我方</w:t>
      </w:r>
      <w:r>
        <w:rPr>
          <w:rFonts w:ascii="宋体" w:hAnsi="宋体"/>
          <w:color w:val="000000" w:themeColor="text1"/>
          <w:szCs w:val="21"/>
          <w:highlight w:val="none"/>
          <w:u w:val="single"/>
        </w:rPr>
        <w:t xml:space="preserve">  </w:t>
      </w:r>
      <w:r>
        <w:rPr>
          <w:rFonts w:hint="eastAsia" w:ascii="宋体" w:hAnsi="宋体"/>
          <w:color w:val="000000" w:themeColor="text1"/>
          <w:szCs w:val="21"/>
          <w:highlight w:val="none"/>
          <w:u w:val="single"/>
        </w:rPr>
        <w:t>（供应商全称 ）</w:t>
      </w:r>
      <w:r>
        <w:rPr>
          <w:rFonts w:ascii="宋体" w:hAnsi="宋体"/>
          <w:color w:val="000000" w:themeColor="text1"/>
          <w:szCs w:val="21"/>
          <w:highlight w:val="none"/>
          <w:u w:val="single"/>
        </w:rPr>
        <w:t xml:space="preserve">  </w:t>
      </w:r>
      <w:r>
        <w:rPr>
          <w:rFonts w:hint="eastAsia" w:ascii="宋体" w:hAnsi="宋体"/>
          <w:color w:val="000000" w:themeColor="text1"/>
          <w:szCs w:val="21"/>
          <w:highlight w:val="none"/>
        </w:rPr>
        <w:t>在此承诺所提供的投标材料均为真实的，否则，愿意承担相应的法律责任和赔偿经济损失。</w:t>
      </w:r>
    </w:p>
    <w:p>
      <w:pPr>
        <w:spacing w:line="440" w:lineRule="exact"/>
        <w:ind w:firstLine="420" w:firstLineChars="200"/>
        <w:rPr>
          <w:rFonts w:ascii="宋体" w:hAnsi="宋体"/>
          <w:color w:val="000000" w:themeColor="text1"/>
          <w:szCs w:val="21"/>
          <w:highlight w:val="none"/>
        </w:rPr>
      </w:pPr>
    </w:p>
    <w:p>
      <w:pPr>
        <w:spacing w:line="440" w:lineRule="exact"/>
        <w:ind w:firstLine="420" w:firstLineChars="200"/>
        <w:rPr>
          <w:rFonts w:ascii="宋体" w:hAnsi="宋体"/>
          <w:color w:val="000000" w:themeColor="text1"/>
          <w:szCs w:val="2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供应商法定代表人或授权代理人（签字）：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供应商名称（加盖公章）：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color w:val="000000" w:themeColor="text1"/>
          <w:highlight w:val="none"/>
        </w:rPr>
        <w:t>日期：</w:t>
      </w:r>
      <w:r>
        <w:rPr>
          <w:color w:val="000000" w:themeColor="text1"/>
          <w:highlight w:val="none"/>
          <w:u w:val="single"/>
        </w:rPr>
        <w:t xml:space="preserve">    </w:t>
      </w:r>
      <w:r>
        <w:rPr>
          <w:rFonts w:hint="eastAsia"/>
          <w:color w:val="000000" w:themeColor="text1"/>
          <w:highlight w:val="none"/>
          <w:u w:val="single"/>
        </w:rPr>
        <w:t xml:space="preserve">  </w:t>
      </w:r>
      <w:r>
        <w:rPr>
          <w:color w:val="000000" w:themeColor="text1"/>
          <w:highlight w:val="none"/>
          <w:u w:val="single"/>
        </w:rPr>
        <w:t xml:space="preserve"> </w:t>
      </w:r>
      <w:r>
        <w:rPr>
          <w:color w:val="000000" w:themeColor="text1"/>
          <w:highlight w:val="none"/>
        </w:rPr>
        <w:t xml:space="preserve"> </w:t>
      </w:r>
      <w:r>
        <w:rPr>
          <w:rFonts w:hint="eastAsia"/>
          <w:color w:val="000000" w:themeColor="text1"/>
          <w:highlight w:val="none"/>
        </w:rPr>
        <w:t>年</w:t>
      </w:r>
      <w:r>
        <w:rPr>
          <w:color w:val="000000" w:themeColor="text1"/>
          <w:highlight w:val="none"/>
          <w:u w:val="single"/>
        </w:rPr>
        <w:t xml:space="preserve">     </w:t>
      </w:r>
      <w:r>
        <w:rPr>
          <w:rFonts w:hint="eastAsia"/>
          <w:color w:val="000000" w:themeColor="text1"/>
          <w:highlight w:val="none"/>
        </w:rPr>
        <w:t>月</w:t>
      </w:r>
      <w:r>
        <w:rPr>
          <w:color w:val="000000" w:themeColor="text1"/>
          <w:highlight w:val="none"/>
        </w:rPr>
        <w:t xml:space="preserve"> </w:t>
      </w:r>
      <w:r>
        <w:rPr>
          <w:color w:val="000000" w:themeColor="text1"/>
          <w:highlight w:val="none"/>
          <w:u w:val="single"/>
        </w:rPr>
        <w:t xml:space="preserve">    </w:t>
      </w:r>
      <w:r>
        <w:rPr>
          <w:rFonts w:hint="eastAsia"/>
          <w:color w:val="000000" w:themeColor="text1"/>
          <w:highlight w:val="none"/>
        </w:rPr>
        <w:t>日</w:t>
      </w:r>
    </w:p>
    <w:p>
      <w:pPr>
        <w:adjustRightInd w:val="0"/>
        <w:snapToGrid w:val="0"/>
        <w:spacing w:line="400" w:lineRule="exact"/>
        <w:rPr>
          <w:rFonts w:ascii="宋体" w:hAnsi="宋体"/>
          <w:bCs/>
          <w:color w:val="000000" w:themeColor="text1"/>
          <w:highlight w:val="none"/>
          <w:u w:val="single"/>
        </w:rPr>
      </w:pPr>
    </w:p>
    <w:p>
      <w:pPr>
        <w:adjustRightInd w:val="0"/>
        <w:snapToGrid w:val="0"/>
        <w:spacing w:line="400" w:lineRule="exact"/>
        <w:rPr>
          <w:rFonts w:ascii="宋体" w:hAnsi="宋体"/>
          <w:bCs/>
          <w:color w:val="000000" w:themeColor="text1"/>
          <w:highlight w:val="none"/>
          <w:u w:val="single"/>
        </w:rPr>
      </w:pPr>
    </w:p>
    <w:p>
      <w:pPr>
        <w:pStyle w:val="24"/>
        <w:spacing w:line="400" w:lineRule="exact"/>
        <w:rPr>
          <w:rFonts w:hAnsi="宋体"/>
          <w:color w:val="000000" w:themeColor="text1"/>
          <w:highlight w:val="none"/>
        </w:rPr>
      </w:pPr>
    </w:p>
    <w:p>
      <w:pPr>
        <w:pStyle w:val="24"/>
        <w:spacing w:line="400" w:lineRule="exact"/>
        <w:rPr>
          <w:rFonts w:hAnsi="宋体"/>
          <w:color w:val="000000" w:themeColor="text1"/>
          <w:highlight w:val="none"/>
        </w:rPr>
      </w:pPr>
    </w:p>
    <w:p>
      <w:pPr>
        <w:pStyle w:val="24"/>
        <w:spacing w:line="400" w:lineRule="exact"/>
        <w:rPr>
          <w:rFonts w:hAnsi="宋体"/>
          <w:color w:val="000000" w:themeColor="text1"/>
          <w:highlight w:val="none"/>
        </w:rPr>
      </w:pPr>
    </w:p>
    <w:p>
      <w:pPr>
        <w:pStyle w:val="24"/>
        <w:spacing w:line="400" w:lineRule="exact"/>
        <w:rPr>
          <w:rFonts w:hAnsi="宋体"/>
          <w:color w:val="000000" w:themeColor="text1"/>
          <w:highlight w:val="none"/>
        </w:rPr>
      </w:pPr>
    </w:p>
    <w:p>
      <w:pPr>
        <w:pStyle w:val="24"/>
        <w:spacing w:line="400" w:lineRule="exact"/>
        <w:rPr>
          <w:rFonts w:hAnsi="宋体"/>
          <w:color w:val="000000" w:themeColor="text1"/>
          <w:highlight w:val="none"/>
        </w:rPr>
      </w:pPr>
    </w:p>
    <w:p>
      <w:pPr>
        <w:pStyle w:val="24"/>
        <w:spacing w:line="400" w:lineRule="exact"/>
        <w:rPr>
          <w:rFonts w:hAnsi="宋体"/>
          <w:color w:val="000000" w:themeColor="text1"/>
          <w:highlight w:val="none"/>
        </w:rPr>
      </w:pPr>
    </w:p>
    <w:p>
      <w:pPr>
        <w:pStyle w:val="24"/>
        <w:spacing w:line="400" w:lineRule="exact"/>
        <w:rPr>
          <w:rFonts w:hAnsi="宋体"/>
          <w:color w:val="000000" w:themeColor="text1"/>
          <w:highlight w:val="none"/>
        </w:rPr>
      </w:pPr>
    </w:p>
    <w:p>
      <w:pPr>
        <w:pStyle w:val="24"/>
        <w:spacing w:line="400" w:lineRule="exact"/>
        <w:rPr>
          <w:rFonts w:hAnsi="宋体"/>
          <w:color w:val="000000" w:themeColor="text1"/>
          <w:highlight w:val="none"/>
        </w:rPr>
      </w:pPr>
    </w:p>
    <w:p>
      <w:pPr>
        <w:pStyle w:val="24"/>
        <w:spacing w:line="400" w:lineRule="exact"/>
        <w:rPr>
          <w:rFonts w:hAnsi="宋体"/>
          <w:color w:val="000000" w:themeColor="text1"/>
          <w:highlight w:val="none"/>
        </w:rPr>
      </w:pPr>
    </w:p>
    <w:p>
      <w:pPr>
        <w:pStyle w:val="24"/>
        <w:spacing w:line="400" w:lineRule="exact"/>
        <w:rPr>
          <w:rFonts w:hAnsi="宋体"/>
          <w:color w:val="000000" w:themeColor="text1"/>
          <w:highlight w:val="none"/>
        </w:rPr>
      </w:pPr>
    </w:p>
    <w:p>
      <w:pPr>
        <w:pStyle w:val="24"/>
        <w:spacing w:line="400" w:lineRule="exact"/>
        <w:rPr>
          <w:rFonts w:hAnsi="宋体"/>
          <w:color w:val="000000" w:themeColor="text1"/>
          <w:highlight w:val="none"/>
        </w:rPr>
      </w:pPr>
    </w:p>
    <w:p>
      <w:pPr>
        <w:pStyle w:val="24"/>
        <w:spacing w:line="400" w:lineRule="exact"/>
        <w:rPr>
          <w:rFonts w:hAnsi="宋体"/>
          <w:color w:val="000000" w:themeColor="text1"/>
          <w:highlight w:val="none"/>
        </w:rPr>
      </w:pPr>
    </w:p>
    <w:p>
      <w:pPr>
        <w:pStyle w:val="24"/>
        <w:spacing w:line="400" w:lineRule="exact"/>
        <w:rPr>
          <w:rFonts w:hAnsi="宋体"/>
          <w:color w:val="000000" w:themeColor="text1"/>
          <w:highlight w:val="none"/>
        </w:rPr>
      </w:pPr>
    </w:p>
    <w:p>
      <w:pPr>
        <w:pStyle w:val="24"/>
        <w:spacing w:line="400" w:lineRule="exact"/>
        <w:rPr>
          <w:rFonts w:hAnsi="宋体"/>
          <w:color w:val="000000" w:themeColor="text1"/>
          <w:highlight w:val="none"/>
        </w:rPr>
      </w:pPr>
    </w:p>
    <w:p>
      <w:pPr>
        <w:pStyle w:val="24"/>
        <w:spacing w:line="400" w:lineRule="exact"/>
        <w:rPr>
          <w:rFonts w:hAnsi="宋体"/>
          <w:color w:val="000000" w:themeColor="text1"/>
          <w:highlight w:val="none"/>
        </w:rPr>
      </w:pPr>
    </w:p>
    <w:p>
      <w:pPr>
        <w:pStyle w:val="24"/>
        <w:spacing w:line="400" w:lineRule="exact"/>
        <w:rPr>
          <w:rFonts w:hAnsi="宋体"/>
          <w:color w:val="000000" w:themeColor="text1"/>
          <w:highlight w:val="none"/>
        </w:rPr>
      </w:pPr>
    </w:p>
    <w:p>
      <w:pPr>
        <w:pStyle w:val="24"/>
        <w:spacing w:line="400" w:lineRule="exact"/>
        <w:rPr>
          <w:rFonts w:hAnsi="宋体"/>
          <w:color w:val="000000" w:themeColor="text1"/>
          <w:highlight w:val="none"/>
        </w:rPr>
      </w:pPr>
    </w:p>
    <w:p>
      <w:pPr>
        <w:pStyle w:val="5"/>
        <w:numPr>
          <w:ilvl w:val="0"/>
          <w:numId w:val="0"/>
        </w:numPr>
        <w:jc w:val="center"/>
        <w:rPr>
          <w:color w:val="000000" w:themeColor="text1"/>
          <w:sz w:val="28"/>
          <w:szCs w:val="28"/>
          <w:highlight w:val="none"/>
        </w:rPr>
      </w:pPr>
      <w:bookmarkStart w:id="204" w:name="_Toc15498"/>
      <w:bookmarkStart w:id="205" w:name="_Toc200414526"/>
      <w:r>
        <w:rPr>
          <w:rFonts w:hint="eastAsia"/>
          <w:color w:val="000000" w:themeColor="text1"/>
          <w:sz w:val="28"/>
          <w:szCs w:val="28"/>
          <w:highlight w:val="none"/>
        </w:rPr>
        <w:t>附件三：报价一览表</w:t>
      </w:r>
      <w:bookmarkEnd w:id="204"/>
      <w:bookmarkEnd w:id="205"/>
    </w:p>
    <w:p>
      <w:pPr>
        <w:adjustRightInd w:val="0"/>
        <w:snapToGrid w:val="0"/>
        <w:spacing w:line="360" w:lineRule="auto"/>
        <w:jc w:val="left"/>
        <w:rPr>
          <w:rFonts w:ascii="宋体" w:hAnsi="宋体"/>
          <w:b/>
          <w:bCs/>
          <w:caps/>
          <w:color w:val="000000" w:themeColor="text1"/>
          <w:szCs w:val="21"/>
          <w:highlight w:val="none"/>
        </w:rPr>
      </w:pPr>
      <w:r>
        <w:rPr>
          <w:rFonts w:hint="eastAsia" w:ascii="宋体" w:hAnsi="宋体"/>
          <w:bCs/>
          <w:color w:val="000000" w:themeColor="text1"/>
          <w:szCs w:val="21"/>
          <w:highlight w:val="none"/>
        </w:rPr>
        <w:t>项目编号</w:t>
      </w:r>
      <w:r>
        <w:rPr>
          <w:rFonts w:hint="eastAsia" w:ascii="宋体" w:hAnsi="宋体"/>
          <w:b/>
          <w:color w:val="000000" w:themeColor="text1"/>
          <w:szCs w:val="21"/>
          <w:highlight w:val="none"/>
        </w:rPr>
        <w:t>:</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YXCG-20220303</w:t>
      </w:r>
      <w:r>
        <w:rPr>
          <w:rFonts w:hint="eastAsia" w:ascii="宋体" w:hAnsi="宋体"/>
          <w:b/>
          <w:bCs/>
          <w:caps/>
          <w:color w:val="000000" w:themeColor="text1"/>
          <w:szCs w:val="21"/>
          <w:highlight w:val="none"/>
          <w:u w:val="single"/>
        </w:rPr>
        <w:t xml:space="preserve">  </w:t>
      </w:r>
      <w:r>
        <w:rPr>
          <w:rFonts w:hint="eastAsia" w:ascii="宋体" w:hAnsi="宋体"/>
          <w:b/>
          <w:bCs/>
          <w:caps/>
          <w:color w:val="000000" w:themeColor="text1"/>
          <w:szCs w:val="21"/>
          <w:highlight w:val="none"/>
        </w:rPr>
        <w:t xml:space="preserve">  </w:t>
      </w:r>
    </w:p>
    <w:p>
      <w:pPr>
        <w:adjustRightInd w:val="0"/>
        <w:snapToGrid w:val="0"/>
        <w:spacing w:line="360" w:lineRule="auto"/>
        <w:jc w:val="left"/>
        <w:rPr>
          <w:rFonts w:ascii="宋体" w:hAnsi="宋体"/>
          <w:bCs/>
          <w:color w:val="000000" w:themeColor="text1"/>
          <w:szCs w:val="21"/>
          <w:highlight w:val="none"/>
          <w:u w:val="singl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中共阳西县委组织部干部人事档案管理信息系统建设及档案整理数字化项目</w:t>
      </w:r>
      <w:r>
        <w:rPr>
          <w:rFonts w:hint="eastAsia" w:ascii="宋体" w:hAnsi="宋体"/>
          <w:color w:val="000000" w:themeColor="text1"/>
          <w:spacing w:val="10"/>
          <w:szCs w:val="21"/>
          <w:highlight w:val="none"/>
        </w:rPr>
        <w:t xml:space="preserve"> </w:t>
      </w:r>
    </w:p>
    <w:p>
      <w:pPr>
        <w:tabs>
          <w:tab w:val="center" w:pos="4483"/>
        </w:tabs>
        <w:rPr>
          <w:rFonts w:ascii="宋体" w:hAnsi="宋体"/>
          <w:bCs/>
          <w:color w:val="000000" w:themeColor="text1"/>
          <w:szCs w:val="21"/>
          <w:highlight w:val="none"/>
          <w:u w:val="single"/>
        </w:rPr>
      </w:pPr>
    </w:p>
    <w:tbl>
      <w:tblPr>
        <w:tblStyle w:val="45"/>
        <w:tblpPr w:leftFromText="180" w:rightFromText="180" w:vertAnchor="text" w:tblpY="1"/>
        <w:tblOverlap w:val="never"/>
        <w:tblW w:w="86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1942" w:type="dxa"/>
            <w:vAlign w:val="center"/>
          </w:tcPr>
          <w:p>
            <w:pPr>
              <w:spacing w:line="46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项目名称</w:t>
            </w:r>
          </w:p>
        </w:tc>
        <w:tc>
          <w:tcPr>
            <w:tcW w:w="3713" w:type="dxa"/>
            <w:vAlign w:val="center"/>
          </w:tcPr>
          <w:p>
            <w:pPr>
              <w:spacing w:line="46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报价（元）</w:t>
            </w:r>
          </w:p>
        </w:tc>
        <w:tc>
          <w:tcPr>
            <w:tcW w:w="1501" w:type="dxa"/>
            <w:vAlign w:val="center"/>
          </w:tcPr>
          <w:p>
            <w:pPr>
              <w:spacing w:line="460" w:lineRule="exact"/>
              <w:jc w:val="center"/>
              <w:rPr>
                <w:rFonts w:hint="eastAsia" w:ascii="宋体" w:hAnsi="宋体" w:eastAsia="宋体"/>
                <w:bCs/>
                <w:color w:val="000000" w:themeColor="text1"/>
                <w:szCs w:val="21"/>
                <w:highlight w:val="none"/>
                <w:lang w:eastAsia="zh-CN"/>
              </w:rPr>
            </w:pPr>
            <w:r>
              <w:rPr>
                <w:rFonts w:hint="eastAsia" w:ascii="宋体" w:hAnsi="宋体"/>
                <w:bCs/>
                <w:color w:val="000000" w:themeColor="text1"/>
                <w:szCs w:val="21"/>
                <w:highlight w:val="none"/>
                <w:lang w:eastAsia="zh-CN"/>
              </w:rPr>
              <w:t>完工期</w:t>
            </w:r>
          </w:p>
        </w:tc>
        <w:tc>
          <w:tcPr>
            <w:tcW w:w="1476" w:type="dxa"/>
            <w:vAlign w:val="center"/>
          </w:tcPr>
          <w:p>
            <w:pPr>
              <w:spacing w:line="46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trPr>
        <w:tc>
          <w:tcPr>
            <w:tcW w:w="1942" w:type="dxa"/>
            <w:vAlign w:val="center"/>
          </w:tcPr>
          <w:p>
            <w:pPr>
              <w:spacing w:line="460" w:lineRule="exact"/>
              <w:jc w:val="center"/>
              <w:rPr>
                <w:rFonts w:ascii="宋体" w:hAnsi="宋体"/>
                <w:bCs/>
                <w:color w:val="000000" w:themeColor="text1"/>
                <w:highlight w:val="none"/>
              </w:rPr>
            </w:pPr>
          </w:p>
        </w:tc>
        <w:tc>
          <w:tcPr>
            <w:tcW w:w="3713" w:type="dxa"/>
            <w:vAlign w:val="center"/>
          </w:tcPr>
          <w:p>
            <w:pPr>
              <w:spacing w:line="460" w:lineRule="exact"/>
              <w:rPr>
                <w:rFonts w:ascii="宋体" w:hAnsi="宋体"/>
                <w:bCs/>
                <w:color w:val="000000" w:themeColor="text1"/>
                <w:highlight w:val="none"/>
              </w:rPr>
            </w:pPr>
            <w:r>
              <w:rPr>
                <w:rFonts w:hint="eastAsia" w:ascii="宋体" w:hAnsi="宋体"/>
                <w:bCs/>
                <w:color w:val="000000" w:themeColor="text1"/>
                <w:highlight w:val="none"/>
              </w:rPr>
              <w:t>大写：人民币</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pPr>
              <w:spacing w:line="460" w:lineRule="exact"/>
              <w:rPr>
                <w:rFonts w:ascii="宋体" w:hAnsi="宋体"/>
                <w:bCs/>
                <w:color w:val="000000" w:themeColor="text1"/>
                <w:highlight w:val="none"/>
              </w:rPr>
            </w:pPr>
          </w:p>
          <w:p>
            <w:pPr>
              <w:spacing w:line="460" w:lineRule="exact"/>
              <w:rPr>
                <w:rFonts w:ascii="宋体" w:hAnsi="宋体"/>
                <w:bCs/>
                <w:color w:val="000000" w:themeColor="text1"/>
                <w:highlight w:val="none"/>
              </w:rPr>
            </w:pPr>
            <w:r>
              <w:rPr>
                <w:rFonts w:hint="eastAsia" w:ascii="宋体" w:hAnsi="宋体"/>
                <w:bCs/>
                <w:color w:val="000000" w:themeColor="text1"/>
                <w:highlight w:val="none"/>
              </w:rPr>
              <w:t xml:space="preserve">小写：¥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pPr>
              <w:spacing w:line="460" w:lineRule="exact"/>
              <w:rPr>
                <w:rFonts w:ascii="宋体" w:hAnsi="宋体"/>
                <w:bCs/>
                <w:color w:val="000000" w:themeColor="text1"/>
                <w:highlight w:val="none"/>
              </w:rPr>
            </w:pPr>
          </w:p>
        </w:tc>
        <w:tc>
          <w:tcPr>
            <w:tcW w:w="1501" w:type="dxa"/>
            <w:vAlign w:val="center"/>
          </w:tcPr>
          <w:p>
            <w:pPr>
              <w:spacing w:line="460" w:lineRule="exact"/>
              <w:jc w:val="center"/>
              <w:rPr>
                <w:rFonts w:ascii="宋体" w:hAnsi="宋体"/>
                <w:bCs/>
                <w:color w:val="000000" w:themeColor="text1"/>
                <w:highlight w:val="none"/>
                <w:u w:val="single"/>
              </w:rPr>
            </w:pPr>
          </w:p>
        </w:tc>
        <w:tc>
          <w:tcPr>
            <w:tcW w:w="1476" w:type="dxa"/>
            <w:vAlign w:val="center"/>
          </w:tcPr>
          <w:p>
            <w:pPr>
              <w:rPr>
                <w:rFonts w:ascii="宋体" w:hAnsi="宋体"/>
                <w:bCs/>
                <w:color w:val="000000" w:themeColor="text1"/>
                <w:szCs w:val="21"/>
                <w:highlight w:val="none"/>
              </w:rPr>
            </w:pPr>
          </w:p>
        </w:tc>
      </w:tr>
    </w:tbl>
    <w:p>
      <w:pPr>
        <w:spacing w:line="460" w:lineRule="exact"/>
        <w:rPr>
          <w:rFonts w:ascii="宋体" w:hAnsi="宋体"/>
          <w:bCs/>
          <w:color w:val="000000" w:themeColor="text1"/>
          <w:highlight w:val="none"/>
          <w:u w:val="single"/>
        </w:rPr>
      </w:pPr>
    </w:p>
    <w:p>
      <w:pPr>
        <w:spacing w:line="460" w:lineRule="exact"/>
        <w:rPr>
          <w:rFonts w:ascii="宋体" w:hAnsi="宋体"/>
          <w:bCs/>
          <w:color w:val="000000" w:themeColor="text1"/>
          <w:highlight w:val="none"/>
        </w:rPr>
      </w:pPr>
      <w:r>
        <w:rPr>
          <w:rFonts w:hint="eastAsia" w:ascii="宋体" w:hAnsi="宋体"/>
          <w:bCs/>
          <w:color w:val="000000" w:themeColor="text1"/>
          <w:highlight w:val="none"/>
        </w:rPr>
        <w:t>注：</w:t>
      </w:r>
    </w:p>
    <w:p>
      <w:pPr>
        <w:numPr>
          <w:ilvl w:val="0"/>
          <w:numId w:val="15"/>
        </w:numPr>
        <w:tabs>
          <w:tab w:val="left" w:pos="845"/>
        </w:tabs>
        <w:spacing w:line="460" w:lineRule="exact"/>
        <w:rPr>
          <w:rFonts w:ascii="宋体" w:hAnsi="宋体"/>
          <w:bCs/>
          <w:color w:val="000000" w:themeColor="text1"/>
          <w:highlight w:val="none"/>
        </w:rPr>
      </w:pPr>
      <w:r>
        <w:rPr>
          <w:rFonts w:hint="eastAsia" w:ascii="宋体" w:hAnsi="宋体"/>
          <w:color w:val="000000" w:themeColor="text1"/>
          <w:highlight w:val="none"/>
        </w:rPr>
        <w:t>填写此表时不得改变表格的形式。</w:t>
      </w:r>
    </w:p>
    <w:p>
      <w:pPr>
        <w:numPr>
          <w:ilvl w:val="0"/>
          <w:numId w:val="15"/>
        </w:numPr>
        <w:tabs>
          <w:tab w:val="left" w:pos="845"/>
        </w:tabs>
        <w:spacing w:line="460" w:lineRule="exact"/>
        <w:rPr>
          <w:bCs/>
          <w:color w:val="000000" w:themeColor="text1"/>
          <w:highlight w:val="none"/>
        </w:rPr>
      </w:pPr>
      <w:r>
        <w:rPr>
          <w:rFonts w:hint="eastAsia"/>
          <w:bCs/>
          <w:color w:val="000000" w:themeColor="text1"/>
          <w:highlight w:val="none"/>
        </w:rPr>
        <w:t>所投项目的内容必须填写完整。</w:t>
      </w:r>
    </w:p>
    <w:p>
      <w:pPr>
        <w:numPr>
          <w:ilvl w:val="0"/>
          <w:numId w:val="15"/>
        </w:numPr>
        <w:tabs>
          <w:tab w:val="left" w:pos="845"/>
        </w:tabs>
        <w:spacing w:line="460" w:lineRule="exact"/>
        <w:rPr>
          <w:rFonts w:ascii="宋体" w:hAnsi="宋体"/>
          <w:bCs/>
          <w:color w:val="000000" w:themeColor="text1"/>
          <w:highlight w:val="none"/>
        </w:rPr>
      </w:pPr>
      <w:r>
        <w:rPr>
          <w:rFonts w:hint="eastAsia"/>
          <w:bCs/>
          <w:color w:val="000000" w:themeColor="text1"/>
          <w:highlight w:val="none"/>
        </w:rPr>
        <w:t>如果供应商认为有应当说明而本表中无相应栏目的内容，请在“备注”栏中说明添加说明。</w:t>
      </w:r>
    </w:p>
    <w:p>
      <w:pPr>
        <w:tabs>
          <w:tab w:val="left" w:pos="845"/>
        </w:tabs>
        <w:spacing w:line="46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供应商法定代表人或授权代理人（签字）：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pPr>
        <w:adjustRightInd w:val="0"/>
        <w:snapToGrid w:val="0"/>
        <w:spacing w:line="400" w:lineRule="exact"/>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adjustRightInd w:val="0"/>
        <w:snapToGrid w:val="0"/>
        <w:spacing w:line="400" w:lineRule="exact"/>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ascii="宋体" w:hAnsi="宋体"/>
          <w:bCs/>
          <w:color w:val="000000" w:themeColor="text1"/>
          <w:szCs w:val="21"/>
          <w:highlight w:val="none"/>
        </w:rPr>
        <w:t xml:space="preserve"> </w:t>
      </w:r>
    </w:p>
    <w:p>
      <w:pPr>
        <w:widowControl/>
        <w:adjustRightInd w:val="0"/>
        <w:snapToGrid w:val="0"/>
        <w:spacing w:line="460" w:lineRule="exact"/>
        <w:rPr>
          <w:rFonts w:ascii="宋体" w:hAnsi="宋体"/>
          <w:bCs/>
          <w:color w:val="000000" w:themeColor="text1"/>
          <w:highlight w:val="none"/>
          <w:u w:val="single"/>
        </w:rPr>
      </w:pPr>
    </w:p>
    <w:p>
      <w:pPr>
        <w:pStyle w:val="24"/>
        <w:spacing w:line="400" w:lineRule="exact"/>
        <w:rPr>
          <w:rFonts w:hAnsi="宋体"/>
          <w:color w:val="000000" w:themeColor="text1"/>
          <w:highlight w:val="none"/>
        </w:rPr>
      </w:pPr>
    </w:p>
    <w:p>
      <w:pPr>
        <w:pStyle w:val="24"/>
        <w:spacing w:line="400" w:lineRule="exact"/>
        <w:rPr>
          <w:rFonts w:hAnsi="宋体"/>
          <w:color w:val="000000" w:themeColor="text1"/>
          <w:highlight w:val="none"/>
        </w:rPr>
      </w:pPr>
    </w:p>
    <w:p>
      <w:pPr>
        <w:pStyle w:val="24"/>
        <w:spacing w:line="400" w:lineRule="exact"/>
        <w:rPr>
          <w:rFonts w:hAnsi="宋体"/>
          <w:color w:val="000000" w:themeColor="text1"/>
          <w:highlight w:val="none"/>
        </w:rPr>
      </w:pPr>
    </w:p>
    <w:p>
      <w:pPr>
        <w:pStyle w:val="24"/>
        <w:spacing w:line="400" w:lineRule="exact"/>
        <w:rPr>
          <w:rFonts w:hAnsi="宋体"/>
          <w:color w:val="000000" w:themeColor="text1"/>
          <w:highlight w:val="none"/>
        </w:rPr>
      </w:pPr>
    </w:p>
    <w:p>
      <w:pPr>
        <w:pStyle w:val="24"/>
        <w:spacing w:line="400" w:lineRule="exact"/>
        <w:rPr>
          <w:rFonts w:hAnsi="宋体"/>
          <w:color w:val="000000" w:themeColor="text1"/>
          <w:highlight w:val="none"/>
        </w:rPr>
        <w:sectPr>
          <w:pgSz w:w="11906" w:h="16838"/>
          <w:pgMar w:top="1418" w:right="1474" w:bottom="1418" w:left="1474" w:header="851" w:footer="851" w:gutter="0"/>
          <w:cols w:space="720" w:num="1"/>
          <w:titlePg/>
          <w:docGrid w:linePitch="462" w:charSpace="0"/>
        </w:sectPr>
      </w:pPr>
    </w:p>
    <w:p>
      <w:pPr>
        <w:pStyle w:val="5"/>
        <w:numPr>
          <w:ilvl w:val="0"/>
          <w:numId w:val="0"/>
        </w:numPr>
        <w:spacing w:line="240" w:lineRule="auto"/>
        <w:jc w:val="center"/>
        <w:rPr>
          <w:color w:val="000000" w:themeColor="text1"/>
          <w:sz w:val="28"/>
          <w:szCs w:val="28"/>
          <w:highlight w:val="none"/>
        </w:rPr>
      </w:pPr>
      <w:bookmarkStart w:id="206" w:name="_Toc200414527"/>
      <w:bookmarkStart w:id="207" w:name="_Toc26725"/>
      <w:r>
        <w:rPr>
          <w:rFonts w:hint="eastAsia"/>
          <w:color w:val="000000" w:themeColor="text1"/>
          <w:sz w:val="28"/>
          <w:szCs w:val="28"/>
          <w:highlight w:val="none"/>
        </w:rPr>
        <w:t>附件四：谈判分项报价</w:t>
      </w:r>
      <w:r>
        <w:rPr>
          <w:color w:val="000000" w:themeColor="text1"/>
          <w:sz w:val="28"/>
          <w:szCs w:val="28"/>
          <w:highlight w:val="none"/>
        </w:rPr>
        <w:t>表</w:t>
      </w:r>
      <w:bookmarkEnd w:id="206"/>
      <w:bookmarkEnd w:id="207"/>
    </w:p>
    <w:p>
      <w:pPr>
        <w:adjustRightInd w:val="0"/>
        <w:snapToGrid w:val="0"/>
        <w:spacing w:line="360" w:lineRule="auto"/>
        <w:jc w:val="left"/>
        <w:rPr>
          <w:rFonts w:ascii="宋体" w:hAnsi="宋体"/>
          <w:b/>
          <w:bCs/>
          <w:caps/>
          <w:color w:val="000000" w:themeColor="text1"/>
          <w:szCs w:val="21"/>
          <w:highlight w:val="none"/>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YXCG-20220303</w:t>
      </w:r>
      <w:r>
        <w:rPr>
          <w:rFonts w:hint="eastAsia" w:ascii="宋体" w:hAnsi="宋体"/>
          <w:b/>
          <w:bCs/>
          <w:caps/>
          <w:color w:val="000000" w:themeColor="text1"/>
          <w:szCs w:val="21"/>
          <w:highlight w:val="none"/>
          <w:u w:val="single"/>
        </w:rPr>
        <w:t xml:space="preserve">  </w:t>
      </w:r>
      <w:r>
        <w:rPr>
          <w:rFonts w:hint="eastAsia" w:ascii="宋体" w:hAnsi="宋体"/>
          <w:b/>
          <w:bCs/>
          <w:caps/>
          <w:color w:val="000000" w:themeColor="text1"/>
          <w:szCs w:val="21"/>
          <w:highlight w:val="none"/>
        </w:rPr>
        <w:t xml:space="preserve">  </w:t>
      </w:r>
    </w:p>
    <w:p>
      <w:pPr>
        <w:adjustRightInd w:val="0"/>
        <w:snapToGrid w:val="0"/>
        <w:spacing w:line="360" w:lineRule="auto"/>
        <w:ind w:left="7560" w:hanging="7560" w:hangingChars="3600"/>
        <w:jc w:val="left"/>
        <w:rPr>
          <w:rFonts w:ascii="宋体" w:hAnsi="宋体"/>
          <w:color w:val="000000" w:themeColor="text1"/>
          <w:spacing w:val="10"/>
          <w:szCs w:val="21"/>
          <w:highlight w:val="none"/>
          <w:u w:val="singl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中共阳西县委组织部干部人事档案管理信息系统建设及档案整理数字化项目</w:t>
      </w:r>
      <w:r>
        <w:rPr>
          <w:rFonts w:hint="eastAsia" w:ascii="宋体" w:hAnsi="宋体"/>
          <w:color w:val="000000" w:themeColor="text1"/>
          <w:spacing w:val="10"/>
          <w:szCs w:val="21"/>
          <w:highlight w:val="none"/>
        </w:rPr>
        <w:t xml:space="preserve">                        </w:t>
      </w:r>
      <w:r>
        <w:rPr>
          <w:rFonts w:hint="eastAsia" w:ascii="宋体" w:hAnsi="宋体"/>
          <w:bCs/>
          <w:color w:val="000000" w:themeColor="text1"/>
          <w:szCs w:val="21"/>
          <w:highlight w:val="none"/>
        </w:rPr>
        <w:t>（单位：元）</w:t>
      </w:r>
    </w:p>
    <w:tbl>
      <w:tblPr>
        <w:tblStyle w:val="45"/>
        <w:tblpPr w:leftFromText="180" w:rightFromText="180" w:vertAnchor="text" w:tblpY="1"/>
        <w:tblOverlap w:val="never"/>
        <w:tblW w:w="8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14" w:type="dxa"/>
            <w:vAlign w:val="center"/>
          </w:tcPr>
          <w:p>
            <w:pPr>
              <w:pStyle w:val="10"/>
              <w:snapToGrid w:val="0"/>
              <w:ind w:firstLine="0"/>
              <w:jc w:val="center"/>
              <w:rPr>
                <w:color w:val="000000" w:themeColor="text1"/>
                <w:szCs w:val="21"/>
                <w:highlight w:val="none"/>
              </w:rPr>
            </w:pPr>
            <w:r>
              <w:rPr>
                <w:rFonts w:hint="eastAsia"/>
                <w:color w:val="000000" w:themeColor="text1"/>
                <w:szCs w:val="21"/>
                <w:highlight w:val="none"/>
              </w:rPr>
              <w:t>序号</w:t>
            </w:r>
          </w:p>
        </w:tc>
        <w:tc>
          <w:tcPr>
            <w:tcW w:w="1842" w:type="dxa"/>
            <w:vAlign w:val="center"/>
          </w:tcPr>
          <w:p>
            <w:pPr>
              <w:pStyle w:val="10"/>
              <w:snapToGrid w:val="0"/>
              <w:ind w:firstLine="0"/>
              <w:jc w:val="center"/>
              <w:rPr>
                <w:color w:val="000000" w:themeColor="text1"/>
                <w:szCs w:val="21"/>
                <w:highlight w:val="none"/>
              </w:rPr>
            </w:pPr>
            <w:r>
              <w:rPr>
                <w:rFonts w:hint="eastAsia"/>
                <w:color w:val="000000" w:themeColor="text1"/>
                <w:szCs w:val="21"/>
                <w:highlight w:val="none"/>
              </w:rPr>
              <w:t>内容</w:t>
            </w:r>
          </w:p>
        </w:tc>
        <w:tc>
          <w:tcPr>
            <w:tcW w:w="1281" w:type="dxa"/>
            <w:vAlign w:val="center"/>
          </w:tcPr>
          <w:p>
            <w:pPr>
              <w:pStyle w:val="10"/>
              <w:snapToGrid w:val="0"/>
              <w:ind w:firstLine="0"/>
              <w:jc w:val="center"/>
              <w:rPr>
                <w:color w:val="000000" w:themeColor="text1"/>
                <w:szCs w:val="21"/>
                <w:highlight w:val="none"/>
              </w:rPr>
            </w:pPr>
            <w:r>
              <w:rPr>
                <w:rFonts w:hint="eastAsia"/>
                <w:color w:val="000000" w:themeColor="text1"/>
                <w:szCs w:val="21"/>
                <w:highlight w:val="none"/>
              </w:rPr>
              <w:t>1</w:t>
            </w:r>
          </w:p>
        </w:tc>
        <w:tc>
          <w:tcPr>
            <w:tcW w:w="1281" w:type="dxa"/>
            <w:vAlign w:val="center"/>
          </w:tcPr>
          <w:p>
            <w:pPr>
              <w:pStyle w:val="10"/>
              <w:snapToGrid w:val="0"/>
              <w:ind w:firstLine="0"/>
              <w:jc w:val="center"/>
              <w:rPr>
                <w:color w:val="000000" w:themeColor="text1"/>
                <w:szCs w:val="21"/>
                <w:highlight w:val="none"/>
              </w:rPr>
            </w:pPr>
            <w:r>
              <w:rPr>
                <w:rFonts w:hint="eastAsia"/>
                <w:color w:val="000000" w:themeColor="text1"/>
                <w:szCs w:val="21"/>
                <w:highlight w:val="none"/>
              </w:rPr>
              <w:t>2</w:t>
            </w:r>
          </w:p>
        </w:tc>
        <w:tc>
          <w:tcPr>
            <w:tcW w:w="1282" w:type="dxa"/>
            <w:gridSpan w:val="2"/>
            <w:vAlign w:val="center"/>
          </w:tcPr>
          <w:p>
            <w:pPr>
              <w:pStyle w:val="10"/>
              <w:snapToGrid w:val="0"/>
              <w:ind w:firstLine="0"/>
              <w:jc w:val="center"/>
              <w:rPr>
                <w:color w:val="000000" w:themeColor="text1"/>
                <w:szCs w:val="21"/>
                <w:highlight w:val="none"/>
              </w:rPr>
            </w:pPr>
            <w:r>
              <w:rPr>
                <w:rFonts w:hint="eastAsia"/>
                <w:color w:val="000000" w:themeColor="text1"/>
                <w:szCs w:val="21"/>
                <w:highlight w:val="none"/>
              </w:rPr>
              <w:t>3</w:t>
            </w:r>
          </w:p>
        </w:tc>
        <w:tc>
          <w:tcPr>
            <w:tcW w:w="1281" w:type="dxa"/>
            <w:vAlign w:val="center"/>
          </w:tcPr>
          <w:p>
            <w:pPr>
              <w:pStyle w:val="10"/>
              <w:snapToGrid w:val="0"/>
              <w:ind w:firstLine="0"/>
              <w:jc w:val="center"/>
              <w:rPr>
                <w:color w:val="000000" w:themeColor="text1"/>
                <w:szCs w:val="21"/>
                <w:highlight w:val="none"/>
              </w:rPr>
            </w:pPr>
            <w:r>
              <w:rPr>
                <w:rFonts w:hint="eastAsia"/>
                <w:color w:val="000000" w:themeColor="text1"/>
                <w:szCs w:val="21"/>
                <w:highlight w:val="none"/>
              </w:rPr>
              <w:t>4</w:t>
            </w:r>
          </w:p>
        </w:tc>
        <w:tc>
          <w:tcPr>
            <w:tcW w:w="1287" w:type="dxa"/>
            <w:vAlign w:val="center"/>
          </w:tcPr>
          <w:p>
            <w:pPr>
              <w:pStyle w:val="10"/>
              <w:snapToGrid w:val="0"/>
              <w:ind w:firstLine="0"/>
              <w:jc w:val="center"/>
              <w:rPr>
                <w:color w:val="000000" w:themeColor="text1"/>
                <w:szCs w:val="21"/>
                <w:highlight w:val="none"/>
              </w:rPr>
            </w:pPr>
            <w:r>
              <w:rPr>
                <w:rFonts w:hint="eastAsia"/>
                <w:color w:val="000000" w:themeColor="text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14" w:type="dxa"/>
            <w:vAlign w:val="center"/>
          </w:tcPr>
          <w:p>
            <w:pPr>
              <w:pStyle w:val="10"/>
              <w:snapToGrid w:val="0"/>
              <w:ind w:firstLine="0"/>
              <w:jc w:val="center"/>
              <w:rPr>
                <w:color w:val="000000" w:themeColor="text1"/>
                <w:szCs w:val="21"/>
                <w:highlight w:val="none"/>
              </w:rPr>
            </w:pPr>
            <w:r>
              <w:rPr>
                <w:rFonts w:hint="eastAsia"/>
                <w:color w:val="000000" w:themeColor="text1"/>
                <w:szCs w:val="21"/>
                <w:highlight w:val="none"/>
              </w:rPr>
              <w:t>1</w:t>
            </w:r>
          </w:p>
        </w:tc>
        <w:tc>
          <w:tcPr>
            <w:tcW w:w="1842" w:type="dxa"/>
            <w:vAlign w:val="center"/>
          </w:tcPr>
          <w:p>
            <w:pPr>
              <w:pStyle w:val="10"/>
              <w:snapToGrid w:val="0"/>
              <w:ind w:firstLine="0"/>
              <w:jc w:val="center"/>
              <w:rPr>
                <w:color w:val="000000" w:themeColor="text1"/>
                <w:szCs w:val="21"/>
                <w:highlight w:val="none"/>
              </w:rPr>
            </w:pPr>
            <w:r>
              <w:rPr>
                <w:rFonts w:hint="eastAsia"/>
                <w:color w:val="000000" w:themeColor="text1"/>
                <w:szCs w:val="21"/>
                <w:highlight w:val="none"/>
              </w:rPr>
              <w:t>项目内容</w:t>
            </w:r>
          </w:p>
        </w:tc>
        <w:tc>
          <w:tcPr>
            <w:tcW w:w="1281" w:type="dxa"/>
            <w:vAlign w:val="center"/>
          </w:tcPr>
          <w:p>
            <w:pPr>
              <w:pStyle w:val="10"/>
              <w:snapToGrid w:val="0"/>
              <w:ind w:firstLine="0"/>
              <w:jc w:val="center"/>
              <w:rPr>
                <w:color w:val="000000" w:themeColor="text1"/>
                <w:szCs w:val="21"/>
                <w:highlight w:val="none"/>
              </w:rPr>
            </w:pPr>
          </w:p>
        </w:tc>
        <w:tc>
          <w:tcPr>
            <w:tcW w:w="1281" w:type="dxa"/>
            <w:vAlign w:val="center"/>
          </w:tcPr>
          <w:p>
            <w:pPr>
              <w:pStyle w:val="10"/>
              <w:snapToGrid w:val="0"/>
              <w:ind w:firstLine="0"/>
              <w:jc w:val="center"/>
              <w:rPr>
                <w:color w:val="000000" w:themeColor="text1"/>
                <w:szCs w:val="21"/>
                <w:highlight w:val="none"/>
              </w:rPr>
            </w:pPr>
          </w:p>
        </w:tc>
        <w:tc>
          <w:tcPr>
            <w:tcW w:w="1282" w:type="dxa"/>
            <w:gridSpan w:val="2"/>
            <w:vAlign w:val="center"/>
          </w:tcPr>
          <w:p>
            <w:pPr>
              <w:pStyle w:val="10"/>
              <w:snapToGrid w:val="0"/>
              <w:ind w:firstLine="0"/>
              <w:jc w:val="center"/>
              <w:rPr>
                <w:color w:val="000000" w:themeColor="text1"/>
                <w:szCs w:val="21"/>
                <w:highlight w:val="none"/>
              </w:rPr>
            </w:pPr>
          </w:p>
        </w:tc>
        <w:tc>
          <w:tcPr>
            <w:tcW w:w="1281" w:type="dxa"/>
            <w:vAlign w:val="center"/>
          </w:tcPr>
          <w:p>
            <w:pPr>
              <w:pStyle w:val="10"/>
              <w:snapToGrid w:val="0"/>
              <w:ind w:firstLine="0"/>
              <w:jc w:val="center"/>
              <w:rPr>
                <w:color w:val="000000" w:themeColor="text1"/>
                <w:szCs w:val="21"/>
                <w:highlight w:val="none"/>
              </w:rPr>
            </w:pPr>
          </w:p>
        </w:tc>
        <w:tc>
          <w:tcPr>
            <w:tcW w:w="1287" w:type="dxa"/>
            <w:vAlign w:val="center"/>
          </w:tcPr>
          <w:p>
            <w:pPr>
              <w:pStyle w:val="10"/>
              <w:snapToGrid w:val="0"/>
              <w:ind w:firstLine="0"/>
              <w:jc w:val="center"/>
              <w:rPr>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14" w:type="dxa"/>
            <w:vAlign w:val="center"/>
          </w:tcPr>
          <w:p>
            <w:pPr>
              <w:pStyle w:val="10"/>
              <w:snapToGrid w:val="0"/>
              <w:ind w:firstLine="0"/>
              <w:jc w:val="center"/>
              <w:rPr>
                <w:color w:val="000000" w:themeColor="text1"/>
                <w:szCs w:val="21"/>
                <w:highlight w:val="none"/>
              </w:rPr>
            </w:pPr>
            <w:r>
              <w:rPr>
                <w:rFonts w:hint="eastAsia"/>
                <w:color w:val="000000" w:themeColor="text1"/>
                <w:szCs w:val="21"/>
                <w:highlight w:val="none"/>
              </w:rPr>
              <w:t>2</w:t>
            </w:r>
          </w:p>
        </w:tc>
        <w:tc>
          <w:tcPr>
            <w:tcW w:w="1842" w:type="dxa"/>
            <w:vAlign w:val="center"/>
          </w:tcPr>
          <w:p>
            <w:pPr>
              <w:pStyle w:val="10"/>
              <w:snapToGrid w:val="0"/>
              <w:ind w:firstLine="0"/>
              <w:jc w:val="center"/>
              <w:rPr>
                <w:color w:val="000000" w:themeColor="text1"/>
                <w:szCs w:val="21"/>
                <w:highlight w:val="none"/>
              </w:rPr>
            </w:pPr>
            <w:r>
              <w:rPr>
                <w:rFonts w:hint="eastAsia"/>
                <w:color w:val="000000" w:themeColor="text1"/>
                <w:szCs w:val="21"/>
                <w:highlight w:val="none"/>
              </w:rPr>
              <w:t>时间</w:t>
            </w:r>
          </w:p>
        </w:tc>
        <w:tc>
          <w:tcPr>
            <w:tcW w:w="1281" w:type="dxa"/>
            <w:vAlign w:val="center"/>
          </w:tcPr>
          <w:p>
            <w:pPr>
              <w:pStyle w:val="10"/>
              <w:snapToGrid w:val="0"/>
              <w:ind w:firstLine="0"/>
              <w:jc w:val="center"/>
              <w:rPr>
                <w:color w:val="000000" w:themeColor="text1"/>
                <w:szCs w:val="21"/>
                <w:highlight w:val="none"/>
              </w:rPr>
            </w:pPr>
          </w:p>
        </w:tc>
        <w:tc>
          <w:tcPr>
            <w:tcW w:w="1281" w:type="dxa"/>
            <w:vAlign w:val="center"/>
          </w:tcPr>
          <w:p>
            <w:pPr>
              <w:pStyle w:val="10"/>
              <w:snapToGrid w:val="0"/>
              <w:ind w:firstLine="0"/>
              <w:jc w:val="center"/>
              <w:rPr>
                <w:color w:val="000000" w:themeColor="text1"/>
                <w:szCs w:val="21"/>
                <w:highlight w:val="none"/>
              </w:rPr>
            </w:pPr>
          </w:p>
        </w:tc>
        <w:tc>
          <w:tcPr>
            <w:tcW w:w="1282" w:type="dxa"/>
            <w:gridSpan w:val="2"/>
            <w:vAlign w:val="center"/>
          </w:tcPr>
          <w:p>
            <w:pPr>
              <w:pStyle w:val="10"/>
              <w:snapToGrid w:val="0"/>
              <w:ind w:firstLine="0"/>
              <w:jc w:val="center"/>
              <w:rPr>
                <w:color w:val="000000" w:themeColor="text1"/>
                <w:szCs w:val="21"/>
                <w:highlight w:val="none"/>
              </w:rPr>
            </w:pPr>
          </w:p>
        </w:tc>
        <w:tc>
          <w:tcPr>
            <w:tcW w:w="1281" w:type="dxa"/>
            <w:vAlign w:val="center"/>
          </w:tcPr>
          <w:p>
            <w:pPr>
              <w:pStyle w:val="10"/>
              <w:snapToGrid w:val="0"/>
              <w:ind w:firstLine="0"/>
              <w:jc w:val="center"/>
              <w:rPr>
                <w:color w:val="000000" w:themeColor="text1"/>
                <w:szCs w:val="21"/>
                <w:highlight w:val="none"/>
              </w:rPr>
            </w:pPr>
          </w:p>
        </w:tc>
        <w:tc>
          <w:tcPr>
            <w:tcW w:w="1287" w:type="dxa"/>
            <w:vAlign w:val="center"/>
          </w:tcPr>
          <w:p>
            <w:pPr>
              <w:pStyle w:val="10"/>
              <w:snapToGrid w:val="0"/>
              <w:ind w:firstLine="0"/>
              <w:jc w:val="center"/>
              <w:rPr>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14" w:type="dxa"/>
            <w:vAlign w:val="center"/>
          </w:tcPr>
          <w:p>
            <w:pPr>
              <w:pStyle w:val="10"/>
              <w:snapToGrid w:val="0"/>
              <w:ind w:firstLine="0"/>
              <w:jc w:val="center"/>
              <w:rPr>
                <w:color w:val="000000" w:themeColor="text1"/>
                <w:szCs w:val="21"/>
                <w:highlight w:val="none"/>
              </w:rPr>
            </w:pPr>
            <w:r>
              <w:rPr>
                <w:color w:val="000000" w:themeColor="text1"/>
                <w:szCs w:val="21"/>
                <w:highlight w:val="none"/>
              </w:rPr>
              <w:t>3</w:t>
            </w:r>
          </w:p>
        </w:tc>
        <w:tc>
          <w:tcPr>
            <w:tcW w:w="1842" w:type="dxa"/>
            <w:vAlign w:val="center"/>
          </w:tcPr>
          <w:p>
            <w:pPr>
              <w:pStyle w:val="10"/>
              <w:snapToGrid w:val="0"/>
              <w:ind w:firstLine="0"/>
              <w:jc w:val="center"/>
              <w:rPr>
                <w:color w:val="000000" w:themeColor="text1"/>
                <w:szCs w:val="21"/>
                <w:highlight w:val="none"/>
              </w:rPr>
            </w:pPr>
            <w:r>
              <w:rPr>
                <w:rFonts w:hint="eastAsia"/>
                <w:color w:val="000000" w:themeColor="text1"/>
                <w:szCs w:val="21"/>
                <w:highlight w:val="none"/>
              </w:rPr>
              <w:t>单价</w:t>
            </w:r>
          </w:p>
        </w:tc>
        <w:tc>
          <w:tcPr>
            <w:tcW w:w="1281" w:type="dxa"/>
            <w:vAlign w:val="center"/>
          </w:tcPr>
          <w:p>
            <w:pPr>
              <w:pStyle w:val="10"/>
              <w:snapToGrid w:val="0"/>
              <w:ind w:firstLine="0"/>
              <w:jc w:val="center"/>
              <w:rPr>
                <w:color w:val="000000" w:themeColor="text1"/>
                <w:szCs w:val="21"/>
                <w:highlight w:val="none"/>
              </w:rPr>
            </w:pPr>
          </w:p>
        </w:tc>
        <w:tc>
          <w:tcPr>
            <w:tcW w:w="1281" w:type="dxa"/>
            <w:vAlign w:val="center"/>
          </w:tcPr>
          <w:p>
            <w:pPr>
              <w:pStyle w:val="10"/>
              <w:snapToGrid w:val="0"/>
              <w:ind w:firstLine="0"/>
              <w:jc w:val="center"/>
              <w:rPr>
                <w:color w:val="000000" w:themeColor="text1"/>
                <w:szCs w:val="21"/>
                <w:highlight w:val="none"/>
              </w:rPr>
            </w:pPr>
          </w:p>
        </w:tc>
        <w:tc>
          <w:tcPr>
            <w:tcW w:w="1282" w:type="dxa"/>
            <w:gridSpan w:val="2"/>
            <w:vAlign w:val="center"/>
          </w:tcPr>
          <w:p>
            <w:pPr>
              <w:pStyle w:val="10"/>
              <w:snapToGrid w:val="0"/>
              <w:ind w:firstLine="0"/>
              <w:jc w:val="center"/>
              <w:rPr>
                <w:color w:val="000000" w:themeColor="text1"/>
                <w:szCs w:val="21"/>
                <w:highlight w:val="none"/>
              </w:rPr>
            </w:pPr>
          </w:p>
        </w:tc>
        <w:tc>
          <w:tcPr>
            <w:tcW w:w="1281" w:type="dxa"/>
            <w:vAlign w:val="center"/>
          </w:tcPr>
          <w:p>
            <w:pPr>
              <w:pStyle w:val="10"/>
              <w:snapToGrid w:val="0"/>
              <w:ind w:firstLine="0"/>
              <w:jc w:val="center"/>
              <w:rPr>
                <w:color w:val="000000" w:themeColor="text1"/>
                <w:szCs w:val="21"/>
                <w:highlight w:val="none"/>
              </w:rPr>
            </w:pPr>
          </w:p>
        </w:tc>
        <w:tc>
          <w:tcPr>
            <w:tcW w:w="1287" w:type="dxa"/>
            <w:vAlign w:val="center"/>
          </w:tcPr>
          <w:p>
            <w:pPr>
              <w:pStyle w:val="10"/>
              <w:snapToGrid w:val="0"/>
              <w:ind w:firstLine="0"/>
              <w:jc w:val="center"/>
              <w:rPr>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14" w:type="dxa"/>
            <w:vAlign w:val="center"/>
          </w:tcPr>
          <w:p>
            <w:pPr>
              <w:pStyle w:val="10"/>
              <w:snapToGrid w:val="0"/>
              <w:ind w:firstLine="0"/>
              <w:jc w:val="center"/>
              <w:rPr>
                <w:color w:val="000000" w:themeColor="text1"/>
                <w:szCs w:val="21"/>
                <w:highlight w:val="none"/>
              </w:rPr>
            </w:pPr>
            <w:r>
              <w:rPr>
                <w:color w:val="000000" w:themeColor="text1"/>
                <w:szCs w:val="21"/>
                <w:highlight w:val="none"/>
              </w:rPr>
              <w:t>4</w:t>
            </w:r>
          </w:p>
        </w:tc>
        <w:tc>
          <w:tcPr>
            <w:tcW w:w="1842" w:type="dxa"/>
            <w:vAlign w:val="center"/>
          </w:tcPr>
          <w:p>
            <w:pPr>
              <w:pStyle w:val="10"/>
              <w:snapToGrid w:val="0"/>
              <w:ind w:firstLine="0"/>
              <w:jc w:val="center"/>
              <w:rPr>
                <w:color w:val="000000" w:themeColor="text1"/>
                <w:szCs w:val="21"/>
                <w:highlight w:val="none"/>
              </w:rPr>
            </w:pPr>
            <w:r>
              <w:rPr>
                <w:rFonts w:hint="eastAsia"/>
                <w:color w:val="000000" w:themeColor="text1"/>
                <w:szCs w:val="21"/>
                <w:highlight w:val="none"/>
              </w:rPr>
              <w:t>总价</w:t>
            </w:r>
          </w:p>
        </w:tc>
        <w:tc>
          <w:tcPr>
            <w:tcW w:w="1281" w:type="dxa"/>
            <w:vAlign w:val="center"/>
          </w:tcPr>
          <w:p>
            <w:pPr>
              <w:pStyle w:val="10"/>
              <w:snapToGrid w:val="0"/>
              <w:ind w:firstLine="0"/>
              <w:jc w:val="center"/>
              <w:rPr>
                <w:color w:val="000000" w:themeColor="text1"/>
                <w:szCs w:val="21"/>
                <w:highlight w:val="none"/>
              </w:rPr>
            </w:pPr>
          </w:p>
        </w:tc>
        <w:tc>
          <w:tcPr>
            <w:tcW w:w="1281" w:type="dxa"/>
            <w:vAlign w:val="center"/>
          </w:tcPr>
          <w:p>
            <w:pPr>
              <w:pStyle w:val="10"/>
              <w:snapToGrid w:val="0"/>
              <w:ind w:firstLine="0"/>
              <w:jc w:val="center"/>
              <w:rPr>
                <w:color w:val="000000" w:themeColor="text1"/>
                <w:szCs w:val="21"/>
                <w:highlight w:val="none"/>
              </w:rPr>
            </w:pPr>
          </w:p>
        </w:tc>
        <w:tc>
          <w:tcPr>
            <w:tcW w:w="1282" w:type="dxa"/>
            <w:gridSpan w:val="2"/>
            <w:vAlign w:val="center"/>
          </w:tcPr>
          <w:p>
            <w:pPr>
              <w:pStyle w:val="10"/>
              <w:snapToGrid w:val="0"/>
              <w:ind w:firstLine="0"/>
              <w:jc w:val="center"/>
              <w:rPr>
                <w:color w:val="000000" w:themeColor="text1"/>
                <w:szCs w:val="21"/>
                <w:highlight w:val="none"/>
              </w:rPr>
            </w:pPr>
          </w:p>
        </w:tc>
        <w:tc>
          <w:tcPr>
            <w:tcW w:w="1281" w:type="dxa"/>
            <w:vAlign w:val="center"/>
          </w:tcPr>
          <w:p>
            <w:pPr>
              <w:pStyle w:val="10"/>
              <w:snapToGrid w:val="0"/>
              <w:ind w:firstLine="0"/>
              <w:jc w:val="center"/>
              <w:rPr>
                <w:color w:val="000000" w:themeColor="text1"/>
                <w:szCs w:val="21"/>
                <w:highlight w:val="none"/>
              </w:rPr>
            </w:pPr>
          </w:p>
        </w:tc>
        <w:tc>
          <w:tcPr>
            <w:tcW w:w="1287" w:type="dxa"/>
            <w:vAlign w:val="center"/>
          </w:tcPr>
          <w:p>
            <w:pPr>
              <w:pStyle w:val="10"/>
              <w:snapToGrid w:val="0"/>
              <w:ind w:firstLine="0"/>
              <w:jc w:val="center"/>
              <w:rPr>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14" w:type="dxa"/>
            <w:vAlign w:val="center"/>
          </w:tcPr>
          <w:p>
            <w:pPr>
              <w:pStyle w:val="10"/>
              <w:snapToGrid w:val="0"/>
              <w:ind w:firstLine="0"/>
              <w:jc w:val="center"/>
              <w:rPr>
                <w:color w:val="000000" w:themeColor="text1"/>
                <w:szCs w:val="21"/>
                <w:highlight w:val="none"/>
              </w:rPr>
            </w:pPr>
            <w:r>
              <w:rPr>
                <w:color w:val="000000" w:themeColor="text1"/>
                <w:szCs w:val="21"/>
                <w:highlight w:val="none"/>
              </w:rPr>
              <w:t>5</w:t>
            </w:r>
          </w:p>
        </w:tc>
        <w:tc>
          <w:tcPr>
            <w:tcW w:w="1842" w:type="dxa"/>
            <w:vAlign w:val="center"/>
          </w:tcPr>
          <w:p>
            <w:pPr>
              <w:pStyle w:val="10"/>
              <w:snapToGrid w:val="0"/>
              <w:ind w:firstLine="0"/>
              <w:jc w:val="center"/>
              <w:rPr>
                <w:color w:val="000000" w:themeColor="text1"/>
                <w:szCs w:val="21"/>
                <w:highlight w:val="none"/>
              </w:rPr>
            </w:pPr>
            <w:r>
              <w:rPr>
                <w:rFonts w:hint="eastAsia"/>
                <w:color w:val="000000" w:themeColor="text1"/>
                <w:szCs w:val="21"/>
                <w:highlight w:val="none"/>
              </w:rPr>
              <w:t>保险费</w:t>
            </w:r>
          </w:p>
        </w:tc>
        <w:tc>
          <w:tcPr>
            <w:tcW w:w="6412" w:type="dxa"/>
            <w:gridSpan w:val="6"/>
            <w:vAlign w:val="center"/>
          </w:tcPr>
          <w:p>
            <w:pPr>
              <w:pStyle w:val="10"/>
              <w:snapToGrid w:val="0"/>
              <w:ind w:firstLine="0"/>
              <w:jc w:val="center"/>
              <w:rPr>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14" w:type="dxa"/>
            <w:vAlign w:val="center"/>
          </w:tcPr>
          <w:p>
            <w:pPr>
              <w:pStyle w:val="10"/>
              <w:snapToGrid w:val="0"/>
              <w:ind w:firstLine="0"/>
              <w:jc w:val="center"/>
              <w:rPr>
                <w:color w:val="000000" w:themeColor="text1"/>
                <w:szCs w:val="21"/>
                <w:highlight w:val="none"/>
              </w:rPr>
            </w:pPr>
            <w:r>
              <w:rPr>
                <w:color w:val="000000" w:themeColor="text1"/>
                <w:szCs w:val="21"/>
                <w:highlight w:val="none"/>
              </w:rPr>
              <w:t>6</w:t>
            </w:r>
          </w:p>
        </w:tc>
        <w:tc>
          <w:tcPr>
            <w:tcW w:w="1842" w:type="dxa"/>
            <w:vAlign w:val="center"/>
          </w:tcPr>
          <w:p>
            <w:pPr>
              <w:pStyle w:val="10"/>
              <w:snapToGrid w:val="0"/>
              <w:ind w:firstLine="0"/>
              <w:jc w:val="center"/>
              <w:rPr>
                <w:color w:val="000000" w:themeColor="text1"/>
                <w:szCs w:val="21"/>
                <w:highlight w:val="none"/>
              </w:rPr>
            </w:pPr>
            <w:r>
              <w:rPr>
                <w:rFonts w:hint="eastAsia"/>
                <w:color w:val="000000" w:themeColor="text1"/>
                <w:szCs w:val="21"/>
                <w:highlight w:val="none"/>
              </w:rPr>
              <w:t>税金</w:t>
            </w:r>
          </w:p>
        </w:tc>
        <w:tc>
          <w:tcPr>
            <w:tcW w:w="6412" w:type="dxa"/>
            <w:gridSpan w:val="6"/>
            <w:vAlign w:val="center"/>
          </w:tcPr>
          <w:p>
            <w:pPr>
              <w:pStyle w:val="10"/>
              <w:snapToGrid w:val="0"/>
              <w:ind w:firstLine="0"/>
              <w:jc w:val="center"/>
              <w:rPr>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14" w:type="dxa"/>
            <w:vAlign w:val="center"/>
          </w:tcPr>
          <w:p>
            <w:pPr>
              <w:pStyle w:val="10"/>
              <w:snapToGrid w:val="0"/>
              <w:ind w:firstLine="0"/>
              <w:jc w:val="center"/>
              <w:rPr>
                <w:color w:val="000000" w:themeColor="text1"/>
                <w:szCs w:val="21"/>
                <w:highlight w:val="none"/>
              </w:rPr>
            </w:pPr>
            <w:r>
              <w:rPr>
                <w:rFonts w:hint="eastAsia"/>
                <w:color w:val="000000" w:themeColor="text1"/>
                <w:szCs w:val="21"/>
                <w:highlight w:val="none"/>
              </w:rPr>
              <w:t>7</w:t>
            </w:r>
          </w:p>
        </w:tc>
        <w:tc>
          <w:tcPr>
            <w:tcW w:w="1842" w:type="dxa"/>
            <w:vAlign w:val="center"/>
          </w:tcPr>
          <w:p>
            <w:pPr>
              <w:pStyle w:val="10"/>
              <w:snapToGrid w:val="0"/>
              <w:ind w:firstLine="0"/>
              <w:jc w:val="center"/>
              <w:rPr>
                <w:color w:val="000000" w:themeColor="text1"/>
                <w:szCs w:val="21"/>
                <w:highlight w:val="none"/>
              </w:rPr>
            </w:pPr>
            <w:r>
              <w:rPr>
                <w:rFonts w:hint="eastAsia"/>
                <w:color w:val="000000" w:themeColor="text1"/>
                <w:szCs w:val="21"/>
                <w:highlight w:val="none"/>
              </w:rPr>
              <w:t>技术服务费</w:t>
            </w:r>
          </w:p>
        </w:tc>
        <w:tc>
          <w:tcPr>
            <w:tcW w:w="6412" w:type="dxa"/>
            <w:gridSpan w:val="6"/>
            <w:vAlign w:val="center"/>
          </w:tcPr>
          <w:p>
            <w:pPr>
              <w:pStyle w:val="10"/>
              <w:snapToGrid w:val="0"/>
              <w:ind w:firstLine="0"/>
              <w:jc w:val="center"/>
              <w:rPr>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14" w:type="dxa"/>
            <w:vAlign w:val="center"/>
          </w:tcPr>
          <w:p>
            <w:pPr>
              <w:pStyle w:val="10"/>
              <w:snapToGrid w:val="0"/>
              <w:ind w:firstLine="0"/>
              <w:jc w:val="center"/>
              <w:rPr>
                <w:color w:val="000000" w:themeColor="text1"/>
                <w:szCs w:val="21"/>
                <w:highlight w:val="none"/>
              </w:rPr>
            </w:pPr>
            <w:r>
              <w:rPr>
                <w:rFonts w:hint="eastAsia"/>
                <w:color w:val="000000" w:themeColor="text1"/>
                <w:szCs w:val="21"/>
                <w:highlight w:val="none"/>
              </w:rPr>
              <w:t>8</w:t>
            </w:r>
          </w:p>
        </w:tc>
        <w:tc>
          <w:tcPr>
            <w:tcW w:w="1842" w:type="dxa"/>
            <w:vAlign w:val="center"/>
          </w:tcPr>
          <w:p>
            <w:pPr>
              <w:pStyle w:val="10"/>
              <w:snapToGrid w:val="0"/>
              <w:ind w:firstLine="0"/>
              <w:jc w:val="center"/>
              <w:rPr>
                <w:color w:val="000000" w:themeColor="text1"/>
                <w:szCs w:val="21"/>
                <w:highlight w:val="none"/>
              </w:rPr>
            </w:pPr>
            <w:r>
              <w:rPr>
                <w:rFonts w:hint="eastAsia"/>
                <w:color w:val="000000" w:themeColor="text1"/>
                <w:szCs w:val="21"/>
                <w:highlight w:val="none"/>
              </w:rPr>
              <w:t>培训费</w:t>
            </w:r>
          </w:p>
        </w:tc>
        <w:tc>
          <w:tcPr>
            <w:tcW w:w="6412" w:type="dxa"/>
            <w:gridSpan w:val="6"/>
            <w:vAlign w:val="center"/>
          </w:tcPr>
          <w:p>
            <w:pPr>
              <w:pStyle w:val="10"/>
              <w:snapToGrid w:val="0"/>
              <w:ind w:firstLine="0"/>
              <w:jc w:val="center"/>
              <w:rPr>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14" w:type="dxa"/>
            <w:vAlign w:val="center"/>
          </w:tcPr>
          <w:p>
            <w:pPr>
              <w:pStyle w:val="10"/>
              <w:snapToGrid w:val="0"/>
              <w:ind w:firstLine="0"/>
              <w:jc w:val="center"/>
              <w:rPr>
                <w:color w:val="000000" w:themeColor="text1"/>
                <w:szCs w:val="21"/>
                <w:highlight w:val="none"/>
              </w:rPr>
            </w:pPr>
            <w:r>
              <w:rPr>
                <w:rFonts w:hint="eastAsia"/>
                <w:color w:val="000000" w:themeColor="text1"/>
                <w:szCs w:val="21"/>
                <w:highlight w:val="none"/>
              </w:rPr>
              <w:t>9</w:t>
            </w:r>
          </w:p>
        </w:tc>
        <w:tc>
          <w:tcPr>
            <w:tcW w:w="1842" w:type="dxa"/>
            <w:vAlign w:val="center"/>
          </w:tcPr>
          <w:p>
            <w:pPr>
              <w:pStyle w:val="10"/>
              <w:snapToGrid w:val="0"/>
              <w:ind w:firstLine="0"/>
              <w:jc w:val="center"/>
              <w:rPr>
                <w:color w:val="000000" w:themeColor="text1"/>
                <w:szCs w:val="21"/>
                <w:highlight w:val="none"/>
              </w:rPr>
            </w:pPr>
            <w:r>
              <w:rPr>
                <w:rFonts w:hint="eastAsia"/>
                <w:color w:val="000000" w:themeColor="text1"/>
                <w:szCs w:val="21"/>
                <w:highlight w:val="none"/>
              </w:rPr>
              <w:t>质量保证期内的服务费用</w:t>
            </w:r>
          </w:p>
        </w:tc>
        <w:tc>
          <w:tcPr>
            <w:tcW w:w="6412" w:type="dxa"/>
            <w:gridSpan w:val="6"/>
            <w:vAlign w:val="center"/>
          </w:tcPr>
          <w:p>
            <w:pPr>
              <w:pStyle w:val="10"/>
              <w:snapToGrid w:val="0"/>
              <w:ind w:firstLine="0"/>
              <w:jc w:val="center"/>
              <w:rPr>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714" w:type="dxa"/>
            <w:vAlign w:val="center"/>
          </w:tcPr>
          <w:p>
            <w:pPr>
              <w:pStyle w:val="10"/>
              <w:snapToGrid w:val="0"/>
              <w:ind w:firstLine="0"/>
              <w:jc w:val="center"/>
              <w:rPr>
                <w:color w:val="000000" w:themeColor="text1"/>
                <w:szCs w:val="21"/>
                <w:highlight w:val="none"/>
              </w:rPr>
            </w:pPr>
            <w:r>
              <w:rPr>
                <w:rFonts w:hint="eastAsia"/>
                <w:color w:val="000000" w:themeColor="text1"/>
                <w:szCs w:val="21"/>
                <w:highlight w:val="none"/>
              </w:rPr>
              <w:t>10</w:t>
            </w:r>
          </w:p>
        </w:tc>
        <w:tc>
          <w:tcPr>
            <w:tcW w:w="1842" w:type="dxa"/>
            <w:vAlign w:val="center"/>
          </w:tcPr>
          <w:p>
            <w:pPr>
              <w:pStyle w:val="10"/>
              <w:snapToGrid w:val="0"/>
              <w:ind w:firstLine="0"/>
              <w:jc w:val="center"/>
              <w:rPr>
                <w:color w:val="000000" w:themeColor="text1"/>
                <w:szCs w:val="21"/>
                <w:highlight w:val="none"/>
              </w:rPr>
            </w:pPr>
            <w:r>
              <w:rPr>
                <w:rFonts w:hint="eastAsia"/>
                <w:color w:val="000000" w:themeColor="text1"/>
                <w:szCs w:val="21"/>
                <w:highlight w:val="none"/>
              </w:rPr>
              <w:t>其他费用</w:t>
            </w:r>
          </w:p>
          <w:p>
            <w:pPr>
              <w:pStyle w:val="10"/>
              <w:snapToGrid w:val="0"/>
              <w:ind w:firstLine="0"/>
              <w:jc w:val="center"/>
              <w:rPr>
                <w:color w:val="000000" w:themeColor="text1"/>
                <w:szCs w:val="21"/>
                <w:highlight w:val="none"/>
              </w:rPr>
            </w:pPr>
            <w:r>
              <w:rPr>
                <w:rFonts w:hint="eastAsia"/>
                <w:color w:val="000000" w:themeColor="text1"/>
                <w:szCs w:val="21"/>
                <w:highlight w:val="none"/>
              </w:rPr>
              <w:t>（该表中无体现的费用但本项目有产生的其他费用）</w:t>
            </w:r>
          </w:p>
        </w:tc>
        <w:tc>
          <w:tcPr>
            <w:tcW w:w="6412" w:type="dxa"/>
            <w:gridSpan w:val="6"/>
            <w:vAlign w:val="center"/>
          </w:tcPr>
          <w:p>
            <w:pPr>
              <w:pStyle w:val="10"/>
              <w:snapToGrid w:val="0"/>
              <w:ind w:firstLine="0"/>
              <w:jc w:val="center"/>
              <w:rPr>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14" w:type="dxa"/>
            <w:vAlign w:val="center"/>
          </w:tcPr>
          <w:p>
            <w:pPr>
              <w:pStyle w:val="10"/>
              <w:snapToGrid w:val="0"/>
              <w:ind w:firstLine="0"/>
              <w:jc w:val="center"/>
              <w:rPr>
                <w:color w:val="000000" w:themeColor="text1"/>
                <w:szCs w:val="21"/>
                <w:highlight w:val="none"/>
              </w:rPr>
            </w:pPr>
            <w:r>
              <w:rPr>
                <w:rFonts w:hint="eastAsia"/>
                <w:color w:val="000000" w:themeColor="text1"/>
                <w:szCs w:val="21"/>
                <w:highlight w:val="none"/>
              </w:rPr>
              <w:t>11</w:t>
            </w:r>
          </w:p>
        </w:tc>
        <w:tc>
          <w:tcPr>
            <w:tcW w:w="1842" w:type="dxa"/>
            <w:vAlign w:val="center"/>
          </w:tcPr>
          <w:p>
            <w:pPr>
              <w:pStyle w:val="10"/>
              <w:snapToGrid w:val="0"/>
              <w:ind w:firstLine="0"/>
              <w:jc w:val="center"/>
              <w:rPr>
                <w:bCs/>
                <w:color w:val="000000" w:themeColor="text1"/>
                <w:szCs w:val="21"/>
                <w:highlight w:val="none"/>
              </w:rPr>
            </w:pPr>
            <w:r>
              <w:rPr>
                <w:rFonts w:hint="eastAsia"/>
                <w:bCs/>
                <w:color w:val="000000" w:themeColor="text1"/>
                <w:szCs w:val="21"/>
                <w:highlight w:val="none"/>
              </w:rPr>
              <w:t>报价总价</w:t>
            </w:r>
          </w:p>
        </w:tc>
        <w:tc>
          <w:tcPr>
            <w:tcW w:w="3208" w:type="dxa"/>
            <w:gridSpan w:val="3"/>
            <w:vAlign w:val="center"/>
          </w:tcPr>
          <w:p>
            <w:pPr>
              <w:pStyle w:val="10"/>
              <w:snapToGrid w:val="0"/>
              <w:ind w:firstLine="0"/>
              <w:rPr>
                <w:bCs/>
                <w:color w:val="000000" w:themeColor="text1"/>
                <w:szCs w:val="21"/>
                <w:highlight w:val="none"/>
              </w:rPr>
            </w:pPr>
            <w:r>
              <w:rPr>
                <w:rFonts w:hint="eastAsia"/>
                <w:bCs/>
                <w:color w:val="000000" w:themeColor="text1"/>
                <w:szCs w:val="21"/>
                <w:highlight w:val="none"/>
              </w:rPr>
              <w:t>（大写）人民币</w:t>
            </w:r>
          </w:p>
        </w:tc>
        <w:tc>
          <w:tcPr>
            <w:tcW w:w="3204" w:type="dxa"/>
            <w:gridSpan w:val="3"/>
            <w:vAlign w:val="center"/>
          </w:tcPr>
          <w:p>
            <w:pPr>
              <w:pStyle w:val="10"/>
              <w:snapToGrid w:val="0"/>
              <w:ind w:firstLine="0"/>
              <w:rPr>
                <w:bCs/>
                <w:color w:val="000000" w:themeColor="text1"/>
                <w:szCs w:val="21"/>
                <w:highlight w:val="none"/>
              </w:rPr>
            </w:pPr>
            <w:r>
              <w:rPr>
                <w:rFonts w:hint="eastAsia"/>
                <w:bCs/>
                <w:color w:val="000000" w:themeColor="text1"/>
                <w:szCs w:val="2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14" w:type="dxa"/>
            <w:vAlign w:val="center"/>
          </w:tcPr>
          <w:p>
            <w:pPr>
              <w:pStyle w:val="10"/>
              <w:snapToGrid w:val="0"/>
              <w:ind w:firstLine="0"/>
              <w:jc w:val="center"/>
              <w:rPr>
                <w:color w:val="000000" w:themeColor="text1"/>
                <w:szCs w:val="21"/>
                <w:highlight w:val="none"/>
              </w:rPr>
            </w:pPr>
            <w:r>
              <w:rPr>
                <w:rFonts w:hint="eastAsia"/>
                <w:color w:val="000000" w:themeColor="text1"/>
                <w:szCs w:val="21"/>
                <w:highlight w:val="none"/>
              </w:rPr>
              <w:t>12</w:t>
            </w:r>
          </w:p>
        </w:tc>
        <w:tc>
          <w:tcPr>
            <w:tcW w:w="1842" w:type="dxa"/>
            <w:vAlign w:val="center"/>
          </w:tcPr>
          <w:p>
            <w:pPr>
              <w:pStyle w:val="10"/>
              <w:snapToGrid w:val="0"/>
              <w:ind w:firstLine="0"/>
              <w:jc w:val="center"/>
              <w:rPr>
                <w:bCs/>
                <w:color w:val="000000" w:themeColor="text1"/>
                <w:szCs w:val="21"/>
                <w:highlight w:val="none"/>
              </w:rPr>
            </w:pPr>
            <w:r>
              <w:rPr>
                <w:rFonts w:hint="eastAsia"/>
                <w:bCs/>
                <w:color w:val="000000" w:themeColor="text1"/>
                <w:szCs w:val="21"/>
                <w:highlight w:val="none"/>
              </w:rPr>
              <w:t>备注</w:t>
            </w:r>
          </w:p>
        </w:tc>
        <w:tc>
          <w:tcPr>
            <w:tcW w:w="6412" w:type="dxa"/>
            <w:gridSpan w:val="6"/>
            <w:vAlign w:val="center"/>
          </w:tcPr>
          <w:p>
            <w:pPr>
              <w:pStyle w:val="10"/>
              <w:snapToGrid w:val="0"/>
              <w:ind w:firstLine="0"/>
              <w:jc w:val="center"/>
              <w:rPr>
                <w:bCs/>
                <w:color w:val="000000" w:themeColor="text1"/>
                <w:szCs w:val="21"/>
                <w:highlight w:val="none"/>
              </w:rPr>
            </w:pPr>
          </w:p>
        </w:tc>
      </w:tr>
    </w:tbl>
    <w:p>
      <w:pPr>
        <w:spacing w:line="360" w:lineRule="auto"/>
        <w:rPr>
          <w:color w:val="000000" w:themeColor="text1"/>
          <w:highlight w:val="none"/>
        </w:rPr>
      </w:pPr>
    </w:p>
    <w:p>
      <w:pPr>
        <w:spacing w:line="460" w:lineRule="exact"/>
        <w:rPr>
          <w:rFonts w:ascii="宋体" w:hAnsi="宋体"/>
          <w:color w:val="000000" w:themeColor="text1"/>
          <w:highlight w:val="none"/>
        </w:rPr>
      </w:pPr>
      <w:r>
        <w:rPr>
          <w:rFonts w:hint="eastAsia" w:ascii="宋体" w:hAnsi="宋体"/>
          <w:color w:val="000000" w:themeColor="text1"/>
          <w:highlight w:val="none"/>
        </w:rPr>
        <w:t>注：1、如本表格式内容不能满足需要，供应商可自行划表填写，但必须体现以上内容。</w:t>
      </w:r>
    </w:p>
    <w:p>
      <w:pPr>
        <w:adjustRightInd w:val="0"/>
        <w:snapToGrid w:val="0"/>
        <w:spacing w:line="400" w:lineRule="exact"/>
        <w:rPr>
          <w:rFonts w:ascii="宋体" w:hAnsi="宋体"/>
          <w:bCs/>
          <w:color w:val="000000" w:themeColor="text1"/>
          <w:szCs w:val="21"/>
          <w:highlight w:val="none"/>
        </w:rPr>
      </w:pPr>
    </w:p>
    <w:p>
      <w:pPr>
        <w:adjustRightInd w:val="0"/>
        <w:snapToGrid w:val="0"/>
        <w:spacing w:line="400" w:lineRule="exact"/>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供应商法定代表人或授权代理人（签字）：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pPr>
        <w:adjustRightInd w:val="0"/>
        <w:snapToGrid w:val="0"/>
        <w:spacing w:line="400" w:lineRule="exact"/>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rPr>
          <w:color w:val="000000" w:themeColor="text1"/>
          <w:sz w:val="28"/>
          <w:szCs w:val="28"/>
          <w:highlight w:val="none"/>
        </w:rPr>
      </w:pPr>
      <w:bookmarkStart w:id="208" w:name="_Toc200414528"/>
      <w:r>
        <w:rPr>
          <w:rFonts w:hint="eastAsia"/>
          <w:color w:val="000000" w:themeColor="text1"/>
          <w:sz w:val="28"/>
          <w:szCs w:val="28"/>
          <w:highlight w:val="none"/>
        </w:rPr>
        <w:br w:type="page"/>
      </w:r>
    </w:p>
    <w:p>
      <w:pPr>
        <w:pStyle w:val="5"/>
        <w:numPr>
          <w:ilvl w:val="0"/>
          <w:numId w:val="0"/>
        </w:numPr>
        <w:jc w:val="center"/>
        <w:rPr>
          <w:color w:val="000000" w:themeColor="text1"/>
          <w:sz w:val="28"/>
          <w:szCs w:val="28"/>
          <w:highlight w:val="none"/>
        </w:rPr>
      </w:pPr>
      <w:bookmarkStart w:id="209" w:name="_Toc991"/>
      <w:r>
        <w:rPr>
          <w:rFonts w:hint="eastAsia"/>
          <w:color w:val="000000" w:themeColor="text1"/>
          <w:sz w:val="28"/>
          <w:szCs w:val="28"/>
          <w:highlight w:val="none"/>
        </w:rPr>
        <w:t>附件五：商务条款偏离一览表</w:t>
      </w:r>
      <w:bookmarkEnd w:id="208"/>
      <w:bookmarkEnd w:id="209"/>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YXCG-20220303</w:t>
      </w:r>
      <w:r>
        <w:rPr>
          <w:rFonts w:hint="eastAsia" w:ascii="宋体" w:hAnsi="宋体"/>
          <w:b/>
          <w:bCs/>
          <w:caps/>
          <w:color w:val="000000" w:themeColor="text1"/>
          <w:szCs w:val="21"/>
          <w:highlight w:val="none"/>
          <w:u w:val="single"/>
        </w:rPr>
        <w:t xml:space="preserve"> </w:t>
      </w:r>
    </w:p>
    <w:p>
      <w:pPr>
        <w:adjustRightInd w:val="0"/>
        <w:snapToGrid w:val="0"/>
        <w:spacing w:line="360" w:lineRule="auto"/>
        <w:jc w:val="left"/>
        <w:rPr>
          <w:rFonts w:hint="eastAsia" w:ascii="宋体" w:hAnsi="宋体" w:eastAsia="宋体"/>
          <w:color w:val="000000" w:themeColor="text1"/>
          <w:spacing w:val="10"/>
          <w:szCs w:val="21"/>
          <w:highlight w:val="none"/>
          <w:u w:val="single"/>
          <w:lang w:eastAsia="zh-CN"/>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中共阳西县委组织部干部人事档案管理信息系统建设及档案整理数字化项目</w:t>
      </w:r>
    </w:p>
    <w:tbl>
      <w:tblPr>
        <w:tblStyle w:val="45"/>
        <w:tblpPr w:leftFromText="180" w:rightFromText="180" w:vertAnchor="text" w:tblpY="1"/>
        <w:tblOverlap w:val="never"/>
        <w:tblW w:w="9271" w:type="dxa"/>
        <w:tblInd w:w="0" w:type="dxa"/>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r>
              <w:rPr>
                <w:rFonts w:hint="eastAsia" w:ascii="宋体" w:hAnsi="宋体"/>
                <w:bCs/>
                <w:color w:val="000000" w:themeColor="text1"/>
                <w:szCs w:val="2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r>
              <w:rPr>
                <w:rFonts w:hint="eastAsia" w:ascii="宋体" w:hAnsi="宋体"/>
                <w:bCs/>
                <w:color w:val="000000" w:themeColor="text1"/>
                <w:szCs w:val="21"/>
                <w:highlight w:val="none"/>
              </w:rPr>
              <w:t>谈判文件条目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r>
              <w:rPr>
                <w:rFonts w:hAnsi="宋体"/>
                <w:color w:val="000000" w:themeColor="text1"/>
                <w:szCs w:val="21"/>
                <w:highlight w:val="none"/>
              </w:rPr>
              <w:t>谈判文件规格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r>
              <w:rPr>
                <w:rFonts w:hint="eastAsia" w:ascii="宋体" w:hAnsi="宋体"/>
                <w:bCs/>
                <w:color w:val="000000" w:themeColor="text1"/>
                <w:szCs w:val="21"/>
                <w:highlight w:val="none"/>
              </w:rPr>
              <w:t>谈判响应文件规格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r>
              <w:rPr>
                <w:rFonts w:hint="eastAsia" w:ascii="宋体" w:hAnsi="宋体"/>
                <w:bCs/>
                <w:color w:val="000000" w:themeColor="text1"/>
                <w:szCs w:val="21"/>
                <w:highlight w:val="none"/>
              </w:rPr>
              <w:t>偏离</w:t>
            </w:r>
          </w:p>
          <w:p>
            <w:pPr>
              <w:adjustRightInd w:val="0"/>
              <w:snapToGrid w:val="0"/>
              <w:jc w:val="center"/>
              <w:rPr>
                <w:rFonts w:ascii="宋体" w:hAnsi="宋体"/>
                <w:bCs/>
                <w:color w:val="000000" w:themeColor="text1"/>
                <w:szCs w:val="21"/>
                <w:highlight w:val="none"/>
              </w:rPr>
            </w:pPr>
            <w:r>
              <w:rPr>
                <w:rFonts w:hint="eastAsia" w:ascii="宋体" w:hAnsi="宋体"/>
                <w:bCs/>
                <w:color w:val="000000" w:themeColor="text1"/>
                <w:szCs w:val="2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r>
              <w:rPr>
                <w:rFonts w:hint="eastAsia" w:ascii="宋体" w:hAnsi="宋体"/>
                <w:bCs/>
                <w:color w:val="000000" w:themeColor="text1"/>
                <w:szCs w:val="21"/>
                <w:highlight w:val="none"/>
              </w:rPr>
              <w:t>说明</w:t>
            </w: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bl>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说明：1）对“偏离”一栏，填写“无偏离、负偏离、正偏离”；</w:t>
      </w:r>
    </w:p>
    <w:p>
      <w:pPr>
        <w:adjustRightInd w:val="0"/>
        <w:snapToGrid w:val="0"/>
        <w:spacing w:line="360" w:lineRule="auto"/>
        <w:ind w:firstLine="630" w:firstLineChars="300"/>
        <w:rPr>
          <w:rFonts w:ascii="宋体" w:hAnsi="宋体"/>
          <w:b/>
          <w:bCs/>
          <w:color w:val="000000" w:themeColor="text1"/>
          <w:szCs w:val="21"/>
          <w:highlight w:val="none"/>
        </w:rPr>
      </w:pPr>
      <w:r>
        <w:rPr>
          <w:rFonts w:hint="eastAsia" w:ascii="宋体" w:hAnsi="宋体"/>
          <w:bCs/>
          <w:color w:val="000000" w:themeColor="text1"/>
          <w:szCs w:val="21"/>
          <w:highlight w:val="none"/>
        </w:rPr>
        <w:t>2）对谈判文件中商务条款按上列格式逐条说明。</w:t>
      </w:r>
    </w:p>
    <w:p>
      <w:pPr>
        <w:adjustRightInd w:val="0"/>
        <w:snapToGrid w:val="0"/>
        <w:spacing w:line="360" w:lineRule="auto"/>
        <w:rPr>
          <w:rFonts w:ascii="宋体" w:hAnsi="宋体"/>
          <w:bCs/>
          <w:color w:val="000000" w:themeColor="text1"/>
          <w:szCs w:val="21"/>
          <w:highlight w:val="none"/>
        </w:rPr>
      </w:pPr>
      <w:r>
        <w:rPr>
          <w:rFonts w:hint="eastAsia" w:ascii="宋体" w:hAnsi="宋体"/>
          <w:b/>
          <w:bCs/>
          <w:color w:val="000000" w:themeColor="text1"/>
          <w:szCs w:val="21"/>
          <w:highlight w:val="none"/>
        </w:rPr>
        <w:t>供应商声明：表中未列全的商务条款，我方均表示完全响应谈判文件商务条款的所有要求。</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供应商法定代表人或授权代理人（签字）：</w:t>
      </w:r>
      <w:r>
        <w:rPr>
          <w:rFonts w:hint="eastAsia" w:ascii="宋体" w:hAnsi="宋体"/>
          <w:bCs/>
          <w:color w:val="000000" w:themeColor="text1"/>
          <w:szCs w:val="21"/>
          <w:highlight w:val="none"/>
          <w:u w:val="single"/>
        </w:rPr>
        <w:t xml:space="preserve">                            </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adjustRightInd w:val="0"/>
        <w:snapToGrid w:val="0"/>
        <w:spacing w:line="360" w:lineRule="auto"/>
        <w:rPr>
          <w:rFonts w:ascii="宋体" w:hAnsi="宋体"/>
          <w:bCs/>
          <w:color w:val="000000" w:themeColor="text1"/>
          <w:szCs w:val="21"/>
          <w:highlight w:val="none"/>
          <w:u w:val="single"/>
        </w:rPr>
      </w:pPr>
      <w:r>
        <w:rPr>
          <w:rFonts w:hint="eastAsia"/>
          <w:color w:val="000000" w:themeColor="text1"/>
          <w:highlight w:val="none"/>
        </w:rPr>
        <w:t>日期：</w:t>
      </w:r>
      <w:r>
        <w:rPr>
          <w:color w:val="000000" w:themeColor="text1"/>
          <w:highlight w:val="none"/>
          <w:u w:val="single"/>
        </w:rPr>
        <w:t xml:space="preserve">    </w:t>
      </w:r>
      <w:r>
        <w:rPr>
          <w:rFonts w:hint="eastAsia"/>
          <w:color w:val="000000" w:themeColor="text1"/>
          <w:highlight w:val="none"/>
          <w:u w:val="single"/>
        </w:rPr>
        <w:t xml:space="preserve">  </w:t>
      </w:r>
      <w:r>
        <w:rPr>
          <w:color w:val="000000" w:themeColor="text1"/>
          <w:highlight w:val="none"/>
          <w:u w:val="single"/>
        </w:rPr>
        <w:t xml:space="preserve"> </w:t>
      </w:r>
      <w:r>
        <w:rPr>
          <w:color w:val="000000" w:themeColor="text1"/>
          <w:highlight w:val="none"/>
        </w:rPr>
        <w:t xml:space="preserve"> </w:t>
      </w:r>
      <w:r>
        <w:rPr>
          <w:rFonts w:hint="eastAsia"/>
          <w:color w:val="000000" w:themeColor="text1"/>
          <w:highlight w:val="none"/>
        </w:rPr>
        <w:t>年</w:t>
      </w:r>
      <w:r>
        <w:rPr>
          <w:color w:val="000000" w:themeColor="text1"/>
          <w:highlight w:val="none"/>
          <w:u w:val="single"/>
        </w:rPr>
        <w:t xml:space="preserve">     </w:t>
      </w:r>
      <w:r>
        <w:rPr>
          <w:rFonts w:hint="eastAsia"/>
          <w:color w:val="000000" w:themeColor="text1"/>
          <w:highlight w:val="none"/>
        </w:rPr>
        <w:t>月</w:t>
      </w:r>
      <w:r>
        <w:rPr>
          <w:color w:val="000000" w:themeColor="text1"/>
          <w:highlight w:val="none"/>
        </w:rPr>
        <w:t xml:space="preserve"> </w:t>
      </w:r>
      <w:r>
        <w:rPr>
          <w:color w:val="000000" w:themeColor="text1"/>
          <w:highlight w:val="none"/>
          <w:u w:val="single"/>
        </w:rPr>
        <w:t xml:space="preserve">    </w:t>
      </w:r>
      <w:r>
        <w:rPr>
          <w:rFonts w:hint="eastAsia"/>
          <w:color w:val="000000" w:themeColor="text1"/>
          <w:highlight w:val="none"/>
        </w:rPr>
        <w:t>日</w:t>
      </w:r>
    </w:p>
    <w:p>
      <w:pPr>
        <w:pStyle w:val="5"/>
        <w:numPr>
          <w:ilvl w:val="0"/>
          <w:numId w:val="0"/>
        </w:numPr>
        <w:jc w:val="center"/>
        <w:rPr>
          <w:color w:val="000000" w:themeColor="text1"/>
          <w:sz w:val="28"/>
          <w:szCs w:val="28"/>
          <w:highlight w:val="none"/>
        </w:rPr>
      </w:pPr>
      <w:bookmarkStart w:id="210" w:name="_Toc200414529"/>
      <w:bookmarkStart w:id="211" w:name="_Toc7746"/>
      <w:r>
        <w:rPr>
          <w:rFonts w:hint="eastAsia"/>
          <w:color w:val="000000" w:themeColor="text1"/>
          <w:sz w:val="28"/>
          <w:szCs w:val="28"/>
          <w:highlight w:val="none"/>
        </w:rPr>
        <w:t>附件六：技术条款偏离一览表</w:t>
      </w:r>
      <w:bookmarkEnd w:id="210"/>
      <w:bookmarkEnd w:id="211"/>
    </w:p>
    <w:p>
      <w:pPr>
        <w:adjustRightInd w:val="0"/>
        <w:snapToGrid w:val="0"/>
        <w:spacing w:line="480" w:lineRule="exact"/>
        <w:rPr>
          <w:rFonts w:ascii="宋体" w:hAnsi="宋体"/>
          <w:color w:val="000000" w:themeColor="text1"/>
          <w:szCs w:val="21"/>
          <w:highlight w:val="none"/>
          <w:u w:val="single"/>
        </w:rPr>
      </w:pPr>
      <w:r>
        <w:rPr>
          <w:rFonts w:hint="eastAsia" w:ascii="宋体" w:hAnsi="宋体"/>
          <w:color w:val="000000" w:themeColor="text1"/>
          <w:szCs w:val="21"/>
          <w:highlight w:val="none"/>
        </w:rPr>
        <w:t>项目编号：</w:t>
      </w:r>
      <w:r>
        <w:rPr>
          <w:rFonts w:hint="eastAsia" w:ascii="宋体" w:hAnsi="宋体"/>
          <w:b/>
          <w:bCs/>
          <w:color w:val="000000" w:themeColor="text1"/>
          <w:szCs w:val="21"/>
          <w:highlight w:val="none"/>
          <w:u w:val="single"/>
          <w:lang w:eastAsia="zh-CN"/>
        </w:rPr>
        <w:t>YXCG-20220303</w:t>
      </w:r>
      <w:r>
        <w:rPr>
          <w:rFonts w:hint="eastAsia" w:ascii="宋体" w:hAnsi="宋体"/>
          <w:color w:val="000000" w:themeColor="text1"/>
          <w:szCs w:val="21"/>
          <w:highlight w:val="none"/>
          <w:u w:val="single"/>
        </w:rPr>
        <w:t xml:space="preserve"> </w:t>
      </w:r>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中共阳西县委组织部干部人事档案管理信息系统建设及档案整理数字化项目</w:t>
      </w:r>
      <w:r>
        <w:rPr>
          <w:rFonts w:hint="eastAsia" w:ascii="宋体" w:hAnsi="宋体"/>
          <w:b/>
          <w:bCs/>
          <w:color w:val="000000" w:themeColor="text1"/>
          <w:szCs w:val="21"/>
          <w:highlight w:val="none"/>
          <w:u w:val="single"/>
        </w:rPr>
        <w:t xml:space="preserve"> </w:t>
      </w:r>
    </w:p>
    <w:tbl>
      <w:tblPr>
        <w:tblStyle w:val="45"/>
        <w:tblpPr w:leftFromText="180" w:rightFromText="180" w:vertAnchor="text" w:tblpY="1"/>
        <w:tblOverlap w:val="never"/>
        <w:tblW w:w="9271" w:type="dxa"/>
        <w:tblInd w:w="0" w:type="dxa"/>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r>
              <w:rPr>
                <w:rFonts w:hint="eastAsia" w:ascii="宋体" w:hAnsi="宋体"/>
                <w:bCs/>
                <w:color w:val="000000" w:themeColor="text1"/>
                <w:szCs w:val="21"/>
                <w:highlight w:val="none"/>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r>
              <w:rPr>
                <w:rFonts w:hint="eastAsia" w:ascii="宋体" w:hAnsi="宋体"/>
                <w:bCs/>
                <w:color w:val="000000" w:themeColor="text1"/>
                <w:szCs w:val="21"/>
                <w:highlight w:val="none"/>
              </w:rPr>
              <w:t>谈判文件条目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r>
              <w:rPr>
                <w:rFonts w:hAnsi="宋体"/>
                <w:color w:val="000000" w:themeColor="text1"/>
                <w:szCs w:val="21"/>
                <w:highlight w:val="none"/>
              </w:rPr>
              <w:t>谈判文件规格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r>
              <w:rPr>
                <w:rFonts w:hint="eastAsia" w:ascii="宋体" w:hAnsi="宋体"/>
                <w:bCs/>
                <w:color w:val="000000" w:themeColor="text1"/>
                <w:szCs w:val="2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r>
              <w:rPr>
                <w:rFonts w:hint="eastAsia" w:ascii="宋体" w:hAnsi="宋体"/>
                <w:bCs/>
                <w:color w:val="000000" w:themeColor="text1"/>
                <w:szCs w:val="21"/>
                <w:highlight w:val="none"/>
              </w:rPr>
              <w:t>偏离</w:t>
            </w:r>
          </w:p>
          <w:p>
            <w:pPr>
              <w:adjustRightInd w:val="0"/>
              <w:snapToGrid w:val="0"/>
              <w:jc w:val="center"/>
              <w:rPr>
                <w:rFonts w:ascii="宋体" w:hAnsi="宋体"/>
                <w:bCs/>
                <w:color w:val="000000" w:themeColor="text1"/>
                <w:szCs w:val="21"/>
                <w:highlight w:val="none"/>
              </w:rPr>
            </w:pPr>
            <w:r>
              <w:rPr>
                <w:rFonts w:hint="eastAsia" w:ascii="宋体" w:hAnsi="宋体"/>
                <w:bCs/>
                <w:color w:val="000000" w:themeColor="text1"/>
                <w:szCs w:val="2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r>
              <w:rPr>
                <w:rFonts w:hint="eastAsia" w:ascii="宋体" w:hAnsi="宋体"/>
                <w:bCs/>
                <w:color w:val="000000" w:themeColor="text1"/>
                <w:szCs w:val="21"/>
                <w:highlight w:val="none"/>
              </w:rPr>
              <w:t>说明</w:t>
            </w: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highlight w:val="none"/>
              </w:rPr>
            </w:pPr>
          </w:p>
        </w:tc>
      </w:tr>
    </w:tbl>
    <w:p>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Cs/>
          <w:color w:val="000000" w:themeColor="text1"/>
          <w:szCs w:val="21"/>
          <w:highlight w:val="none"/>
        </w:rPr>
        <w:t>说明：1）对“偏离”一栏，填写“无偏离、负偏离、正偏离”；</w:t>
      </w:r>
    </w:p>
    <w:p>
      <w:pPr>
        <w:adjustRightInd w:val="0"/>
        <w:snapToGrid w:val="0"/>
        <w:spacing w:line="360" w:lineRule="auto"/>
        <w:ind w:left="-271" w:leftChars="-129" w:right="-384" w:rightChars="-183" w:firstLine="630" w:firstLineChars="300"/>
        <w:rPr>
          <w:rFonts w:ascii="宋体" w:hAnsi="宋体"/>
          <w:b/>
          <w:bCs/>
          <w:color w:val="000000" w:themeColor="text1"/>
          <w:szCs w:val="21"/>
          <w:highlight w:val="none"/>
        </w:rPr>
      </w:pPr>
      <w:r>
        <w:rPr>
          <w:rFonts w:hint="eastAsia" w:ascii="宋体" w:hAnsi="宋体"/>
          <w:bCs/>
          <w:color w:val="000000" w:themeColor="text1"/>
          <w:szCs w:val="21"/>
          <w:highlight w:val="none"/>
        </w:rPr>
        <w:t>2）对谈判文件中技术条款按上列格式逐条说明</w:t>
      </w:r>
      <w:r>
        <w:rPr>
          <w:rFonts w:hint="eastAsia" w:ascii="宋体" w:hAnsi="宋体"/>
          <w:b/>
          <w:bCs/>
          <w:color w:val="000000" w:themeColor="text1"/>
          <w:szCs w:val="21"/>
          <w:highlight w:val="none"/>
        </w:rPr>
        <w:t>。</w:t>
      </w:r>
    </w:p>
    <w:p>
      <w:pPr>
        <w:adjustRightInd w:val="0"/>
        <w:snapToGrid w:val="0"/>
        <w:spacing w:line="360" w:lineRule="auto"/>
        <w:ind w:left="-271" w:leftChars="-129"/>
        <w:rPr>
          <w:rFonts w:ascii="宋体" w:hAnsi="宋体"/>
          <w:b/>
          <w:bCs/>
          <w:color w:val="000000" w:themeColor="text1"/>
          <w:szCs w:val="21"/>
          <w:highlight w:val="none"/>
        </w:rPr>
      </w:pPr>
    </w:p>
    <w:p>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
          <w:bCs/>
          <w:color w:val="000000" w:themeColor="text1"/>
          <w:szCs w:val="21"/>
          <w:highlight w:val="none"/>
        </w:rPr>
        <w:t>供应商声明：表中未列全的技术条款，我方均表示完全响应谈判文件技术条款的所有要求。</w:t>
      </w:r>
    </w:p>
    <w:p>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供应商法定代表人或授权代理人（签字）：</w:t>
      </w:r>
      <w:r>
        <w:rPr>
          <w:rFonts w:hint="eastAsia" w:ascii="宋体" w:hAnsi="宋体"/>
          <w:bCs/>
          <w:color w:val="000000" w:themeColor="text1"/>
          <w:szCs w:val="21"/>
          <w:highlight w:val="none"/>
          <w:u w:val="single"/>
        </w:rPr>
        <w:t xml:space="preserve">                                     </w:t>
      </w:r>
    </w:p>
    <w:p>
      <w:pPr>
        <w:adjustRightInd w:val="0"/>
        <w:snapToGrid w:val="0"/>
        <w:spacing w:line="360" w:lineRule="auto"/>
        <w:ind w:left="-271" w:leftChars="-129" w:right="-384" w:rightChars="-183"/>
        <w:rPr>
          <w:rFonts w:ascii="宋体" w:hAnsi="宋体"/>
          <w:bCs/>
          <w:color w:val="000000" w:themeColor="text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ind w:left="-271" w:leftChars="-129" w:right="-384" w:rightChars="-183"/>
        <w:rPr>
          <w:rFonts w:ascii="宋体" w:hAnsi="宋体"/>
          <w:bCs/>
          <w:color w:val="000000" w:themeColor="text1"/>
          <w:highlight w:val="none"/>
          <w:u w:val="single"/>
        </w:rPr>
      </w:pPr>
      <w:r>
        <w:rPr>
          <w:rFonts w:hint="eastAsia"/>
          <w:color w:val="000000" w:themeColor="text1"/>
          <w:highlight w:val="none"/>
        </w:rPr>
        <w:t>日期：</w:t>
      </w:r>
      <w:r>
        <w:rPr>
          <w:color w:val="000000" w:themeColor="text1"/>
          <w:highlight w:val="none"/>
          <w:u w:val="single"/>
        </w:rPr>
        <w:t xml:space="preserve">    </w:t>
      </w:r>
      <w:r>
        <w:rPr>
          <w:rFonts w:hint="eastAsia"/>
          <w:color w:val="000000" w:themeColor="text1"/>
          <w:highlight w:val="none"/>
          <w:u w:val="single"/>
        </w:rPr>
        <w:t xml:space="preserve">  </w:t>
      </w:r>
      <w:r>
        <w:rPr>
          <w:color w:val="000000" w:themeColor="text1"/>
          <w:highlight w:val="none"/>
          <w:u w:val="single"/>
        </w:rPr>
        <w:t xml:space="preserve"> </w:t>
      </w:r>
      <w:r>
        <w:rPr>
          <w:color w:val="000000" w:themeColor="text1"/>
          <w:highlight w:val="none"/>
        </w:rPr>
        <w:t xml:space="preserve"> </w:t>
      </w:r>
      <w:r>
        <w:rPr>
          <w:rFonts w:hint="eastAsia"/>
          <w:color w:val="000000" w:themeColor="text1"/>
          <w:highlight w:val="none"/>
        </w:rPr>
        <w:t>年</w:t>
      </w:r>
      <w:r>
        <w:rPr>
          <w:color w:val="000000" w:themeColor="text1"/>
          <w:highlight w:val="none"/>
          <w:u w:val="single"/>
        </w:rPr>
        <w:t xml:space="preserve">     </w:t>
      </w:r>
      <w:r>
        <w:rPr>
          <w:rFonts w:hint="eastAsia"/>
          <w:color w:val="000000" w:themeColor="text1"/>
          <w:highlight w:val="none"/>
        </w:rPr>
        <w:t>月</w:t>
      </w:r>
      <w:r>
        <w:rPr>
          <w:color w:val="000000" w:themeColor="text1"/>
          <w:highlight w:val="none"/>
        </w:rPr>
        <w:t xml:space="preserve"> </w:t>
      </w:r>
      <w:r>
        <w:rPr>
          <w:color w:val="000000" w:themeColor="text1"/>
          <w:highlight w:val="none"/>
          <w:u w:val="single"/>
        </w:rPr>
        <w:t xml:space="preserve">    </w:t>
      </w:r>
      <w:r>
        <w:rPr>
          <w:rFonts w:hint="eastAsia"/>
          <w:color w:val="000000" w:themeColor="text1"/>
          <w:highlight w:val="none"/>
        </w:rPr>
        <w:t>日</w:t>
      </w:r>
    </w:p>
    <w:p>
      <w:pPr>
        <w:adjustRightInd w:val="0"/>
        <w:snapToGrid w:val="0"/>
        <w:spacing w:line="360" w:lineRule="auto"/>
        <w:rPr>
          <w:rFonts w:ascii="宋体" w:hAnsi="宋体"/>
          <w:bCs/>
          <w:color w:val="000000" w:themeColor="text1"/>
          <w:highlight w:val="none"/>
          <w:u w:val="single"/>
        </w:rPr>
        <w:sectPr>
          <w:footerReference r:id="rId12" w:type="default"/>
          <w:pgSz w:w="11906" w:h="16838"/>
          <w:pgMar w:top="1418" w:right="1474" w:bottom="1418" w:left="1474" w:header="851" w:footer="851" w:gutter="0"/>
          <w:cols w:space="425" w:num="1"/>
          <w:titlePg/>
          <w:docGrid w:linePitch="312" w:charSpace="0"/>
        </w:sectPr>
      </w:pPr>
    </w:p>
    <w:p>
      <w:pPr>
        <w:pStyle w:val="5"/>
        <w:numPr>
          <w:ilvl w:val="0"/>
          <w:numId w:val="0"/>
        </w:numPr>
        <w:spacing w:line="400" w:lineRule="exact"/>
        <w:jc w:val="center"/>
        <w:rPr>
          <w:color w:val="000000" w:themeColor="text1"/>
          <w:sz w:val="28"/>
          <w:szCs w:val="28"/>
          <w:highlight w:val="none"/>
        </w:rPr>
      </w:pPr>
      <w:bookmarkStart w:id="212" w:name="_Toc366072555"/>
      <w:bookmarkStart w:id="213" w:name="_Toc333935372"/>
      <w:bookmarkStart w:id="214" w:name="_Toc333237815"/>
      <w:bookmarkStart w:id="215" w:name="_Toc339020041"/>
      <w:bookmarkStart w:id="216" w:name="_Toc339362326"/>
      <w:bookmarkStart w:id="217" w:name="_Toc333238660"/>
      <w:bookmarkStart w:id="218" w:name="_Toc337632384"/>
      <w:bookmarkStart w:id="219" w:name="_Toc427330702"/>
      <w:bookmarkStart w:id="220" w:name="_Toc340672895"/>
      <w:bookmarkStart w:id="221" w:name="_Toc343612946"/>
      <w:bookmarkStart w:id="222" w:name="_Toc340507468"/>
      <w:bookmarkStart w:id="223" w:name="_Toc339441113"/>
      <w:bookmarkStart w:id="224" w:name="_Toc342312469"/>
      <w:bookmarkStart w:id="225" w:name="_Toc342398156"/>
      <w:bookmarkStart w:id="226" w:name="_Toc331512927"/>
      <w:bookmarkStart w:id="227" w:name="_Toc365967098"/>
      <w:bookmarkStart w:id="228" w:name="_Toc342296787"/>
      <w:bookmarkStart w:id="229" w:name="_Toc350438775"/>
      <w:bookmarkStart w:id="230" w:name="_Toc350756476"/>
      <w:bookmarkStart w:id="231" w:name="_Toc342060401"/>
      <w:bookmarkStart w:id="232" w:name="_Toc331684068"/>
      <w:bookmarkStart w:id="233" w:name="_Toc343247126"/>
      <w:bookmarkStart w:id="234" w:name="_Toc365985204"/>
      <w:bookmarkStart w:id="235" w:name="_Toc340677096"/>
      <w:bookmarkStart w:id="236" w:name="_Toc345312623"/>
      <w:bookmarkStart w:id="237" w:name="_Toc332270373"/>
      <w:bookmarkStart w:id="238" w:name="_Toc333237704"/>
      <w:bookmarkStart w:id="239" w:name="_Toc333935713"/>
      <w:bookmarkStart w:id="240" w:name="_Toc343248444"/>
      <w:bookmarkStart w:id="241" w:name="_Toc341348366"/>
      <w:bookmarkStart w:id="242" w:name="_Toc332206735"/>
      <w:bookmarkStart w:id="243" w:name="_Toc339019915"/>
      <w:bookmarkStart w:id="244" w:name="_Toc339020259"/>
      <w:bookmarkStart w:id="245" w:name="_Toc330460012"/>
      <w:bookmarkStart w:id="246" w:name="_Toc336681961"/>
      <w:bookmarkStart w:id="247" w:name="_Toc339020121"/>
      <w:bookmarkStart w:id="248" w:name="_Toc336681606"/>
      <w:bookmarkStart w:id="249" w:name="_Toc438589241"/>
      <w:bookmarkStart w:id="250" w:name="_Toc27345"/>
      <w:r>
        <w:rPr>
          <w:rFonts w:hint="eastAsia"/>
          <w:color w:val="000000" w:themeColor="text1"/>
          <w:sz w:val="28"/>
          <w:szCs w:val="28"/>
          <w:highlight w:val="none"/>
        </w:rPr>
        <w:t>附件七：</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rFonts w:hint="eastAsia"/>
          <w:color w:val="000000" w:themeColor="text1"/>
          <w:sz w:val="28"/>
          <w:szCs w:val="28"/>
          <w:highlight w:val="none"/>
        </w:rPr>
        <w:t>项目实施方案</w:t>
      </w:r>
      <w:bookmarkEnd w:id="250"/>
    </w:p>
    <w:p>
      <w:pPr>
        <w:adjustRightInd w:val="0"/>
        <w:snapToGrid w:val="0"/>
        <w:spacing w:line="360" w:lineRule="auto"/>
        <w:ind w:left="1054" w:hanging="1054" w:hangingChars="500"/>
        <w:jc w:val="left"/>
        <w:rPr>
          <w:rFonts w:ascii="宋体" w:hAnsi="宋体"/>
          <w:b/>
          <w:bCs/>
          <w:caps/>
          <w:color w:val="000000" w:themeColor="text1"/>
          <w:highlight w:val="none"/>
          <w:u w:val="single"/>
        </w:rPr>
      </w:pPr>
      <w:r>
        <w:rPr>
          <w:rFonts w:hint="eastAsia" w:ascii="宋体" w:hAnsi="宋体"/>
          <w:b/>
          <w:bCs/>
          <w:caps/>
          <w:color w:val="000000" w:themeColor="text1"/>
          <w:highlight w:val="none"/>
          <w:u w:val="single"/>
        </w:rPr>
        <w:t>项目编号：</w:t>
      </w:r>
      <w:r>
        <w:rPr>
          <w:rFonts w:hint="eastAsia" w:ascii="宋体" w:hAnsi="宋体"/>
          <w:b/>
          <w:bCs/>
          <w:caps/>
          <w:color w:val="000000" w:themeColor="text1"/>
          <w:highlight w:val="none"/>
          <w:u w:val="single"/>
          <w:lang w:eastAsia="zh-CN"/>
        </w:rPr>
        <w:t>YXCG-20220303</w:t>
      </w:r>
      <w:r>
        <w:rPr>
          <w:rFonts w:hint="eastAsia" w:ascii="宋体" w:hAnsi="宋体"/>
          <w:b/>
          <w:bCs/>
          <w:caps/>
          <w:color w:val="000000" w:themeColor="text1"/>
          <w:highlight w:val="none"/>
          <w:u w:val="single"/>
        </w:rPr>
        <w:t xml:space="preserve"> </w:t>
      </w:r>
    </w:p>
    <w:p>
      <w:pPr>
        <w:adjustRightInd w:val="0"/>
        <w:snapToGrid w:val="0"/>
        <w:spacing w:line="360" w:lineRule="auto"/>
        <w:ind w:left="1054" w:hanging="1054" w:hangingChars="500"/>
        <w:jc w:val="left"/>
        <w:rPr>
          <w:rFonts w:ascii="宋体" w:hAnsi="宋体"/>
          <w:b/>
          <w:bCs/>
          <w:caps/>
          <w:color w:val="000000" w:themeColor="text1"/>
          <w:highlight w:val="none"/>
          <w:u w:val="single"/>
        </w:rPr>
      </w:pPr>
      <w:r>
        <w:rPr>
          <w:rFonts w:hint="eastAsia" w:ascii="宋体" w:hAnsi="宋体"/>
          <w:b/>
          <w:bCs/>
          <w:caps/>
          <w:color w:val="000000" w:themeColor="text1"/>
          <w:highlight w:val="none"/>
          <w:u w:val="single"/>
        </w:rPr>
        <w:t>项目名称：</w:t>
      </w:r>
      <w:r>
        <w:rPr>
          <w:rFonts w:hint="eastAsia" w:ascii="宋体" w:hAnsi="宋体"/>
          <w:b/>
          <w:bCs/>
          <w:caps/>
          <w:color w:val="000000" w:themeColor="text1"/>
          <w:highlight w:val="none"/>
          <w:u w:val="single"/>
          <w:lang w:eastAsia="zh-CN"/>
        </w:rPr>
        <w:t>中共阳西县委组织部干部人事档案管理信息系统建设及档案整理数字化项目</w:t>
      </w:r>
      <w:r>
        <w:rPr>
          <w:rFonts w:hint="eastAsia" w:ascii="宋体" w:hAnsi="宋体"/>
          <w:b/>
          <w:bCs/>
          <w:caps/>
          <w:color w:val="000000" w:themeColor="text1"/>
          <w:highlight w:val="none"/>
          <w:u w:val="single"/>
        </w:rPr>
        <w:t xml:space="preserve"> </w:t>
      </w: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pStyle w:val="10"/>
        <w:rPr>
          <w:rFonts w:hAnsi="宋体"/>
          <w:color w:val="000000" w:themeColor="text1"/>
          <w:szCs w:val="2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供应商法定代表人或授权代理人（签字）：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供应商名称（加盖公章）：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80" w:lineRule="auto"/>
        <w:rPr>
          <w:rFonts w:ascii="宋体" w:hAnsi="宋体"/>
          <w:bCs/>
          <w:color w:val="000000" w:themeColor="text1"/>
          <w:highlight w:val="none"/>
          <w:u w:val="single"/>
        </w:rPr>
      </w:pPr>
      <w:r>
        <w:rPr>
          <w:rFonts w:hint="eastAsia"/>
          <w:color w:val="000000" w:themeColor="text1"/>
          <w:highlight w:val="none"/>
        </w:rPr>
        <w:t>日期：</w:t>
      </w:r>
      <w:r>
        <w:rPr>
          <w:color w:val="000000" w:themeColor="text1"/>
          <w:highlight w:val="none"/>
          <w:u w:val="single"/>
        </w:rPr>
        <w:t xml:space="preserve">    </w:t>
      </w:r>
      <w:r>
        <w:rPr>
          <w:rFonts w:hint="eastAsia"/>
          <w:color w:val="000000" w:themeColor="text1"/>
          <w:highlight w:val="none"/>
          <w:u w:val="single"/>
        </w:rPr>
        <w:t xml:space="preserve">  </w:t>
      </w:r>
      <w:r>
        <w:rPr>
          <w:color w:val="000000" w:themeColor="text1"/>
          <w:highlight w:val="none"/>
          <w:u w:val="single"/>
        </w:rPr>
        <w:t xml:space="preserve"> </w:t>
      </w:r>
      <w:r>
        <w:rPr>
          <w:color w:val="000000" w:themeColor="text1"/>
          <w:highlight w:val="none"/>
        </w:rPr>
        <w:t xml:space="preserve"> </w:t>
      </w:r>
      <w:r>
        <w:rPr>
          <w:rFonts w:hint="eastAsia"/>
          <w:color w:val="000000" w:themeColor="text1"/>
          <w:highlight w:val="none"/>
        </w:rPr>
        <w:t>年</w:t>
      </w:r>
      <w:r>
        <w:rPr>
          <w:color w:val="000000" w:themeColor="text1"/>
          <w:highlight w:val="none"/>
          <w:u w:val="single"/>
        </w:rPr>
        <w:t xml:space="preserve">     </w:t>
      </w:r>
      <w:r>
        <w:rPr>
          <w:rFonts w:hint="eastAsia"/>
          <w:color w:val="000000" w:themeColor="text1"/>
          <w:highlight w:val="none"/>
        </w:rPr>
        <w:t>月</w:t>
      </w:r>
      <w:r>
        <w:rPr>
          <w:color w:val="000000" w:themeColor="text1"/>
          <w:highlight w:val="none"/>
        </w:rPr>
        <w:t xml:space="preserve"> </w:t>
      </w:r>
      <w:r>
        <w:rPr>
          <w:color w:val="000000" w:themeColor="text1"/>
          <w:highlight w:val="none"/>
          <w:u w:val="single"/>
        </w:rPr>
        <w:t xml:space="preserve">    </w:t>
      </w:r>
      <w:r>
        <w:rPr>
          <w:rFonts w:hint="eastAsia"/>
          <w:color w:val="000000" w:themeColor="text1"/>
          <w:highlight w:val="none"/>
        </w:rPr>
        <w:t>日</w:t>
      </w:r>
    </w:p>
    <w:p>
      <w:pPr>
        <w:rPr>
          <w:color w:val="000000" w:themeColor="text1"/>
          <w:highlight w:val="none"/>
        </w:rPr>
      </w:pPr>
    </w:p>
    <w:p>
      <w:pPr>
        <w:rPr>
          <w:color w:val="000000" w:themeColor="text1"/>
          <w:highlight w:val="none"/>
        </w:rPr>
        <w:sectPr>
          <w:pgSz w:w="11906" w:h="16838"/>
          <w:pgMar w:top="1418" w:right="1474" w:bottom="1418" w:left="1474" w:header="851" w:footer="992" w:gutter="0"/>
          <w:cols w:space="720" w:num="1"/>
          <w:docGrid w:linePitch="312" w:charSpace="0"/>
        </w:sectPr>
      </w:pPr>
    </w:p>
    <w:p>
      <w:pPr>
        <w:pStyle w:val="5"/>
        <w:numPr>
          <w:ilvl w:val="0"/>
          <w:numId w:val="0"/>
        </w:numPr>
        <w:jc w:val="center"/>
        <w:rPr>
          <w:color w:val="000000" w:themeColor="text1"/>
          <w:sz w:val="28"/>
          <w:szCs w:val="28"/>
          <w:highlight w:val="none"/>
        </w:rPr>
      </w:pPr>
      <w:bookmarkStart w:id="251" w:name="_Toc200414533"/>
      <w:bookmarkStart w:id="252" w:name="_Toc19310"/>
      <w:r>
        <w:rPr>
          <w:rFonts w:hint="eastAsia"/>
          <w:color w:val="000000" w:themeColor="text1"/>
          <w:sz w:val="28"/>
          <w:szCs w:val="28"/>
          <w:highlight w:val="none"/>
        </w:rPr>
        <w:t>附件八：同类业绩一览表</w:t>
      </w:r>
      <w:bookmarkEnd w:id="251"/>
      <w:bookmarkEnd w:id="252"/>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YXCG-20220303</w:t>
      </w:r>
      <w:r>
        <w:rPr>
          <w:rFonts w:hint="eastAsia" w:ascii="宋体" w:hAnsi="宋体"/>
          <w:b/>
          <w:bCs/>
          <w:caps/>
          <w:color w:val="000000" w:themeColor="text1"/>
          <w:szCs w:val="21"/>
          <w:highlight w:val="none"/>
          <w:u w:val="single"/>
        </w:rPr>
        <w:t xml:space="preserve">  </w:t>
      </w:r>
    </w:p>
    <w:p>
      <w:pPr>
        <w:adjustRightInd w:val="0"/>
        <w:snapToGrid w:val="0"/>
        <w:spacing w:line="360" w:lineRule="auto"/>
        <w:jc w:val="left"/>
        <w:rPr>
          <w:rFonts w:hint="eastAsia" w:ascii="宋体" w:hAnsi="宋体" w:eastAsia="宋体"/>
          <w:bCs/>
          <w:color w:val="000000" w:themeColor="text1"/>
          <w:szCs w:val="21"/>
          <w:highlight w:val="none"/>
          <w:lang w:eastAsia="zh-CN"/>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中共阳西县委组织部干部人事档案管理信息系统建设及档案整理数字化项目</w:t>
      </w:r>
    </w:p>
    <w:tbl>
      <w:tblPr>
        <w:tblStyle w:val="45"/>
        <w:tblW w:w="10206"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524"/>
        <w:gridCol w:w="1754"/>
        <w:gridCol w:w="976"/>
        <w:gridCol w:w="1098"/>
        <w:gridCol w:w="1091"/>
        <w:gridCol w:w="1091"/>
        <w:gridCol w:w="1091"/>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811" w:type="dxa"/>
            <w:vAlign w:val="center"/>
          </w:tcPr>
          <w:p>
            <w:pPr>
              <w:pStyle w:val="10"/>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序号</w:t>
            </w:r>
          </w:p>
        </w:tc>
        <w:tc>
          <w:tcPr>
            <w:tcW w:w="1524" w:type="dxa"/>
            <w:vAlign w:val="center"/>
          </w:tcPr>
          <w:p>
            <w:pPr>
              <w:pStyle w:val="10"/>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项目名称</w:t>
            </w:r>
          </w:p>
        </w:tc>
        <w:tc>
          <w:tcPr>
            <w:tcW w:w="1754" w:type="dxa"/>
            <w:vAlign w:val="center"/>
          </w:tcPr>
          <w:p>
            <w:pPr>
              <w:pStyle w:val="10"/>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货物名称</w:t>
            </w:r>
          </w:p>
        </w:tc>
        <w:tc>
          <w:tcPr>
            <w:tcW w:w="976" w:type="dxa"/>
            <w:vAlign w:val="center"/>
          </w:tcPr>
          <w:p>
            <w:pPr>
              <w:pStyle w:val="10"/>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销售数（套）</w:t>
            </w:r>
          </w:p>
        </w:tc>
        <w:tc>
          <w:tcPr>
            <w:tcW w:w="1098" w:type="dxa"/>
            <w:vAlign w:val="center"/>
          </w:tcPr>
          <w:p>
            <w:pPr>
              <w:pStyle w:val="10"/>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成交额（元）</w:t>
            </w:r>
          </w:p>
        </w:tc>
        <w:tc>
          <w:tcPr>
            <w:tcW w:w="1091" w:type="dxa"/>
            <w:vAlign w:val="center"/>
          </w:tcPr>
          <w:p>
            <w:pPr>
              <w:pStyle w:val="10"/>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完成日期</w:t>
            </w:r>
          </w:p>
        </w:tc>
        <w:tc>
          <w:tcPr>
            <w:tcW w:w="1091" w:type="dxa"/>
            <w:vAlign w:val="center"/>
          </w:tcPr>
          <w:p>
            <w:pPr>
              <w:pStyle w:val="10"/>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用户单位</w:t>
            </w:r>
          </w:p>
        </w:tc>
        <w:tc>
          <w:tcPr>
            <w:tcW w:w="1091" w:type="dxa"/>
            <w:vAlign w:val="center"/>
          </w:tcPr>
          <w:p>
            <w:pPr>
              <w:pStyle w:val="10"/>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联系电话</w:t>
            </w:r>
          </w:p>
        </w:tc>
        <w:tc>
          <w:tcPr>
            <w:tcW w:w="770" w:type="dxa"/>
            <w:vAlign w:val="center"/>
          </w:tcPr>
          <w:p>
            <w:pPr>
              <w:pStyle w:val="10"/>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1" w:type="dxa"/>
            <w:vAlign w:val="center"/>
          </w:tcPr>
          <w:p>
            <w:pPr>
              <w:pStyle w:val="10"/>
              <w:snapToGrid w:val="0"/>
              <w:ind w:firstLine="0"/>
              <w:jc w:val="center"/>
              <w:rPr>
                <w:rFonts w:hAnsi="宋体"/>
                <w:bCs/>
                <w:color w:val="000000" w:themeColor="text1"/>
                <w:szCs w:val="24"/>
                <w:highlight w:val="none"/>
              </w:rPr>
            </w:pPr>
          </w:p>
        </w:tc>
        <w:tc>
          <w:tcPr>
            <w:tcW w:w="1524" w:type="dxa"/>
            <w:vAlign w:val="center"/>
          </w:tcPr>
          <w:p>
            <w:pPr>
              <w:pStyle w:val="10"/>
              <w:snapToGrid w:val="0"/>
              <w:ind w:firstLine="0"/>
              <w:jc w:val="center"/>
              <w:rPr>
                <w:rFonts w:hAnsi="宋体"/>
                <w:bCs/>
                <w:color w:val="000000" w:themeColor="text1"/>
                <w:szCs w:val="24"/>
                <w:highlight w:val="none"/>
              </w:rPr>
            </w:pPr>
          </w:p>
        </w:tc>
        <w:tc>
          <w:tcPr>
            <w:tcW w:w="1754" w:type="dxa"/>
            <w:vAlign w:val="center"/>
          </w:tcPr>
          <w:p>
            <w:pPr>
              <w:pStyle w:val="10"/>
              <w:snapToGrid w:val="0"/>
              <w:jc w:val="center"/>
              <w:rPr>
                <w:rFonts w:hAnsi="宋体"/>
                <w:bCs/>
                <w:color w:val="000000" w:themeColor="text1"/>
                <w:szCs w:val="24"/>
                <w:highlight w:val="none"/>
              </w:rPr>
            </w:pPr>
          </w:p>
        </w:tc>
        <w:tc>
          <w:tcPr>
            <w:tcW w:w="976" w:type="dxa"/>
            <w:vAlign w:val="center"/>
          </w:tcPr>
          <w:p>
            <w:pPr>
              <w:pStyle w:val="10"/>
              <w:snapToGrid w:val="0"/>
              <w:ind w:firstLine="0"/>
              <w:jc w:val="center"/>
              <w:rPr>
                <w:rFonts w:hAnsi="宋体"/>
                <w:bCs/>
                <w:color w:val="000000" w:themeColor="text1"/>
                <w:szCs w:val="24"/>
                <w:highlight w:val="none"/>
              </w:rPr>
            </w:pPr>
          </w:p>
        </w:tc>
        <w:tc>
          <w:tcPr>
            <w:tcW w:w="1098" w:type="dxa"/>
            <w:vAlign w:val="center"/>
          </w:tcPr>
          <w:p>
            <w:pPr>
              <w:pStyle w:val="10"/>
              <w:snapToGrid w:val="0"/>
              <w:jc w:val="center"/>
              <w:rPr>
                <w:rFonts w:hAnsi="宋体"/>
                <w:bCs/>
                <w:color w:val="000000" w:themeColor="text1"/>
                <w:szCs w:val="24"/>
                <w:highlight w:val="none"/>
              </w:rPr>
            </w:pPr>
          </w:p>
        </w:tc>
        <w:tc>
          <w:tcPr>
            <w:tcW w:w="1091" w:type="dxa"/>
            <w:vAlign w:val="center"/>
          </w:tcPr>
          <w:p>
            <w:pPr>
              <w:pStyle w:val="10"/>
              <w:snapToGrid w:val="0"/>
              <w:jc w:val="center"/>
              <w:rPr>
                <w:rFonts w:hAnsi="宋体"/>
                <w:bCs/>
                <w:color w:val="000000" w:themeColor="text1"/>
                <w:szCs w:val="24"/>
                <w:highlight w:val="none"/>
              </w:rPr>
            </w:pPr>
          </w:p>
        </w:tc>
        <w:tc>
          <w:tcPr>
            <w:tcW w:w="1091" w:type="dxa"/>
            <w:vAlign w:val="center"/>
          </w:tcPr>
          <w:p>
            <w:pPr>
              <w:pStyle w:val="10"/>
              <w:snapToGrid w:val="0"/>
              <w:jc w:val="center"/>
              <w:rPr>
                <w:rFonts w:hAnsi="宋体"/>
                <w:bCs/>
                <w:color w:val="000000" w:themeColor="text1"/>
                <w:szCs w:val="24"/>
                <w:highlight w:val="none"/>
              </w:rPr>
            </w:pPr>
          </w:p>
        </w:tc>
        <w:tc>
          <w:tcPr>
            <w:tcW w:w="1091" w:type="dxa"/>
            <w:vAlign w:val="center"/>
          </w:tcPr>
          <w:p>
            <w:pPr>
              <w:pStyle w:val="10"/>
              <w:snapToGrid w:val="0"/>
              <w:jc w:val="center"/>
              <w:rPr>
                <w:rFonts w:hAnsi="宋体"/>
                <w:bCs/>
                <w:color w:val="000000" w:themeColor="text1"/>
                <w:szCs w:val="24"/>
                <w:highlight w:val="none"/>
              </w:rPr>
            </w:pPr>
          </w:p>
        </w:tc>
        <w:tc>
          <w:tcPr>
            <w:tcW w:w="770" w:type="dxa"/>
            <w:vAlign w:val="center"/>
          </w:tcPr>
          <w:p>
            <w:pPr>
              <w:pStyle w:val="10"/>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1" w:type="dxa"/>
            <w:vAlign w:val="center"/>
          </w:tcPr>
          <w:p>
            <w:pPr>
              <w:pStyle w:val="10"/>
              <w:snapToGrid w:val="0"/>
              <w:jc w:val="center"/>
              <w:rPr>
                <w:rFonts w:hAnsi="宋体"/>
                <w:bCs/>
                <w:color w:val="000000" w:themeColor="text1"/>
                <w:szCs w:val="24"/>
                <w:highlight w:val="none"/>
              </w:rPr>
            </w:pPr>
          </w:p>
        </w:tc>
        <w:tc>
          <w:tcPr>
            <w:tcW w:w="1524" w:type="dxa"/>
            <w:vAlign w:val="center"/>
          </w:tcPr>
          <w:p>
            <w:pPr>
              <w:pStyle w:val="10"/>
              <w:snapToGrid w:val="0"/>
              <w:jc w:val="center"/>
              <w:rPr>
                <w:rFonts w:hAnsi="宋体"/>
                <w:bCs/>
                <w:color w:val="000000" w:themeColor="text1"/>
                <w:szCs w:val="24"/>
                <w:highlight w:val="none"/>
              </w:rPr>
            </w:pPr>
          </w:p>
        </w:tc>
        <w:tc>
          <w:tcPr>
            <w:tcW w:w="1754" w:type="dxa"/>
            <w:vAlign w:val="center"/>
          </w:tcPr>
          <w:p>
            <w:pPr>
              <w:pStyle w:val="10"/>
              <w:snapToGrid w:val="0"/>
              <w:jc w:val="center"/>
              <w:rPr>
                <w:rFonts w:hAnsi="宋体"/>
                <w:bCs/>
                <w:color w:val="000000" w:themeColor="text1"/>
                <w:szCs w:val="24"/>
                <w:highlight w:val="none"/>
              </w:rPr>
            </w:pPr>
          </w:p>
        </w:tc>
        <w:tc>
          <w:tcPr>
            <w:tcW w:w="976" w:type="dxa"/>
            <w:vAlign w:val="center"/>
          </w:tcPr>
          <w:p>
            <w:pPr>
              <w:pStyle w:val="10"/>
              <w:snapToGrid w:val="0"/>
              <w:jc w:val="center"/>
              <w:rPr>
                <w:rFonts w:hAnsi="宋体"/>
                <w:bCs/>
                <w:color w:val="000000" w:themeColor="text1"/>
                <w:szCs w:val="24"/>
                <w:highlight w:val="none"/>
              </w:rPr>
            </w:pPr>
          </w:p>
        </w:tc>
        <w:tc>
          <w:tcPr>
            <w:tcW w:w="1098" w:type="dxa"/>
            <w:vAlign w:val="center"/>
          </w:tcPr>
          <w:p>
            <w:pPr>
              <w:pStyle w:val="10"/>
              <w:snapToGrid w:val="0"/>
              <w:jc w:val="center"/>
              <w:rPr>
                <w:rFonts w:hAnsi="宋体"/>
                <w:bCs/>
                <w:color w:val="000000" w:themeColor="text1"/>
                <w:szCs w:val="24"/>
                <w:highlight w:val="none"/>
              </w:rPr>
            </w:pPr>
          </w:p>
        </w:tc>
        <w:tc>
          <w:tcPr>
            <w:tcW w:w="1091" w:type="dxa"/>
            <w:vAlign w:val="center"/>
          </w:tcPr>
          <w:p>
            <w:pPr>
              <w:pStyle w:val="10"/>
              <w:snapToGrid w:val="0"/>
              <w:jc w:val="center"/>
              <w:rPr>
                <w:rFonts w:hAnsi="宋体"/>
                <w:bCs/>
                <w:color w:val="000000" w:themeColor="text1"/>
                <w:szCs w:val="24"/>
                <w:highlight w:val="none"/>
              </w:rPr>
            </w:pPr>
          </w:p>
        </w:tc>
        <w:tc>
          <w:tcPr>
            <w:tcW w:w="1091" w:type="dxa"/>
            <w:vAlign w:val="center"/>
          </w:tcPr>
          <w:p>
            <w:pPr>
              <w:pStyle w:val="10"/>
              <w:snapToGrid w:val="0"/>
              <w:jc w:val="center"/>
              <w:rPr>
                <w:rFonts w:hAnsi="宋体"/>
                <w:bCs/>
                <w:color w:val="000000" w:themeColor="text1"/>
                <w:szCs w:val="24"/>
                <w:highlight w:val="none"/>
              </w:rPr>
            </w:pPr>
          </w:p>
        </w:tc>
        <w:tc>
          <w:tcPr>
            <w:tcW w:w="1091" w:type="dxa"/>
            <w:vAlign w:val="center"/>
          </w:tcPr>
          <w:p>
            <w:pPr>
              <w:pStyle w:val="10"/>
              <w:snapToGrid w:val="0"/>
              <w:jc w:val="center"/>
              <w:rPr>
                <w:rFonts w:hAnsi="宋体"/>
                <w:bCs/>
                <w:color w:val="000000" w:themeColor="text1"/>
                <w:szCs w:val="24"/>
                <w:highlight w:val="none"/>
              </w:rPr>
            </w:pPr>
          </w:p>
        </w:tc>
        <w:tc>
          <w:tcPr>
            <w:tcW w:w="770" w:type="dxa"/>
            <w:vAlign w:val="center"/>
          </w:tcPr>
          <w:p>
            <w:pPr>
              <w:pStyle w:val="10"/>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1" w:type="dxa"/>
            <w:vAlign w:val="center"/>
          </w:tcPr>
          <w:p>
            <w:pPr>
              <w:pStyle w:val="10"/>
              <w:snapToGrid w:val="0"/>
              <w:jc w:val="center"/>
              <w:rPr>
                <w:rFonts w:hAnsi="宋体"/>
                <w:bCs/>
                <w:color w:val="000000" w:themeColor="text1"/>
                <w:szCs w:val="24"/>
                <w:highlight w:val="none"/>
              </w:rPr>
            </w:pPr>
          </w:p>
        </w:tc>
        <w:tc>
          <w:tcPr>
            <w:tcW w:w="1524" w:type="dxa"/>
            <w:vAlign w:val="center"/>
          </w:tcPr>
          <w:p>
            <w:pPr>
              <w:pStyle w:val="10"/>
              <w:snapToGrid w:val="0"/>
              <w:jc w:val="center"/>
              <w:rPr>
                <w:rFonts w:hAnsi="宋体"/>
                <w:bCs/>
                <w:color w:val="000000" w:themeColor="text1"/>
                <w:szCs w:val="24"/>
                <w:highlight w:val="none"/>
              </w:rPr>
            </w:pPr>
          </w:p>
        </w:tc>
        <w:tc>
          <w:tcPr>
            <w:tcW w:w="1754" w:type="dxa"/>
            <w:vAlign w:val="center"/>
          </w:tcPr>
          <w:p>
            <w:pPr>
              <w:pStyle w:val="10"/>
              <w:snapToGrid w:val="0"/>
              <w:jc w:val="center"/>
              <w:rPr>
                <w:rFonts w:hAnsi="宋体"/>
                <w:bCs/>
                <w:color w:val="000000" w:themeColor="text1"/>
                <w:szCs w:val="24"/>
                <w:highlight w:val="none"/>
              </w:rPr>
            </w:pPr>
          </w:p>
        </w:tc>
        <w:tc>
          <w:tcPr>
            <w:tcW w:w="976" w:type="dxa"/>
            <w:vAlign w:val="center"/>
          </w:tcPr>
          <w:p>
            <w:pPr>
              <w:pStyle w:val="10"/>
              <w:snapToGrid w:val="0"/>
              <w:jc w:val="center"/>
              <w:rPr>
                <w:rFonts w:hAnsi="宋体"/>
                <w:bCs/>
                <w:color w:val="000000" w:themeColor="text1"/>
                <w:szCs w:val="24"/>
                <w:highlight w:val="none"/>
              </w:rPr>
            </w:pPr>
          </w:p>
        </w:tc>
        <w:tc>
          <w:tcPr>
            <w:tcW w:w="1098" w:type="dxa"/>
            <w:vAlign w:val="center"/>
          </w:tcPr>
          <w:p>
            <w:pPr>
              <w:pStyle w:val="10"/>
              <w:snapToGrid w:val="0"/>
              <w:jc w:val="center"/>
              <w:rPr>
                <w:rFonts w:hAnsi="宋体"/>
                <w:bCs/>
                <w:color w:val="000000" w:themeColor="text1"/>
                <w:szCs w:val="24"/>
                <w:highlight w:val="none"/>
              </w:rPr>
            </w:pPr>
          </w:p>
        </w:tc>
        <w:tc>
          <w:tcPr>
            <w:tcW w:w="1091" w:type="dxa"/>
            <w:vAlign w:val="center"/>
          </w:tcPr>
          <w:p>
            <w:pPr>
              <w:pStyle w:val="10"/>
              <w:snapToGrid w:val="0"/>
              <w:jc w:val="center"/>
              <w:rPr>
                <w:rFonts w:hAnsi="宋体"/>
                <w:bCs/>
                <w:color w:val="000000" w:themeColor="text1"/>
                <w:szCs w:val="24"/>
                <w:highlight w:val="none"/>
              </w:rPr>
            </w:pPr>
          </w:p>
        </w:tc>
        <w:tc>
          <w:tcPr>
            <w:tcW w:w="1091" w:type="dxa"/>
            <w:vAlign w:val="center"/>
          </w:tcPr>
          <w:p>
            <w:pPr>
              <w:pStyle w:val="10"/>
              <w:snapToGrid w:val="0"/>
              <w:jc w:val="center"/>
              <w:rPr>
                <w:rFonts w:hAnsi="宋体"/>
                <w:bCs/>
                <w:color w:val="000000" w:themeColor="text1"/>
                <w:szCs w:val="24"/>
                <w:highlight w:val="none"/>
              </w:rPr>
            </w:pPr>
          </w:p>
        </w:tc>
        <w:tc>
          <w:tcPr>
            <w:tcW w:w="1091" w:type="dxa"/>
            <w:vAlign w:val="center"/>
          </w:tcPr>
          <w:p>
            <w:pPr>
              <w:pStyle w:val="10"/>
              <w:snapToGrid w:val="0"/>
              <w:jc w:val="center"/>
              <w:rPr>
                <w:rFonts w:hAnsi="宋体"/>
                <w:bCs/>
                <w:color w:val="000000" w:themeColor="text1"/>
                <w:szCs w:val="24"/>
                <w:highlight w:val="none"/>
              </w:rPr>
            </w:pPr>
          </w:p>
        </w:tc>
        <w:tc>
          <w:tcPr>
            <w:tcW w:w="770" w:type="dxa"/>
            <w:vAlign w:val="center"/>
          </w:tcPr>
          <w:p>
            <w:pPr>
              <w:pStyle w:val="10"/>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1" w:type="dxa"/>
            <w:vAlign w:val="center"/>
          </w:tcPr>
          <w:p>
            <w:pPr>
              <w:pStyle w:val="10"/>
              <w:snapToGrid w:val="0"/>
              <w:jc w:val="center"/>
              <w:rPr>
                <w:rFonts w:hAnsi="宋体"/>
                <w:bCs/>
                <w:color w:val="000000" w:themeColor="text1"/>
                <w:szCs w:val="24"/>
                <w:highlight w:val="none"/>
              </w:rPr>
            </w:pPr>
          </w:p>
        </w:tc>
        <w:tc>
          <w:tcPr>
            <w:tcW w:w="1524" w:type="dxa"/>
            <w:vAlign w:val="center"/>
          </w:tcPr>
          <w:p>
            <w:pPr>
              <w:pStyle w:val="10"/>
              <w:snapToGrid w:val="0"/>
              <w:jc w:val="center"/>
              <w:rPr>
                <w:rFonts w:hAnsi="宋体"/>
                <w:bCs/>
                <w:color w:val="000000" w:themeColor="text1"/>
                <w:szCs w:val="24"/>
                <w:highlight w:val="none"/>
              </w:rPr>
            </w:pPr>
          </w:p>
        </w:tc>
        <w:tc>
          <w:tcPr>
            <w:tcW w:w="1754" w:type="dxa"/>
            <w:vAlign w:val="center"/>
          </w:tcPr>
          <w:p>
            <w:pPr>
              <w:pStyle w:val="10"/>
              <w:snapToGrid w:val="0"/>
              <w:jc w:val="center"/>
              <w:rPr>
                <w:rFonts w:hAnsi="宋体"/>
                <w:bCs/>
                <w:color w:val="000000" w:themeColor="text1"/>
                <w:szCs w:val="24"/>
                <w:highlight w:val="none"/>
              </w:rPr>
            </w:pPr>
          </w:p>
        </w:tc>
        <w:tc>
          <w:tcPr>
            <w:tcW w:w="976" w:type="dxa"/>
            <w:vAlign w:val="center"/>
          </w:tcPr>
          <w:p>
            <w:pPr>
              <w:pStyle w:val="10"/>
              <w:snapToGrid w:val="0"/>
              <w:jc w:val="center"/>
              <w:rPr>
                <w:rFonts w:hAnsi="宋体"/>
                <w:bCs/>
                <w:color w:val="000000" w:themeColor="text1"/>
                <w:szCs w:val="24"/>
                <w:highlight w:val="none"/>
              </w:rPr>
            </w:pPr>
          </w:p>
        </w:tc>
        <w:tc>
          <w:tcPr>
            <w:tcW w:w="1098" w:type="dxa"/>
            <w:vAlign w:val="center"/>
          </w:tcPr>
          <w:p>
            <w:pPr>
              <w:pStyle w:val="10"/>
              <w:snapToGrid w:val="0"/>
              <w:jc w:val="center"/>
              <w:rPr>
                <w:rFonts w:hAnsi="宋体"/>
                <w:bCs/>
                <w:color w:val="000000" w:themeColor="text1"/>
                <w:szCs w:val="24"/>
                <w:highlight w:val="none"/>
              </w:rPr>
            </w:pPr>
          </w:p>
        </w:tc>
        <w:tc>
          <w:tcPr>
            <w:tcW w:w="1091" w:type="dxa"/>
            <w:vAlign w:val="center"/>
          </w:tcPr>
          <w:p>
            <w:pPr>
              <w:pStyle w:val="10"/>
              <w:snapToGrid w:val="0"/>
              <w:jc w:val="center"/>
              <w:rPr>
                <w:rFonts w:hAnsi="宋体"/>
                <w:bCs/>
                <w:color w:val="000000" w:themeColor="text1"/>
                <w:szCs w:val="24"/>
                <w:highlight w:val="none"/>
              </w:rPr>
            </w:pPr>
          </w:p>
        </w:tc>
        <w:tc>
          <w:tcPr>
            <w:tcW w:w="1091" w:type="dxa"/>
            <w:vAlign w:val="center"/>
          </w:tcPr>
          <w:p>
            <w:pPr>
              <w:pStyle w:val="10"/>
              <w:snapToGrid w:val="0"/>
              <w:jc w:val="center"/>
              <w:rPr>
                <w:rFonts w:hAnsi="宋体"/>
                <w:bCs/>
                <w:color w:val="000000" w:themeColor="text1"/>
                <w:szCs w:val="24"/>
                <w:highlight w:val="none"/>
              </w:rPr>
            </w:pPr>
          </w:p>
        </w:tc>
        <w:tc>
          <w:tcPr>
            <w:tcW w:w="1091" w:type="dxa"/>
            <w:vAlign w:val="center"/>
          </w:tcPr>
          <w:p>
            <w:pPr>
              <w:pStyle w:val="10"/>
              <w:snapToGrid w:val="0"/>
              <w:jc w:val="center"/>
              <w:rPr>
                <w:rFonts w:hAnsi="宋体"/>
                <w:bCs/>
                <w:color w:val="000000" w:themeColor="text1"/>
                <w:szCs w:val="24"/>
                <w:highlight w:val="none"/>
              </w:rPr>
            </w:pPr>
          </w:p>
        </w:tc>
        <w:tc>
          <w:tcPr>
            <w:tcW w:w="770" w:type="dxa"/>
            <w:vAlign w:val="center"/>
          </w:tcPr>
          <w:p>
            <w:pPr>
              <w:pStyle w:val="10"/>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1" w:type="dxa"/>
            <w:vAlign w:val="center"/>
          </w:tcPr>
          <w:p>
            <w:pPr>
              <w:pStyle w:val="10"/>
              <w:snapToGrid w:val="0"/>
              <w:jc w:val="center"/>
              <w:rPr>
                <w:rFonts w:hAnsi="宋体"/>
                <w:bCs/>
                <w:color w:val="000000" w:themeColor="text1"/>
                <w:szCs w:val="24"/>
                <w:highlight w:val="none"/>
              </w:rPr>
            </w:pPr>
          </w:p>
        </w:tc>
        <w:tc>
          <w:tcPr>
            <w:tcW w:w="1524" w:type="dxa"/>
            <w:vAlign w:val="center"/>
          </w:tcPr>
          <w:p>
            <w:pPr>
              <w:pStyle w:val="10"/>
              <w:snapToGrid w:val="0"/>
              <w:jc w:val="center"/>
              <w:rPr>
                <w:rFonts w:hAnsi="宋体"/>
                <w:bCs/>
                <w:color w:val="000000" w:themeColor="text1"/>
                <w:szCs w:val="24"/>
                <w:highlight w:val="none"/>
              </w:rPr>
            </w:pPr>
          </w:p>
        </w:tc>
        <w:tc>
          <w:tcPr>
            <w:tcW w:w="1754" w:type="dxa"/>
            <w:vAlign w:val="center"/>
          </w:tcPr>
          <w:p>
            <w:pPr>
              <w:pStyle w:val="10"/>
              <w:snapToGrid w:val="0"/>
              <w:jc w:val="center"/>
              <w:rPr>
                <w:rFonts w:hAnsi="宋体"/>
                <w:bCs/>
                <w:color w:val="000000" w:themeColor="text1"/>
                <w:szCs w:val="24"/>
                <w:highlight w:val="none"/>
              </w:rPr>
            </w:pPr>
          </w:p>
        </w:tc>
        <w:tc>
          <w:tcPr>
            <w:tcW w:w="976" w:type="dxa"/>
            <w:vAlign w:val="center"/>
          </w:tcPr>
          <w:p>
            <w:pPr>
              <w:pStyle w:val="10"/>
              <w:snapToGrid w:val="0"/>
              <w:jc w:val="center"/>
              <w:rPr>
                <w:rFonts w:hAnsi="宋体"/>
                <w:bCs/>
                <w:color w:val="000000" w:themeColor="text1"/>
                <w:szCs w:val="24"/>
                <w:highlight w:val="none"/>
              </w:rPr>
            </w:pPr>
          </w:p>
        </w:tc>
        <w:tc>
          <w:tcPr>
            <w:tcW w:w="1098" w:type="dxa"/>
            <w:vAlign w:val="center"/>
          </w:tcPr>
          <w:p>
            <w:pPr>
              <w:pStyle w:val="10"/>
              <w:snapToGrid w:val="0"/>
              <w:jc w:val="center"/>
              <w:rPr>
                <w:rFonts w:hAnsi="宋体"/>
                <w:bCs/>
                <w:color w:val="000000" w:themeColor="text1"/>
                <w:szCs w:val="24"/>
                <w:highlight w:val="none"/>
              </w:rPr>
            </w:pPr>
          </w:p>
        </w:tc>
        <w:tc>
          <w:tcPr>
            <w:tcW w:w="1091" w:type="dxa"/>
            <w:vAlign w:val="center"/>
          </w:tcPr>
          <w:p>
            <w:pPr>
              <w:pStyle w:val="10"/>
              <w:snapToGrid w:val="0"/>
              <w:jc w:val="center"/>
              <w:rPr>
                <w:rFonts w:hAnsi="宋体"/>
                <w:bCs/>
                <w:color w:val="000000" w:themeColor="text1"/>
                <w:szCs w:val="24"/>
                <w:highlight w:val="none"/>
              </w:rPr>
            </w:pPr>
          </w:p>
        </w:tc>
        <w:tc>
          <w:tcPr>
            <w:tcW w:w="1091" w:type="dxa"/>
            <w:vAlign w:val="center"/>
          </w:tcPr>
          <w:p>
            <w:pPr>
              <w:pStyle w:val="10"/>
              <w:snapToGrid w:val="0"/>
              <w:jc w:val="center"/>
              <w:rPr>
                <w:rFonts w:hAnsi="宋体"/>
                <w:bCs/>
                <w:color w:val="000000" w:themeColor="text1"/>
                <w:szCs w:val="24"/>
                <w:highlight w:val="none"/>
              </w:rPr>
            </w:pPr>
          </w:p>
        </w:tc>
        <w:tc>
          <w:tcPr>
            <w:tcW w:w="1091" w:type="dxa"/>
            <w:vAlign w:val="center"/>
          </w:tcPr>
          <w:p>
            <w:pPr>
              <w:pStyle w:val="10"/>
              <w:snapToGrid w:val="0"/>
              <w:jc w:val="center"/>
              <w:rPr>
                <w:rFonts w:hAnsi="宋体"/>
                <w:bCs/>
                <w:color w:val="000000" w:themeColor="text1"/>
                <w:szCs w:val="24"/>
                <w:highlight w:val="none"/>
              </w:rPr>
            </w:pPr>
          </w:p>
        </w:tc>
        <w:tc>
          <w:tcPr>
            <w:tcW w:w="770" w:type="dxa"/>
            <w:vAlign w:val="center"/>
          </w:tcPr>
          <w:p>
            <w:pPr>
              <w:pStyle w:val="10"/>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1" w:type="dxa"/>
            <w:vAlign w:val="center"/>
          </w:tcPr>
          <w:p>
            <w:pPr>
              <w:pStyle w:val="10"/>
              <w:snapToGrid w:val="0"/>
              <w:jc w:val="center"/>
              <w:rPr>
                <w:rFonts w:hAnsi="宋体"/>
                <w:bCs/>
                <w:color w:val="000000" w:themeColor="text1"/>
                <w:szCs w:val="24"/>
                <w:highlight w:val="none"/>
              </w:rPr>
            </w:pPr>
          </w:p>
        </w:tc>
        <w:tc>
          <w:tcPr>
            <w:tcW w:w="1524" w:type="dxa"/>
            <w:vAlign w:val="center"/>
          </w:tcPr>
          <w:p>
            <w:pPr>
              <w:pStyle w:val="10"/>
              <w:snapToGrid w:val="0"/>
              <w:jc w:val="center"/>
              <w:rPr>
                <w:rFonts w:hAnsi="宋体"/>
                <w:bCs/>
                <w:color w:val="000000" w:themeColor="text1"/>
                <w:szCs w:val="24"/>
                <w:highlight w:val="none"/>
              </w:rPr>
            </w:pPr>
          </w:p>
        </w:tc>
        <w:tc>
          <w:tcPr>
            <w:tcW w:w="1754" w:type="dxa"/>
            <w:vAlign w:val="center"/>
          </w:tcPr>
          <w:p>
            <w:pPr>
              <w:pStyle w:val="10"/>
              <w:snapToGrid w:val="0"/>
              <w:jc w:val="center"/>
              <w:rPr>
                <w:rFonts w:hAnsi="宋体"/>
                <w:bCs/>
                <w:color w:val="000000" w:themeColor="text1"/>
                <w:szCs w:val="24"/>
                <w:highlight w:val="none"/>
              </w:rPr>
            </w:pPr>
          </w:p>
        </w:tc>
        <w:tc>
          <w:tcPr>
            <w:tcW w:w="976" w:type="dxa"/>
            <w:vAlign w:val="center"/>
          </w:tcPr>
          <w:p>
            <w:pPr>
              <w:pStyle w:val="10"/>
              <w:snapToGrid w:val="0"/>
              <w:jc w:val="center"/>
              <w:rPr>
                <w:rFonts w:hAnsi="宋体"/>
                <w:bCs/>
                <w:color w:val="000000" w:themeColor="text1"/>
                <w:szCs w:val="24"/>
                <w:highlight w:val="none"/>
              </w:rPr>
            </w:pPr>
          </w:p>
        </w:tc>
        <w:tc>
          <w:tcPr>
            <w:tcW w:w="1098" w:type="dxa"/>
            <w:vAlign w:val="center"/>
          </w:tcPr>
          <w:p>
            <w:pPr>
              <w:pStyle w:val="10"/>
              <w:snapToGrid w:val="0"/>
              <w:jc w:val="center"/>
              <w:rPr>
                <w:rFonts w:hAnsi="宋体"/>
                <w:bCs/>
                <w:color w:val="000000" w:themeColor="text1"/>
                <w:szCs w:val="24"/>
                <w:highlight w:val="none"/>
              </w:rPr>
            </w:pPr>
          </w:p>
        </w:tc>
        <w:tc>
          <w:tcPr>
            <w:tcW w:w="1091" w:type="dxa"/>
            <w:vAlign w:val="center"/>
          </w:tcPr>
          <w:p>
            <w:pPr>
              <w:pStyle w:val="10"/>
              <w:snapToGrid w:val="0"/>
              <w:jc w:val="center"/>
              <w:rPr>
                <w:rFonts w:hAnsi="宋体"/>
                <w:bCs/>
                <w:color w:val="000000" w:themeColor="text1"/>
                <w:szCs w:val="24"/>
                <w:highlight w:val="none"/>
              </w:rPr>
            </w:pPr>
          </w:p>
        </w:tc>
        <w:tc>
          <w:tcPr>
            <w:tcW w:w="1091" w:type="dxa"/>
            <w:vAlign w:val="center"/>
          </w:tcPr>
          <w:p>
            <w:pPr>
              <w:pStyle w:val="10"/>
              <w:snapToGrid w:val="0"/>
              <w:jc w:val="center"/>
              <w:rPr>
                <w:rFonts w:hAnsi="宋体"/>
                <w:bCs/>
                <w:color w:val="000000" w:themeColor="text1"/>
                <w:szCs w:val="24"/>
                <w:highlight w:val="none"/>
              </w:rPr>
            </w:pPr>
          </w:p>
        </w:tc>
        <w:tc>
          <w:tcPr>
            <w:tcW w:w="1091" w:type="dxa"/>
            <w:vAlign w:val="center"/>
          </w:tcPr>
          <w:p>
            <w:pPr>
              <w:pStyle w:val="10"/>
              <w:snapToGrid w:val="0"/>
              <w:jc w:val="center"/>
              <w:rPr>
                <w:rFonts w:hAnsi="宋体"/>
                <w:bCs/>
                <w:color w:val="000000" w:themeColor="text1"/>
                <w:szCs w:val="24"/>
                <w:highlight w:val="none"/>
              </w:rPr>
            </w:pPr>
          </w:p>
        </w:tc>
        <w:tc>
          <w:tcPr>
            <w:tcW w:w="770" w:type="dxa"/>
            <w:vAlign w:val="center"/>
          </w:tcPr>
          <w:p>
            <w:pPr>
              <w:pStyle w:val="10"/>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1" w:type="dxa"/>
            <w:vAlign w:val="center"/>
          </w:tcPr>
          <w:p>
            <w:pPr>
              <w:pStyle w:val="10"/>
              <w:snapToGrid w:val="0"/>
              <w:jc w:val="center"/>
              <w:rPr>
                <w:rFonts w:hAnsi="宋体"/>
                <w:bCs/>
                <w:color w:val="000000" w:themeColor="text1"/>
                <w:szCs w:val="24"/>
                <w:highlight w:val="none"/>
              </w:rPr>
            </w:pPr>
          </w:p>
        </w:tc>
        <w:tc>
          <w:tcPr>
            <w:tcW w:w="1524" w:type="dxa"/>
            <w:vAlign w:val="center"/>
          </w:tcPr>
          <w:p>
            <w:pPr>
              <w:pStyle w:val="10"/>
              <w:snapToGrid w:val="0"/>
              <w:jc w:val="center"/>
              <w:rPr>
                <w:rFonts w:hAnsi="宋体"/>
                <w:bCs/>
                <w:color w:val="000000" w:themeColor="text1"/>
                <w:szCs w:val="24"/>
                <w:highlight w:val="none"/>
              </w:rPr>
            </w:pPr>
          </w:p>
        </w:tc>
        <w:tc>
          <w:tcPr>
            <w:tcW w:w="1754" w:type="dxa"/>
            <w:vAlign w:val="center"/>
          </w:tcPr>
          <w:p>
            <w:pPr>
              <w:pStyle w:val="10"/>
              <w:snapToGrid w:val="0"/>
              <w:jc w:val="center"/>
              <w:rPr>
                <w:rFonts w:hAnsi="宋体"/>
                <w:bCs/>
                <w:color w:val="000000" w:themeColor="text1"/>
                <w:szCs w:val="24"/>
                <w:highlight w:val="none"/>
              </w:rPr>
            </w:pPr>
          </w:p>
        </w:tc>
        <w:tc>
          <w:tcPr>
            <w:tcW w:w="976" w:type="dxa"/>
            <w:vAlign w:val="center"/>
          </w:tcPr>
          <w:p>
            <w:pPr>
              <w:pStyle w:val="10"/>
              <w:snapToGrid w:val="0"/>
              <w:jc w:val="center"/>
              <w:rPr>
                <w:rFonts w:hAnsi="宋体"/>
                <w:bCs/>
                <w:color w:val="000000" w:themeColor="text1"/>
                <w:szCs w:val="24"/>
                <w:highlight w:val="none"/>
              </w:rPr>
            </w:pPr>
          </w:p>
        </w:tc>
        <w:tc>
          <w:tcPr>
            <w:tcW w:w="1098" w:type="dxa"/>
            <w:vAlign w:val="center"/>
          </w:tcPr>
          <w:p>
            <w:pPr>
              <w:pStyle w:val="10"/>
              <w:snapToGrid w:val="0"/>
              <w:jc w:val="center"/>
              <w:rPr>
                <w:rFonts w:hAnsi="宋体"/>
                <w:bCs/>
                <w:color w:val="000000" w:themeColor="text1"/>
                <w:szCs w:val="24"/>
                <w:highlight w:val="none"/>
              </w:rPr>
            </w:pPr>
          </w:p>
        </w:tc>
        <w:tc>
          <w:tcPr>
            <w:tcW w:w="1091" w:type="dxa"/>
            <w:vAlign w:val="center"/>
          </w:tcPr>
          <w:p>
            <w:pPr>
              <w:pStyle w:val="10"/>
              <w:snapToGrid w:val="0"/>
              <w:jc w:val="center"/>
              <w:rPr>
                <w:rFonts w:hAnsi="宋体"/>
                <w:bCs/>
                <w:color w:val="000000" w:themeColor="text1"/>
                <w:szCs w:val="24"/>
                <w:highlight w:val="none"/>
              </w:rPr>
            </w:pPr>
          </w:p>
        </w:tc>
        <w:tc>
          <w:tcPr>
            <w:tcW w:w="1091" w:type="dxa"/>
            <w:vAlign w:val="center"/>
          </w:tcPr>
          <w:p>
            <w:pPr>
              <w:pStyle w:val="10"/>
              <w:snapToGrid w:val="0"/>
              <w:jc w:val="center"/>
              <w:rPr>
                <w:rFonts w:hAnsi="宋体"/>
                <w:bCs/>
                <w:color w:val="000000" w:themeColor="text1"/>
                <w:szCs w:val="24"/>
                <w:highlight w:val="none"/>
              </w:rPr>
            </w:pPr>
          </w:p>
        </w:tc>
        <w:tc>
          <w:tcPr>
            <w:tcW w:w="1091" w:type="dxa"/>
            <w:vAlign w:val="center"/>
          </w:tcPr>
          <w:p>
            <w:pPr>
              <w:pStyle w:val="10"/>
              <w:snapToGrid w:val="0"/>
              <w:jc w:val="center"/>
              <w:rPr>
                <w:rFonts w:hAnsi="宋体"/>
                <w:bCs/>
                <w:color w:val="000000" w:themeColor="text1"/>
                <w:szCs w:val="24"/>
                <w:highlight w:val="none"/>
              </w:rPr>
            </w:pPr>
          </w:p>
        </w:tc>
        <w:tc>
          <w:tcPr>
            <w:tcW w:w="770" w:type="dxa"/>
            <w:vAlign w:val="center"/>
          </w:tcPr>
          <w:p>
            <w:pPr>
              <w:pStyle w:val="10"/>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1" w:type="dxa"/>
            <w:vAlign w:val="center"/>
          </w:tcPr>
          <w:p>
            <w:pPr>
              <w:pStyle w:val="10"/>
              <w:snapToGrid w:val="0"/>
              <w:jc w:val="center"/>
              <w:rPr>
                <w:rFonts w:hAnsi="宋体"/>
                <w:bCs/>
                <w:color w:val="000000" w:themeColor="text1"/>
                <w:szCs w:val="24"/>
                <w:highlight w:val="none"/>
              </w:rPr>
            </w:pPr>
          </w:p>
        </w:tc>
        <w:tc>
          <w:tcPr>
            <w:tcW w:w="1524" w:type="dxa"/>
            <w:vAlign w:val="center"/>
          </w:tcPr>
          <w:p>
            <w:pPr>
              <w:pStyle w:val="10"/>
              <w:snapToGrid w:val="0"/>
              <w:jc w:val="center"/>
              <w:rPr>
                <w:rFonts w:hAnsi="宋体"/>
                <w:bCs/>
                <w:color w:val="000000" w:themeColor="text1"/>
                <w:szCs w:val="24"/>
                <w:highlight w:val="none"/>
              </w:rPr>
            </w:pPr>
          </w:p>
        </w:tc>
        <w:tc>
          <w:tcPr>
            <w:tcW w:w="1754" w:type="dxa"/>
            <w:vAlign w:val="center"/>
          </w:tcPr>
          <w:p>
            <w:pPr>
              <w:pStyle w:val="10"/>
              <w:snapToGrid w:val="0"/>
              <w:jc w:val="center"/>
              <w:rPr>
                <w:rFonts w:hAnsi="宋体"/>
                <w:bCs/>
                <w:color w:val="000000" w:themeColor="text1"/>
                <w:szCs w:val="24"/>
                <w:highlight w:val="none"/>
              </w:rPr>
            </w:pPr>
          </w:p>
        </w:tc>
        <w:tc>
          <w:tcPr>
            <w:tcW w:w="976" w:type="dxa"/>
            <w:vAlign w:val="center"/>
          </w:tcPr>
          <w:p>
            <w:pPr>
              <w:pStyle w:val="10"/>
              <w:snapToGrid w:val="0"/>
              <w:jc w:val="center"/>
              <w:rPr>
                <w:rFonts w:hAnsi="宋体"/>
                <w:bCs/>
                <w:color w:val="000000" w:themeColor="text1"/>
                <w:szCs w:val="24"/>
                <w:highlight w:val="none"/>
              </w:rPr>
            </w:pPr>
          </w:p>
        </w:tc>
        <w:tc>
          <w:tcPr>
            <w:tcW w:w="1098" w:type="dxa"/>
            <w:vAlign w:val="center"/>
          </w:tcPr>
          <w:p>
            <w:pPr>
              <w:pStyle w:val="10"/>
              <w:snapToGrid w:val="0"/>
              <w:jc w:val="center"/>
              <w:rPr>
                <w:rFonts w:hAnsi="宋体"/>
                <w:bCs/>
                <w:color w:val="000000" w:themeColor="text1"/>
                <w:szCs w:val="24"/>
                <w:highlight w:val="none"/>
              </w:rPr>
            </w:pPr>
          </w:p>
        </w:tc>
        <w:tc>
          <w:tcPr>
            <w:tcW w:w="1091" w:type="dxa"/>
            <w:vAlign w:val="center"/>
          </w:tcPr>
          <w:p>
            <w:pPr>
              <w:pStyle w:val="10"/>
              <w:snapToGrid w:val="0"/>
              <w:jc w:val="center"/>
              <w:rPr>
                <w:rFonts w:hAnsi="宋体"/>
                <w:bCs/>
                <w:color w:val="000000" w:themeColor="text1"/>
                <w:szCs w:val="24"/>
                <w:highlight w:val="none"/>
              </w:rPr>
            </w:pPr>
          </w:p>
        </w:tc>
        <w:tc>
          <w:tcPr>
            <w:tcW w:w="1091" w:type="dxa"/>
            <w:vAlign w:val="center"/>
          </w:tcPr>
          <w:p>
            <w:pPr>
              <w:pStyle w:val="10"/>
              <w:snapToGrid w:val="0"/>
              <w:jc w:val="center"/>
              <w:rPr>
                <w:rFonts w:hAnsi="宋体"/>
                <w:bCs/>
                <w:color w:val="000000" w:themeColor="text1"/>
                <w:szCs w:val="24"/>
                <w:highlight w:val="none"/>
              </w:rPr>
            </w:pPr>
          </w:p>
        </w:tc>
        <w:tc>
          <w:tcPr>
            <w:tcW w:w="1091" w:type="dxa"/>
            <w:vAlign w:val="center"/>
          </w:tcPr>
          <w:p>
            <w:pPr>
              <w:pStyle w:val="10"/>
              <w:snapToGrid w:val="0"/>
              <w:jc w:val="center"/>
              <w:rPr>
                <w:rFonts w:hAnsi="宋体"/>
                <w:bCs/>
                <w:color w:val="000000" w:themeColor="text1"/>
                <w:szCs w:val="24"/>
                <w:highlight w:val="none"/>
              </w:rPr>
            </w:pPr>
          </w:p>
        </w:tc>
        <w:tc>
          <w:tcPr>
            <w:tcW w:w="770" w:type="dxa"/>
            <w:vAlign w:val="center"/>
          </w:tcPr>
          <w:p>
            <w:pPr>
              <w:pStyle w:val="10"/>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1" w:type="dxa"/>
            <w:vAlign w:val="center"/>
          </w:tcPr>
          <w:p>
            <w:pPr>
              <w:pStyle w:val="10"/>
              <w:snapToGrid w:val="0"/>
              <w:jc w:val="center"/>
              <w:rPr>
                <w:rFonts w:hAnsi="宋体"/>
                <w:bCs/>
                <w:color w:val="000000" w:themeColor="text1"/>
                <w:szCs w:val="24"/>
                <w:highlight w:val="none"/>
              </w:rPr>
            </w:pPr>
          </w:p>
        </w:tc>
        <w:tc>
          <w:tcPr>
            <w:tcW w:w="1524" w:type="dxa"/>
            <w:vAlign w:val="center"/>
          </w:tcPr>
          <w:p>
            <w:pPr>
              <w:pStyle w:val="10"/>
              <w:snapToGrid w:val="0"/>
              <w:jc w:val="center"/>
              <w:rPr>
                <w:rFonts w:hAnsi="宋体"/>
                <w:bCs/>
                <w:color w:val="000000" w:themeColor="text1"/>
                <w:szCs w:val="24"/>
                <w:highlight w:val="none"/>
              </w:rPr>
            </w:pPr>
          </w:p>
        </w:tc>
        <w:tc>
          <w:tcPr>
            <w:tcW w:w="1754" w:type="dxa"/>
            <w:vAlign w:val="center"/>
          </w:tcPr>
          <w:p>
            <w:pPr>
              <w:pStyle w:val="10"/>
              <w:snapToGrid w:val="0"/>
              <w:jc w:val="center"/>
              <w:rPr>
                <w:rFonts w:hAnsi="宋体"/>
                <w:bCs/>
                <w:color w:val="000000" w:themeColor="text1"/>
                <w:szCs w:val="24"/>
                <w:highlight w:val="none"/>
              </w:rPr>
            </w:pPr>
          </w:p>
        </w:tc>
        <w:tc>
          <w:tcPr>
            <w:tcW w:w="976" w:type="dxa"/>
            <w:vAlign w:val="center"/>
          </w:tcPr>
          <w:p>
            <w:pPr>
              <w:pStyle w:val="10"/>
              <w:snapToGrid w:val="0"/>
              <w:jc w:val="center"/>
              <w:rPr>
                <w:rFonts w:hAnsi="宋体"/>
                <w:bCs/>
                <w:color w:val="000000" w:themeColor="text1"/>
                <w:szCs w:val="24"/>
                <w:highlight w:val="none"/>
              </w:rPr>
            </w:pPr>
          </w:p>
        </w:tc>
        <w:tc>
          <w:tcPr>
            <w:tcW w:w="1098" w:type="dxa"/>
            <w:vAlign w:val="center"/>
          </w:tcPr>
          <w:p>
            <w:pPr>
              <w:pStyle w:val="10"/>
              <w:snapToGrid w:val="0"/>
              <w:jc w:val="center"/>
              <w:rPr>
                <w:rFonts w:hAnsi="宋体"/>
                <w:bCs/>
                <w:color w:val="000000" w:themeColor="text1"/>
                <w:szCs w:val="24"/>
                <w:highlight w:val="none"/>
              </w:rPr>
            </w:pPr>
          </w:p>
        </w:tc>
        <w:tc>
          <w:tcPr>
            <w:tcW w:w="1091" w:type="dxa"/>
            <w:vAlign w:val="center"/>
          </w:tcPr>
          <w:p>
            <w:pPr>
              <w:pStyle w:val="10"/>
              <w:snapToGrid w:val="0"/>
              <w:jc w:val="center"/>
              <w:rPr>
                <w:rFonts w:hAnsi="宋体"/>
                <w:bCs/>
                <w:color w:val="000000" w:themeColor="text1"/>
                <w:szCs w:val="24"/>
                <w:highlight w:val="none"/>
              </w:rPr>
            </w:pPr>
          </w:p>
        </w:tc>
        <w:tc>
          <w:tcPr>
            <w:tcW w:w="1091" w:type="dxa"/>
            <w:vAlign w:val="center"/>
          </w:tcPr>
          <w:p>
            <w:pPr>
              <w:pStyle w:val="10"/>
              <w:snapToGrid w:val="0"/>
              <w:jc w:val="center"/>
              <w:rPr>
                <w:rFonts w:hAnsi="宋体"/>
                <w:bCs/>
                <w:color w:val="000000" w:themeColor="text1"/>
                <w:szCs w:val="24"/>
                <w:highlight w:val="none"/>
              </w:rPr>
            </w:pPr>
          </w:p>
        </w:tc>
        <w:tc>
          <w:tcPr>
            <w:tcW w:w="1091" w:type="dxa"/>
            <w:vAlign w:val="center"/>
          </w:tcPr>
          <w:p>
            <w:pPr>
              <w:pStyle w:val="10"/>
              <w:snapToGrid w:val="0"/>
              <w:jc w:val="center"/>
              <w:rPr>
                <w:rFonts w:hAnsi="宋体"/>
                <w:bCs/>
                <w:color w:val="000000" w:themeColor="text1"/>
                <w:szCs w:val="24"/>
                <w:highlight w:val="none"/>
              </w:rPr>
            </w:pPr>
          </w:p>
        </w:tc>
        <w:tc>
          <w:tcPr>
            <w:tcW w:w="770" w:type="dxa"/>
            <w:vAlign w:val="center"/>
          </w:tcPr>
          <w:p>
            <w:pPr>
              <w:pStyle w:val="10"/>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1" w:type="dxa"/>
            <w:vAlign w:val="center"/>
          </w:tcPr>
          <w:p>
            <w:pPr>
              <w:pStyle w:val="10"/>
              <w:snapToGrid w:val="0"/>
              <w:jc w:val="center"/>
              <w:rPr>
                <w:rFonts w:hAnsi="宋体"/>
                <w:bCs/>
                <w:color w:val="000000" w:themeColor="text1"/>
                <w:szCs w:val="24"/>
                <w:highlight w:val="none"/>
              </w:rPr>
            </w:pPr>
          </w:p>
        </w:tc>
        <w:tc>
          <w:tcPr>
            <w:tcW w:w="1524" w:type="dxa"/>
            <w:vAlign w:val="center"/>
          </w:tcPr>
          <w:p>
            <w:pPr>
              <w:pStyle w:val="10"/>
              <w:snapToGrid w:val="0"/>
              <w:jc w:val="center"/>
              <w:rPr>
                <w:rFonts w:hAnsi="宋体"/>
                <w:bCs/>
                <w:color w:val="000000" w:themeColor="text1"/>
                <w:szCs w:val="24"/>
                <w:highlight w:val="none"/>
              </w:rPr>
            </w:pPr>
          </w:p>
        </w:tc>
        <w:tc>
          <w:tcPr>
            <w:tcW w:w="1754" w:type="dxa"/>
            <w:vAlign w:val="center"/>
          </w:tcPr>
          <w:p>
            <w:pPr>
              <w:pStyle w:val="10"/>
              <w:snapToGrid w:val="0"/>
              <w:jc w:val="center"/>
              <w:rPr>
                <w:rFonts w:hAnsi="宋体"/>
                <w:bCs/>
                <w:color w:val="000000" w:themeColor="text1"/>
                <w:szCs w:val="24"/>
                <w:highlight w:val="none"/>
              </w:rPr>
            </w:pPr>
          </w:p>
        </w:tc>
        <w:tc>
          <w:tcPr>
            <w:tcW w:w="976" w:type="dxa"/>
            <w:vAlign w:val="center"/>
          </w:tcPr>
          <w:p>
            <w:pPr>
              <w:pStyle w:val="10"/>
              <w:snapToGrid w:val="0"/>
              <w:jc w:val="center"/>
              <w:rPr>
                <w:rFonts w:hAnsi="宋体"/>
                <w:bCs/>
                <w:color w:val="000000" w:themeColor="text1"/>
                <w:szCs w:val="24"/>
                <w:highlight w:val="none"/>
              </w:rPr>
            </w:pPr>
          </w:p>
        </w:tc>
        <w:tc>
          <w:tcPr>
            <w:tcW w:w="1098" w:type="dxa"/>
            <w:vAlign w:val="center"/>
          </w:tcPr>
          <w:p>
            <w:pPr>
              <w:pStyle w:val="10"/>
              <w:snapToGrid w:val="0"/>
              <w:jc w:val="center"/>
              <w:rPr>
                <w:rFonts w:hAnsi="宋体"/>
                <w:bCs/>
                <w:color w:val="000000" w:themeColor="text1"/>
                <w:szCs w:val="24"/>
                <w:highlight w:val="none"/>
              </w:rPr>
            </w:pPr>
          </w:p>
        </w:tc>
        <w:tc>
          <w:tcPr>
            <w:tcW w:w="1091" w:type="dxa"/>
            <w:vAlign w:val="center"/>
          </w:tcPr>
          <w:p>
            <w:pPr>
              <w:pStyle w:val="10"/>
              <w:snapToGrid w:val="0"/>
              <w:jc w:val="center"/>
              <w:rPr>
                <w:rFonts w:hAnsi="宋体"/>
                <w:bCs/>
                <w:color w:val="000000" w:themeColor="text1"/>
                <w:szCs w:val="24"/>
                <w:highlight w:val="none"/>
              </w:rPr>
            </w:pPr>
          </w:p>
        </w:tc>
        <w:tc>
          <w:tcPr>
            <w:tcW w:w="1091" w:type="dxa"/>
            <w:vAlign w:val="center"/>
          </w:tcPr>
          <w:p>
            <w:pPr>
              <w:pStyle w:val="10"/>
              <w:snapToGrid w:val="0"/>
              <w:jc w:val="center"/>
              <w:rPr>
                <w:rFonts w:hAnsi="宋体"/>
                <w:bCs/>
                <w:color w:val="000000" w:themeColor="text1"/>
                <w:szCs w:val="24"/>
                <w:highlight w:val="none"/>
              </w:rPr>
            </w:pPr>
          </w:p>
        </w:tc>
        <w:tc>
          <w:tcPr>
            <w:tcW w:w="1091" w:type="dxa"/>
            <w:vAlign w:val="center"/>
          </w:tcPr>
          <w:p>
            <w:pPr>
              <w:pStyle w:val="10"/>
              <w:snapToGrid w:val="0"/>
              <w:jc w:val="center"/>
              <w:rPr>
                <w:rFonts w:hAnsi="宋体"/>
                <w:bCs/>
                <w:color w:val="000000" w:themeColor="text1"/>
                <w:szCs w:val="24"/>
                <w:highlight w:val="none"/>
              </w:rPr>
            </w:pPr>
          </w:p>
        </w:tc>
        <w:tc>
          <w:tcPr>
            <w:tcW w:w="770" w:type="dxa"/>
            <w:vAlign w:val="center"/>
          </w:tcPr>
          <w:p>
            <w:pPr>
              <w:pStyle w:val="10"/>
              <w:snapToGrid w:val="0"/>
              <w:jc w:val="center"/>
              <w:rPr>
                <w:rFonts w:hAnsi="宋体"/>
                <w:bCs/>
                <w:color w:val="000000" w:themeColor="text1"/>
                <w:szCs w:val="24"/>
                <w:highlight w:val="none"/>
              </w:rPr>
            </w:pPr>
          </w:p>
        </w:tc>
      </w:tr>
    </w:tbl>
    <w:p>
      <w:pPr>
        <w:pStyle w:val="10"/>
        <w:snapToGrid w:val="0"/>
        <w:spacing w:line="360" w:lineRule="auto"/>
        <w:ind w:firstLine="0"/>
        <w:rPr>
          <w:rFonts w:hAnsi="宋体"/>
          <w:bCs/>
          <w:color w:val="000000" w:themeColor="text1"/>
          <w:highlight w:val="none"/>
        </w:rPr>
      </w:pPr>
      <w:r>
        <w:rPr>
          <w:rFonts w:hint="eastAsia" w:hAnsi="宋体"/>
          <w:bCs/>
          <w:color w:val="000000" w:themeColor="text1"/>
          <w:highlight w:val="none"/>
        </w:rPr>
        <w:t>注：如本表格式内容不能满足需要，投标人可自行划表填写，但必须体现以上内容。</w:t>
      </w:r>
    </w:p>
    <w:p>
      <w:pPr>
        <w:pStyle w:val="10"/>
        <w:snapToGrid w:val="0"/>
        <w:spacing w:afterLines="50" w:line="360" w:lineRule="auto"/>
        <w:ind w:firstLineChars="200"/>
        <w:rPr>
          <w:rFonts w:hAnsi="宋体"/>
          <w:bCs/>
          <w:color w:val="000000" w:themeColor="text1"/>
          <w:highlight w:val="none"/>
        </w:rPr>
      </w:pPr>
    </w:p>
    <w:p>
      <w:pPr>
        <w:pStyle w:val="10"/>
        <w:snapToGrid w:val="0"/>
        <w:spacing w:afterLines="50" w:line="360" w:lineRule="auto"/>
        <w:ind w:firstLineChars="200"/>
        <w:rPr>
          <w:rFonts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供应商法定代表人或授权代理人（签字）：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供应商名称（加盖公章）：</w:t>
      </w:r>
      <w:r>
        <w:rPr>
          <w:rFonts w:hint="eastAsia" w:ascii="宋体" w:hAnsi="宋体"/>
          <w:bCs/>
          <w:color w:val="000000" w:themeColor="text1"/>
          <w:highlight w:val="none"/>
          <w:u w:val="single"/>
        </w:rPr>
        <w:t xml:space="preserve">                                       </w:t>
      </w:r>
      <w:r>
        <w:rPr>
          <w:rFonts w:ascii="宋体" w:hAnsi="宋体"/>
          <w:bCs/>
          <w:color w:val="000000" w:themeColor="text1"/>
          <w:highlight w:val="none"/>
        </w:rPr>
        <w:t xml:space="preserve"> </w:t>
      </w:r>
    </w:p>
    <w:p>
      <w:pPr>
        <w:adjustRightInd w:val="0"/>
        <w:snapToGrid w:val="0"/>
        <w:spacing w:line="360" w:lineRule="auto"/>
        <w:rPr>
          <w:rFonts w:ascii="宋体" w:hAnsi="宋体"/>
          <w:bCs/>
          <w:color w:val="000000" w:themeColor="text1"/>
          <w:highlight w:val="none"/>
        </w:rPr>
        <w:sectPr>
          <w:pgSz w:w="11906" w:h="16838"/>
          <w:pgMar w:top="1418" w:right="1474" w:bottom="1418" w:left="1474" w:header="851" w:footer="992" w:gutter="0"/>
          <w:cols w:space="720" w:num="1"/>
          <w:docGrid w:linePitch="312" w:charSpace="0"/>
        </w:sectPr>
      </w:pPr>
      <w:r>
        <w:rPr>
          <w:rFonts w:hint="eastAsia"/>
          <w:color w:val="000000" w:themeColor="text1"/>
          <w:highlight w:val="none"/>
        </w:rPr>
        <w:t>日期：</w:t>
      </w:r>
      <w:r>
        <w:rPr>
          <w:color w:val="000000" w:themeColor="text1"/>
          <w:highlight w:val="none"/>
          <w:u w:val="single"/>
        </w:rPr>
        <w:t xml:space="preserve">    </w:t>
      </w:r>
      <w:r>
        <w:rPr>
          <w:rFonts w:hint="eastAsia"/>
          <w:color w:val="000000" w:themeColor="text1"/>
          <w:highlight w:val="none"/>
          <w:u w:val="single"/>
        </w:rPr>
        <w:t xml:space="preserve">  </w:t>
      </w:r>
      <w:r>
        <w:rPr>
          <w:color w:val="000000" w:themeColor="text1"/>
          <w:highlight w:val="none"/>
          <w:u w:val="single"/>
        </w:rPr>
        <w:t xml:space="preserve"> </w:t>
      </w:r>
      <w:r>
        <w:rPr>
          <w:color w:val="000000" w:themeColor="text1"/>
          <w:highlight w:val="none"/>
        </w:rPr>
        <w:t xml:space="preserve"> </w:t>
      </w:r>
      <w:r>
        <w:rPr>
          <w:rFonts w:hint="eastAsia"/>
          <w:color w:val="000000" w:themeColor="text1"/>
          <w:highlight w:val="none"/>
        </w:rPr>
        <w:t>年</w:t>
      </w:r>
      <w:r>
        <w:rPr>
          <w:color w:val="000000" w:themeColor="text1"/>
          <w:highlight w:val="none"/>
          <w:u w:val="single"/>
        </w:rPr>
        <w:t xml:space="preserve">     </w:t>
      </w:r>
      <w:r>
        <w:rPr>
          <w:rFonts w:hint="eastAsia"/>
          <w:color w:val="000000" w:themeColor="text1"/>
          <w:highlight w:val="none"/>
        </w:rPr>
        <w:t>月</w:t>
      </w:r>
      <w:r>
        <w:rPr>
          <w:color w:val="000000" w:themeColor="text1"/>
          <w:highlight w:val="none"/>
        </w:rPr>
        <w:t xml:space="preserve"> </w:t>
      </w:r>
      <w:r>
        <w:rPr>
          <w:color w:val="000000" w:themeColor="text1"/>
          <w:highlight w:val="none"/>
          <w:u w:val="single"/>
        </w:rPr>
        <w:t xml:space="preserve">    </w:t>
      </w:r>
      <w:r>
        <w:rPr>
          <w:rFonts w:hint="eastAsia"/>
          <w:color w:val="000000" w:themeColor="text1"/>
          <w:highlight w:val="none"/>
        </w:rPr>
        <w:t>日</w:t>
      </w:r>
      <w:r>
        <w:rPr>
          <w:rFonts w:ascii="宋体" w:hAnsi="宋体"/>
          <w:bCs/>
          <w:color w:val="000000" w:themeColor="text1"/>
          <w:highlight w:val="none"/>
        </w:rPr>
        <w:t xml:space="preserve">   </w:t>
      </w:r>
    </w:p>
    <w:p>
      <w:pPr>
        <w:pStyle w:val="5"/>
        <w:numPr>
          <w:ilvl w:val="0"/>
          <w:numId w:val="0"/>
        </w:numPr>
        <w:jc w:val="center"/>
        <w:rPr>
          <w:color w:val="000000" w:themeColor="text1"/>
          <w:sz w:val="28"/>
          <w:szCs w:val="28"/>
          <w:highlight w:val="none"/>
        </w:rPr>
      </w:pPr>
      <w:bookmarkStart w:id="253" w:name="_Toc19052"/>
      <w:bookmarkStart w:id="254" w:name="_Toc200414535"/>
      <w:r>
        <w:rPr>
          <w:rFonts w:hint="eastAsia"/>
          <w:color w:val="000000" w:themeColor="text1"/>
          <w:sz w:val="28"/>
          <w:szCs w:val="28"/>
          <w:highlight w:val="none"/>
        </w:rPr>
        <w:t>附件九：谈判供应商提交的其他资料</w:t>
      </w:r>
      <w:bookmarkEnd w:id="253"/>
      <w:bookmarkEnd w:id="254"/>
    </w:p>
    <w:p>
      <w:pPr>
        <w:adjustRightInd w:val="0"/>
        <w:snapToGrid w:val="0"/>
        <w:spacing w:line="360" w:lineRule="auto"/>
        <w:jc w:val="left"/>
        <w:rPr>
          <w:rFonts w:ascii="宋体" w:hAnsi="宋体"/>
          <w:bCs/>
          <w:color w:val="000000" w:themeColor="text1"/>
          <w:szCs w:val="21"/>
          <w:highlight w:val="none"/>
        </w:rPr>
      </w:pPr>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YXCG-20220303</w:t>
      </w:r>
      <w:r>
        <w:rPr>
          <w:rFonts w:hint="eastAsia" w:ascii="宋体" w:hAnsi="宋体"/>
          <w:b/>
          <w:bCs/>
          <w:caps/>
          <w:color w:val="000000" w:themeColor="text1"/>
          <w:szCs w:val="21"/>
          <w:highlight w:val="none"/>
          <w:u w:val="single"/>
        </w:rPr>
        <w:t xml:space="preserve">  </w:t>
      </w:r>
    </w:p>
    <w:p>
      <w:pPr>
        <w:adjustRightInd w:val="0"/>
        <w:snapToGrid w:val="0"/>
        <w:spacing w:line="360" w:lineRule="auto"/>
        <w:jc w:val="left"/>
        <w:rPr>
          <w:rFonts w:hint="eastAsia" w:ascii="宋体" w:hAnsi="宋体" w:eastAsia="宋体"/>
          <w:bCs/>
          <w:color w:val="000000" w:themeColor="text1"/>
          <w:szCs w:val="21"/>
          <w:highlight w:val="none"/>
          <w:lang w:eastAsia="zh-CN"/>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中共阳西县委组织部干部人事档案管理信息系统建设及档案整理数字化项目</w:t>
      </w:r>
    </w:p>
    <w:p>
      <w:pPr>
        <w:adjustRightInd w:val="0"/>
        <w:snapToGrid w:val="0"/>
        <w:spacing w:line="360" w:lineRule="auto"/>
        <w:jc w:val="left"/>
        <w:rPr>
          <w:rFonts w:ascii="宋体" w:hAnsi="宋体"/>
          <w:bCs/>
          <w:color w:val="000000" w:themeColor="text1"/>
          <w:szCs w:val="21"/>
          <w:highlight w:val="none"/>
          <w:u w:val="single"/>
        </w:rPr>
      </w:pPr>
    </w:p>
    <w:p>
      <w:pPr>
        <w:pStyle w:val="10"/>
        <w:spacing w:line="360" w:lineRule="auto"/>
        <w:rPr>
          <w:color w:val="000000" w:themeColor="text1"/>
          <w:szCs w:val="21"/>
          <w:highlight w:val="none"/>
        </w:rPr>
      </w:pPr>
    </w:p>
    <w:p>
      <w:pPr>
        <w:pStyle w:val="10"/>
        <w:spacing w:line="360" w:lineRule="auto"/>
        <w:rPr>
          <w:rFonts w:hAnsi="宋体"/>
          <w:bCs/>
          <w:color w:val="000000" w:themeColor="text1"/>
          <w:szCs w:val="21"/>
          <w:highlight w:val="none"/>
        </w:rPr>
      </w:pPr>
      <w:r>
        <w:rPr>
          <w:rFonts w:hint="eastAsia" w:hAnsi="宋体"/>
          <w:bCs/>
          <w:color w:val="000000" w:themeColor="text1"/>
          <w:szCs w:val="21"/>
          <w:highlight w:val="none"/>
        </w:rPr>
        <w:t>本节无格式要求，供应商可根据自身实际情况以及谈判文件规定的“谈判采购项目要求”等进行编制。</w:t>
      </w:r>
    </w:p>
    <w:p>
      <w:pPr>
        <w:pStyle w:val="10"/>
        <w:spacing w:line="360" w:lineRule="auto"/>
        <w:rPr>
          <w:rFonts w:hAnsi="宋体"/>
          <w:bCs/>
          <w:color w:val="000000" w:themeColor="text1"/>
          <w:szCs w:val="21"/>
          <w:highlight w:val="none"/>
        </w:rPr>
      </w:pPr>
      <w:r>
        <w:rPr>
          <w:rFonts w:hint="eastAsia" w:hAnsi="宋体"/>
          <w:bCs/>
          <w:color w:val="000000" w:themeColor="text1"/>
          <w:szCs w:val="21"/>
          <w:highlight w:val="none"/>
        </w:rPr>
        <w:t>一、</w:t>
      </w:r>
    </w:p>
    <w:p>
      <w:pPr>
        <w:pStyle w:val="10"/>
        <w:spacing w:line="360" w:lineRule="auto"/>
        <w:rPr>
          <w:rFonts w:hAnsi="宋体"/>
          <w:bCs/>
          <w:color w:val="000000" w:themeColor="text1"/>
          <w:szCs w:val="21"/>
          <w:highlight w:val="none"/>
        </w:rPr>
      </w:pPr>
      <w:r>
        <w:rPr>
          <w:rFonts w:hint="eastAsia" w:hAnsi="宋体"/>
          <w:bCs/>
          <w:color w:val="000000" w:themeColor="text1"/>
          <w:szCs w:val="21"/>
          <w:highlight w:val="none"/>
        </w:rPr>
        <w:t>二、</w:t>
      </w:r>
    </w:p>
    <w:p>
      <w:pPr>
        <w:pStyle w:val="10"/>
        <w:spacing w:line="360" w:lineRule="auto"/>
        <w:rPr>
          <w:rFonts w:hAnsi="宋体"/>
          <w:bCs/>
          <w:color w:val="000000" w:themeColor="text1"/>
          <w:szCs w:val="21"/>
          <w:highlight w:val="none"/>
        </w:rPr>
      </w:pPr>
      <w:r>
        <w:rPr>
          <w:rFonts w:hint="eastAsia" w:hAnsi="宋体"/>
          <w:bCs/>
          <w:color w:val="000000" w:themeColor="text1"/>
          <w:szCs w:val="21"/>
          <w:highlight w:val="none"/>
        </w:rPr>
        <w:t>三、</w:t>
      </w:r>
      <w:r>
        <w:rPr>
          <w:rFonts w:hAnsi="宋体"/>
          <w:bCs/>
          <w:color w:val="000000" w:themeColor="text1"/>
          <w:szCs w:val="21"/>
          <w:highlight w:val="none"/>
        </w:rPr>
        <w:t>...</w:t>
      </w:r>
    </w:p>
    <w:p>
      <w:pPr>
        <w:pStyle w:val="10"/>
        <w:spacing w:line="360" w:lineRule="auto"/>
        <w:rPr>
          <w:rFonts w:hAnsi="宋体"/>
          <w:bCs/>
          <w:color w:val="000000" w:themeColor="text1"/>
          <w:szCs w:val="21"/>
          <w:highlight w:val="none"/>
        </w:rPr>
      </w:pPr>
      <w:r>
        <w:rPr>
          <w:rFonts w:hint="eastAsia" w:hAnsi="宋体"/>
          <w:bCs/>
          <w:color w:val="000000" w:themeColor="text1"/>
          <w:szCs w:val="21"/>
          <w:highlight w:val="none"/>
        </w:rPr>
        <w:t>四、</w:t>
      </w:r>
      <w:r>
        <w:rPr>
          <w:rFonts w:hAnsi="宋体"/>
          <w:bCs/>
          <w:color w:val="000000" w:themeColor="text1"/>
          <w:szCs w:val="21"/>
          <w:highlight w:val="none"/>
        </w:rPr>
        <w:t>...</w:t>
      </w: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供应商法定代表人或授权代理人（签字）：</w:t>
      </w:r>
      <w:r>
        <w:rPr>
          <w:rFonts w:hint="eastAsia" w:ascii="宋体" w:hAnsi="宋体"/>
          <w:bCs/>
          <w:color w:val="000000" w:themeColor="text1"/>
          <w:szCs w:val="21"/>
          <w:highlight w:val="none"/>
          <w:u w:val="single"/>
        </w:rPr>
        <w:t xml:space="preserve">                            </w:t>
      </w:r>
    </w:p>
    <w:p>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pStyle w:val="10"/>
        <w:spacing w:line="360" w:lineRule="auto"/>
        <w:rPr>
          <w:color w:val="000000" w:themeColor="text1"/>
          <w:szCs w:val="21"/>
          <w:highlight w:val="none"/>
        </w:rPr>
      </w:pPr>
    </w:p>
    <w:p>
      <w:pPr>
        <w:adjustRightInd w:val="0"/>
        <w:snapToGrid w:val="0"/>
        <w:spacing w:line="440" w:lineRule="exact"/>
        <w:rPr>
          <w:color w:val="000000" w:themeColor="text1"/>
          <w:szCs w:val="21"/>
          <w:highlight w:val="none"/>
        </w:rPr>
      </w:pPr>
      <w:r>
        <w:rPr>
          <w:rFonts w:hint="eastAsia"/>
          <w:color w:val="000000" w:themeColor="text1"/>
          <w:szCs w:val="21"/>
          <w:highlight w:val="none"/>
        </w:rPr>
        <w:t>（供应商认为本节无须提交的，应当注明“本节空白”字样）。</w:t>
      </w:r>
    </w:p>
    <w:p>
      <w:pPr>
        <w:pStyle w:val="10"/>
        <w:spacing w:line="460" w:lineRule="exact"/>
        <w:rPr>
          <w:color w:val="000000" w:themeColor="text1"/>
          <w:highlight w:val="none"/>
        </w:rPr>
      </w:pPr>
    </w:p>
    <w:p>
      <w:pPr>
        <w:pStyle w:val="10"/>
        <w:spacing w:line="460" w:lineRule="exact"/>
        <w:rPr>
          <w:color w:val="000000" w:themeColor="text1"/>
          <w:highlight w:val="none"/>
        </w:rPr>
      </w:pPr>
    </w:p>
    <w:p>
      <w:pPr>
        <w:pStyle w:val="10"/>
        <w:spacing w:line="460" w:lineRule="exact"/>
        <w:rPr>
          <w:color w:val="000000" w:themeColor="text1"/>
          <w:highlight w:val="none"/>
        </w:rPr>
      </w:pPr>
    </w:p>
    <w:p>
      <w:pPr>
        <w:pStyle w:val="10"/>
        <w:spacing w:line="460" w:lineRule="exact"/>
        <w:rPr>
          <w:color w:val="000000" w:themeColor="text1"/>
          <w:highlight w:val="none"/>
        </w:rPr>
      </w:pPr>
    </w:p>
    <w:p>
      <w:pPr>
        <w:pStyle w:val="10"/>
        <w:spacing w:line="460" w:lineRule="exact"/>
        <w:rPr>
          <w:color w:val="000000" w:themeColor="text1"/>
          <w:highlight w:val="none"/>
        </w:rPr>
      </w:pPr>
    </w:p>
    <w:p>
      <w:pPr>
        <w:pStyle w:val="10"/>
        <w:spacing w:line="460" w:lineRule="exact"/>
        <w:rPr>
          <w:color w:val="000000" w:themeColor="text1"/>
          <w:highlight w:val="none"/>
        </w:rPr>
      </w:pPr>
    </w:p>
    <w:p>
      <w:pPr>
        <w:pStyle w:val="10"/>
        <w:spacing w:line="460" w:lineRule="exact"/>
        <w:rPr>
          <w:color w:val="000000" w:themeColor="text1"/>
          <w:highlight w:val="none"/>
        </w:rPr>
      </w:pPr>
    </w:p>
    <w:p>
      <w:pPr>
        <w:pStyle w:val="10"/>
        <w:spacing w:line="460" w:lineRule="exact"/>
        <w:rPr>
          <w:color w:val="000000" w:themeColor="text1"/>
          <w:highlight w:val="none"/>
        </w:rPr>
      </w:pPr>
    </w:p>
    <w:p>
      <w:pPr>
        <w:pStyle w:val="10"/>
        <w:spacing w:line="460" w:lineRule="exact"/>
        <w:rPr>
          <w:color w:val="000000" w:themeColor="text1"/>
          <w:highlight w:val="none"/>
        </w:rPr>
      </w:pPr>
    </w:p>
    <w:p>
      <w:pPr>
        <w:pStyle w:val="10"/>
        <w:spacing w:line="460" w:lineRule="exact"/>
        <w:rPr>
          <w:color w:val="000000" w:themeColor="text1"/>
          <w:highlight w:val="none"/>
        </w:rPr>
      </w:pPr>
    </w:p>
    <w:p>
      <w:pPr>
        <w:pStyle w:val="10"/>
        <w:spacing w:line="460" w:lineRule="exact"/>
        <w:rPr>
          <w:color w:val="000000" w:themeColor="text1"/>
          <w:highlight w:val="none"/>
        </w:rPr>
      </w:pPr>
    </w:p>
    <w:p>
      <w:pPr>
        <w:pStyle w:val="10"/>
        <w:spacing w:line="460" w:lineRule="exact"/>
        <w:rPr>
          <w:color w:val="000000" w:themeColor="text1"/>
          <w:highlight w:val="none"/>
        </w:rPr>
      </w:pPr>
    </w:p>
    <w:p>
      <w:pPr>
        <w:pStyle w:val="10"/>
        <w:spacing w:line="460" w:lineRule="exact"/>
        <w:rPr>
          <w:color w:val="000000" w:themeColor="text1"/>
          <w:highlight w:val="none"/>
        </w:rPr>
      </w:pPr>
    </w:p>
    <w:p>
      <w:pPr>
        <w:pStyle w:val="10"/>
        <w:spacing w:line="460" w:lineRule="exact"/>
        <w:rPr>
          <w:color w:val="000000" w:themeColor="text1"/>
          <w:highlight w:val="none"/>
        </w:rPr>
      </w:pPr>
    </w:p>
    <w:p>
      <w:pPr>
        <w:pStyle w:val="10"/>
        <w:spacing w:line="460" w:lineRule="exact"/>
        <w:rPr>
          <w:color w:val="000000" w:themeColor="text1"/>
          <w:highlight w:val="none"/>
        </w:rPr>
      </w:pPr>
    </w:p>
    <w:p>
      <w:pPr>
        <w:pStyle w:val="10"/>
        <w:spacing w:line="460" w:lineRule="exact"/>
        <w:rPr>
          <w:color w:val="000000" w:themeColor="text1"/>
          <w:highlight w:val="none"/>
        </w:rPr>
      </w:pPr>
    </w:p>
    <w:p>
      <w:pPr>
        <w:pStyle w:val="10"/>
        <w:spacing w:line="460" w:lineRule="exact"/>
        <w:rPr>
          <w:color w:val="000000" w:themeColor="text1"/>
          <w:highlight w:val="none"/>
        </w:rPr>
      </w:pPr>
    </w:p>
    <w:p>
      <w:pPr>
        <w:pStyle w:val="10"/>
        <w:spacing w:line="460" w:lineRule="exact"/>
        <w:rPr>
          <w:color w:val="000000" w:themeColor="text1"/>
          <w:highlight w:val="none"/>
        </w:rPr>
      </w:pPr>
    </w:p>
    <w:p>
      <w:pPr>
        <w:pStyle w:val="10"/>
        <w:spacing w:line="460" w:lineRule="exact"/>
        <w:rPr>
          <w:color w:val="000000" w:themeColor="text1"/>
          <w:highlight w:val="none"/>
        </w:rPr>
      </w:pPr>
    </w:p>
    <w:p>
      <w:pPr>
        <w:pStyle w:val="10"/>
        <w:spacing w:line="460" w:lineRule="exact"/>
        <w:rPr>
          <w:color w:val="000000" w:themeColor="text1"/>
          <w:highlight w:val="none"/>
        </w:rPr>
      </w:pPr>
    </w:p>
    <w:p>
      <w:pPr>
        <w:pStyle w:val="5"/>
        <w:numPr>
          <w:ilvl w:val="0"/>
          <w:numId w:val="0"/>
        </w:numPr>
        <w:spacing w:line="360" w:lineRule="auto"/>
        <w:jc w:val="center"/>
        <w:rPr>
          <w:color w:val="000000" w:themeColor="text1"/>
          <w:sz w:val="52"/>
          <w:highlight w:val="none"/>
        </w:rPr>
      </w:pPr>
      <w:bookmarkStart w:id="255" w:name="_Toc20452"/>
      <w:bookmarkStart w:id="256" w:name="_Toc459822893"/>
      <w:r>
        <w:rPr>
          <w:rFonts w:hint="eastAsia"/>
          <w:color w:val="000000" w:themeColor="text1"/>
          <w:sz w:val="52"/>
          <w:highlight w:val="none"/>
        </w:rPr>
        <w:t>其 他 格 式</w:t>
      </w:r>
      <w:bookmarkEnd w:id="255"/>
      <w:bookmarkEnd w:id="256"/>
    </w:p>
    <w:p>
      <w:pPr>
        <w:spacing w:line="360" w:lineRule="auto"/>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b/>
          <w:color w:val="000000" w:themeColor="text1"/>
          <w:highlight w:val="none"/>
        </w:rPr>
      </w:pPr>
    </w:p>
    <w:p>
      <w:pPr>
        <w:pStyle w:val="6"/>
        <w:tabs>
          <w:tab w:val="left" w:pos="142"/>
        </w:tabs>
        <w:spacing w:afterLines="50" w:line="360" w:lineRule="auto"/>
        <w:jc w:val="center"/>
        <w:rPr>
          <w:color w:val="000000" w:themeColor="text1"/>
          <w:sz w:val="28"/>
          <w:highlight w:val="none"/>
        </w:rPr>
      </w:pPr>
      <w:bookmarkStart w:id="257" w:name="_Toc18771"/>
      <w:bookmarkStart w:id="258" w:name="_Toc459822894"/>
      <w:r>
        <w:rPr>
          <w:rFonts w:hint="eastAsia"/>
          <w:color w:val="000000" w:themeColor="text1"/>
          <w:sz w:val="28"/>
          <w:highlight w:val="none"/>
        </w:rPr>
        <w:t>投标保证金退付书</w:t>
      </w:r>
      <w:bookmarkEnd w:id="257"/>
      <w:bookmarkEnd w:id="258"/>
    </w:p>
    <w:p>
      <w:pPr>
        <w:spacing w:line="360" w:lineRule="auto"/>
        <w:rPr>
          <w:rFonts w:ascii="宋体" w:hAnsi="宋体"/>
          <w:b/>
          <w:color w:val="000000" w:themeColor="text1"/>
          <w:highlight w:val="none"/>
        </w:rPr>
      </w:pPr>
      <w:r>
        <w:rPr>
          <w:rFonts w:hint="eastAsia" w:ascii="宋体" w:hAnsi="宋体"/>
          <w:b/>
          <w:color w:val="000000" w:themeColor="text1"/>
          <w:highlight w:val="none"/>
        </w:rPr>
        <w:t>致：广东业信采购招标有限公司</w:t>
      </w: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本公司为本项目的投标已提交了足额投标保证金，请贵司在符合退还条件时请代划入下列账户：</w:t>
      </w:r>
    </w:p>
    <w:tbl>
      <w:tblPr>
        <w:tblStyle w:val="45"/>
        <w:tblpPr w:leftFromText="180" w:rightFromText="180" w:vertAnchor="text" w:tblpY="1"/>
        <w:tblOverlap w:val="never"/>
        <w:tblW w:w="93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3287" w:type="dxa"/>
            <w:gridSpan w:val="2"/>
            <w:vAlign w:val="center"/>
          </w:tcPr>
          <w:p>
            <w:pPr>
              <w:spacing w:line="360" w:lineRule="auto"/>
              <w:ind w:right="206" w:rightChars="98"/>
              <w:jc w:val="center"/>
              <w:rPr>
                <w:rStyle w:val="135"/>
                <w:rFonts w:ascii="宋体" w:hAnsi="宋体" w:eastAsia="宋体" w:cs="宋体"/>
                <w:b/>
                <w:color w:val="000000" w:themeColor="text1"/>
                <w:spacing w:val="10"/>
                <w:sz w:val="21"/>
                <w:szCs w:val="21"/>
                <w:highlight w:val="none"/>
                <w:lang w:val="zh-CN"/>
              </w:rPr>
            </w:pPr>
            <w:r>
              <w:rPr>
                <w:rStyle w:val="135"/>
                <w:rFonts w:hint="eastAsia" w:ascii="宋体" w:hAnsi="宋体" w:eastAsia="宋体" w:cs="宋体"/>
                <w:b/>
                <w:color w:val="000000" w:themeColor="text1"/>
                <w:spacing w:val="10"/>
                <w:sz w:val="21"/>
                <w:szCs w:val="21"/>
                <w:highlight w:val="none"/>
                <w:lang w:val="zh-CN"/>
              </w:rPr>
              <w:t>项目名称</w:t>
            </w:r>
          </w:p>
        </w:tc>
        <w:tc>
          <w:tcPr>
            <w:tcW w:w="6095" w:type="dxa"/>
            <w:gridSpan w:val="3"/>
          </w:tcPr>
          <w:p>
            <w:pPr>
              <w:spacing w:line="360" w:lineRule="auto"/>
              <w:ind w:right="206" w:rightChars="98"/>
              <w:rPr>
                <w:rStyle w:val="135"/>
                <w:rFonts w:hint="eastAsia" w:ascii="宋体" w:hAnsi="宋体" w:eastAsia="宋体" w:cs="宋体"/>
                <w:color w:val="000000" w:themeColor="text1"/>
                <w:spacing w:val="10"/>
                <w:sz w:val="21"/>
                <w:szCs w:val="21"/>
                <w:highlight w:val="none"/>
                <w:lang w:val="zh-CN" w:eastAsia="zh-CN"/>
              </w:rPr>
            </w:pPr>
            <w:r>
              <w:rPr>
                <w:rFonts w:hint="eastAsia" w:ascii="宋体" w:hAnsi="宋体" w:cs="宋体"/>
                <w:b/>
                <w:bCs/>
                <w:color w:val="000000" w:themeColor="text1"/>
                <w:szCs w:val="21"/>
                <w:highlight w:val="none"/>
                <w:u w:val="single"/>
                <w:lang w:eastAsia="zh-CN"/>
              </w:rPr>
              <w:t>中共阳西县委组织部干部人事档案管理信息系统建设及档案整理数字化项目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3287" w:type="dxa"/>
            <w:gridSpan w:val="2"/>
            <w:vAlign w:val="center"/>
          </w:tcPr>
          <w:p>
            <w:pPr>
              <w:spacing w:line="360" w:lineRule="auto"/>
              <w:ind w:right="206" w:rightChars="98"/>
              <w:jc w:val="center"/>
              <w:rPr>
                <w:rStyle w:val="135"/>
                <w:rFonts w:ascii="宋体" w:hAnsi="宋体" w:eastAsia="宋体" w:cs="宋体"/>
                <w:b/>
                <w:color w:val="000000" w:themeColor="text1"/>
                <w:spacing w:val="10"/>
                <w:sz w:val="21"/>
                <w:szCs w:val="21"/>
                <w:highlight w:val="none"/>
                <w:lang w:val="zh-CN"/>
              </w:rPr>
            </w:pPr>
            <w:r>
              <w:rPr>
                <w:rStyle w:val="135"/>
                <w:rFonts w:hint="eastAsia" w:ascii="宋体" w:hAnsi="宋体" w:eastAsia="宋体" w:cs="宋体"/>
                <w:b/>
                <w:color w:val="000000" w:themeColor="text1"/>
                <w:spacing w:val="10"/>
                <w:sz w:val="21"/>
                <w:szCs w:val="21"/>
                <w:highlight w:val="none"/>
                <w:lang w:val="zh-CN"/>
              </w:rPr>
              <w:t>项目编号</w:t>
            </w:r>
          </w:p>
        </w:tc>
        <w:tc>
          <w:tcPr>
            <w:tcW w:w="6095" w:type="dxa"/>
            <w:gridSpan w:val="3"/>
          </w:tcPr>
          <w:p>
            <w:pPr>
              <w:spacing w:line="360" w:lineRule="auto"/>
              <w:ind w:right="206" w:rightChars="98"/>
              <w:rPr>
                <w:rStyle w:val="135"/>
                <w:rFonts w:ascii="宋体" w:hAnsi="宋体" w:eastAsia="宋体" w:cs="宋体"/>
                <w:color w:val="000000" w:themeColor="text1"/>
                <w:spacing w:val="10"/>
                <w:sz w:val="21"/>
                <w:szCs w:val="21"/>
                <w:highlight w:val="none"/>
                <w:lang w:val="zh-CN"/>
              </w:rPr>
            </w:pPr>
            <w:r>
              <w:rPr>
                <w:rStyle w:val="135"/>
                <w:rFonts w:hint="eastAsia" w:ascii="宋体" w:hAnsi="宋体" w:cs="宋体"/>
                <w:color w:val="000000" w:themeColor="text1"/>
                <w:spacing w:val="10"/>
                <w:sz w:val="21"/>
                <w:szCs w:val="21"/>
                <w:highlight w:val="none"/>
                <w:lang w:val="zh-CN"/>
              </w:rPr>
              <w:t>YXCG-20220303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451" w:type="dxa"/>
            <w:vMerge w:val="restart"/>
            <w:vAlign w:val="center"/>
          </w:tcPr>
          <w:p>
            <w:pPr>
              <w:spacing w:line="360" w:lineRule="auto"/>
              <w:ind w:right="206" w:rightChars="98"/>
              <w:jc w:val="center"/>
              <w:rPr>
                <w:rStyle w:val="135"/>
                <w:rFonts w:ascii="宋体" w:hAnsi="宋体" w:eastAsia="宋体" w:cs="宋体"/>
                <w:b/>
                <w:color w:val="000000" w:themeColor="text1"/>
                <w:spacing w:val="10"/>
                <w:sz w:val="21"/>
                <w:szCs w:val="21"/>
                <w:highlight w:val="none"/>
                <w:lang w:val="zh-CN"/>
              </w:rPr>
            </w:pPr>
            <w:r>
              <w:rPr>
                <w:rStyle w:val="135"/>
                <w:rFonts w:hint="eastAsia" w:ascii="宋体" w:hAnsi="宋体" w:eastAsia="宋体" w:cs="宋体"/>
                <w:b/>
                <w:color w:val="000000" w:themeColor="text1"/>
                <w:spacing w:val="10"/>
                <w:sz w:val="21"/>
                <w:szCs w:val="21"/>
                <w:highlight w:val="none"/>
                <w:lang w:val="zh-CN"/>
              </w:rPr>
              <w:t>收款单位</w:t>
            </w:r>
          </w:p>
        </w:tc>
        <w:tc>
          <w:tcPr>
            <w:tcW w:w="2836" w:type="dxa"/>
          </w:tcPr>
          <w:p>
            <w:pPr>
              <w:spacing w:line="360" w:lineRule="auto"/>
              <w:ind w:right="206" w:rightChars="98"/>
              <w:jc w:val="center"/>
              <w:rPr>
                <w:rStyle w:val="135"/>
                <w:rFonts w:ascii="宋体" w:hAnsi="宋体" w:eastAsia="宋体" w:cs="宋体"/>
                <w:b/>
                <w:color w:val="000000" w:themeColor="text1"/>
                <w:spacing w:val="10"/>
                <w:sz w:val="21"/>
                <w:szCs w:val="21"/>
                <w:highlight w:val="none"/>
                <w:lang w:val="zh-CN"/>
              </w:rPr>
            </w:pPr>
            <w:r>
              <w:rPr>
                <w:rStyle w:val="135"/>
                <w:rFonts w:hint="eastAsia" w:ascii="宋体" w:hAnsi="宋体" w:eastAsia="宋体" w:cs="宋体"/>
                <w:b/>
                <w:color w:val="000000" w:themeColor="text1"/>
                <w:spacing w:val="10"/>
                <w:sz w:val="21"/>
                <w:szCs w:val="21"/>
                <w:highlight w:val="none"/>
                <w:lang w:val="zh-CN"/>
              </w:rPr>
              <w:t>收款单位名称</w:t>
            </w:r>
          </w:p>
        </w:tc>
        <w:tc>
          <w:tcPr>
            <w:tcW w:w="6095" w:type="dxa"/>
            <w:gridSpan w:val="3"/>
          </w:tcPr>
          <w:p>
            <w:pPr>
              <w:spacing w:line="360" w:lineRule="auto"/>
              <w:ind w:right="206" w:rightChars="98"/>
              <w:jc w:val="center"/>
              <w:rPr>
                <w:rStyle w:val="135"/>
                <w:rFonts w:ascii="宋体" w:hAnsi="宋体" w:eastAsia="宋体" w:cs="宋体"/>
                <w:color w:val="000000" w:themeColor="text1"/>
                <w:spacing w:val="10"/>
                <w:sz w:val="21"/>
                <w:szCs w:val="21"/>
                <w:highlight w:val="none"/>
                <w:u w:val="single"/>
                <w:lang w:val="zh-CN"/>
              </w:rPr>
            </w:pPr>
            <w:r>
              <w:rPr>
                <w:rStyle w:val="135"/>
                <w:rFonts w:hint="eastAsia" w:ascii="宋体" w:hAnsi="宋体" w:eastAsia="宋体" w:cs="宋体"/>
                <w:color w:val="000000" w:themeColor="text1"/>
                <w:spacing w:val="10"/>
                <w:sz w:val="21"/>
                <w:szCs w:val="21"/>
                <w:highlight w:val="none"/>
                <w:u w:val="single"/>
                <w:lang w:val="zh-CN"/>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451" w:type="dxa"/>
            <w:vMerge w:val="continue"/>
          </w:tcPr>
          <w:p>
            <w:pPr>
              <w:spacing w:line="360" w:lineRule="auto"/>
              <w:ind w:right="206" w:rightChars="98"/>
              <w:rPr>
                <w:rStyle w:val="135"/>
                <w:rFonts w:ascii="宋体" w:hAnsi="宋体" w:eastAsia="宋体" w:cs="宋体"/>
                <w:color w:val="000000" w:themeColor="text1"/>
                <w:spacing w:val="10"/>
                <w:sz w:val="21"/>
                <w:szCs w:val="21"/>
                <w:highlight w:val="none"/>
                <w:lang w:val="zh-CN"/>
              </w:rPr>
            </w:pPr>
          </w:p>
        </w:tc>
        <w:tc>
          <w:tcPr>
            <w:tcW w:w="2836" w:type="dxa"/>
          </w:tcPr>
          <w:p>
            <w:pPr>
              <w:spacing w:line="360" w:lineRule="auto"/>
              <w:ind w:right="206" w:rightChars="98"/>
              <w:jc w:val="center"/>
              <w:rPr>
                <w:rStyle w:val="135"/>
                <w:rFonts w:ascii="宋体" w:hAnsi="宋体" w:eastAsia="宋体" w:cs="宋体"/>
                <w:b/>
                <w:color w:val="000000" w:themeColor="text1"/>
                <w:spacing w:val="10"/>
                <w:sz w:val="21"/>
                <w:szCs w:val="21"/>
                <w:highlight w:val="none"/>
                <w:lang w:val="zh-CN"/>
              </w:rPr>
            </w:pPr>
            <w:r>
              <w:rPr>
                <w:rStyle w:val="135"/>
                <w:rFonts w:hint="eastAsia" w:ascii="宋体" w:hAnsi="宋体" w:eastAsia="宋体" w:cs="宋体"/>
                <w:b/>
                <w:color w:val="000000" w:themeColor="text1"/>
                <w:spacing w:val="10"/>
                <w:sz w:val="21"/>
                <w:szCs w:val="21"/>
                <w:highlight w:val="none"/>
                <w:lang w:val="zh-CN"/>
              </w:rPr>
              <w:t>收款单位地址</w:t>
            </w:r>
          </w:p>
        </w:tc>
        <w:tc>
          <w:tcPr>
            <w:tcW w:w="6095" w:type="dxa"/>
            <w:gridSpan w:val="3"/>
          </w:tcPr>
          <w:p>
            <w:pPr>
              <w:spacing w:line="360" w:lineRule="auto"/>
              <w:ind w:right="206" w:rightChars="98"/>
              <w:jc w:val="center"/>
              <w:rPr>
                <w:rStyle w:val="135"/>
                <w:rFonts w:ascii="宋体" w:hAnsi="宋体" w:eastAsia="宋体" w:cs="宋体"/>
                <w:color w:val="000000" w:themeColor="text1"/>
                <w:spacing w:val="10"/>
                <w:sz w:val="21"/>
                <w:szCs w:val="21"/>
                <w:highlight w:val="none"/>
                <w:lang w:val="zh-CN"/>
              </w:rPr>
            </w:pPr>
            <w:r>
              <w:rPr>
                <w:rStyle w:val="135"/>
                <w:rFonts w:hint="eastAsia" w:ascii="宋体" w:hAnsi="宋体" w:eastAsia="宋体" w:cs="宋体"/>
                <w:color w:val="000000" w:themeColor="text1"/>
                <w:spacing w:val="10"/>
                <w:sz w:val="21"/>
                <w:szCs w:val="21"/>
                <w:highlight w:val="none"/>
                <w:u w:val="single"/>
                <w:lang w:val="zh-CN"/>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451" w:type="dxa"/>
            <w:vMerge w:val="continue"/>
          </w:tcPr>
          <w:p>
            <w:pPr>
              <w:spacing w:line="360" w:lineRule="auto"/>
              <w:ind w:right="206" w:rightChars="98"/>
              <w:rPr>
                <w:rStyle w:val="135"/>
                <w:rFonts w:ascii="宋体" w:hAnsi="宋体" w:eastAsia="宋体" w:cs="宋体"/>
                <w:color w:val="000000" w:themeColor="text1"/>
                <w:spacing w:val="10"/>
                <w:sz w:val="21"/>
                <w:szCs w:val="21"/>
                <w:highlight w:val="none"/>
                <w:lang w:val="zh-CN"/>
              </w:rPr>
            </w:pPr>
          </w:p>
        </w:tc>
        <w:tc>
          <w:tcPr>
            <w:tcW w:w="2836" w:type="dxa"/>
            <w:vAlign w:val="center"/>
          </w:tcPr>
          <w:p>
            <w:pPr>
              <w:spacing w:line="360" w:lineRule="auto"/>
              <w:ind w:right="206" w:rightChars="98"/>
              <w:jc w:val="center"/>
              <w:rPr>
                <w:rStyle w:val="135"/>
                <w:rFonts w:ascii="宋体" w:hAnsi="宋体" w:eastAsia="宋体" w:cs="宋体"/>
                <w:b/>
                <w:color w:val="000000" w:themeColor="text1"/>
                <w:spacing w:val="10"/>
                <w:sz w:val="21"/>
                <w:szCs w:val="21"/>
                <w:highlight w:val="none"/>
                <w:lang w:val="zh-CN"/>
              </w:rPr>
            </w:pPr>
            <w:r>
              <w:rPr>
                <w:rStyle w:val="135"/>
                <w:rFonts w:hint="eastAsia" w:ascii="宋体" w:hAnsi="宋体" w:eastAsia="宋体" w:cs="宋体"/>
                <w:b/>
                <w:color w:val="000000" w:themeColor="text1"/>
                <w:spacing w:val="10"/>
                <w:sz w:val="21"/>
                <w:szCs w:val="21"/>
                <w:highlight w:val="none"/>
                <w:lang w:val="zh-CN"/>
              </w:rPr>
              <w:t>开户银行</w:t>
            </w:r>
            <w:r>
              <w:rPr>
                <w:rStyle w:val="135"/>
                <w:rFonts w:hint="eastAsia" w:ascii="宋体" w:hAnsi="宋体" w:eastAsia="宋体" w:cs="宋体"/>
                <w:color w:val="000000" w:themeColor="text1"/>
                <w:spacing w:val="10"/>
                <w:sz w:val="21"/>
                <w:szCs w:val="21"/>
                <w:highlight w:val="none"/>
                <w:lang w:val="zh-CN"/>
              </w:rPr>
              <w:t>（含汇入地点）</w:t>
            </w:r>
          </w:p>
        </w:tc>
        <w:tc>
          <w:tcPr>
            <w:tcW w:w="6095" w:type="dxa"/>
            <w:gridSpan w:val="3"/>
            <w:vAlign w:val="center"/>
          </w:tcPr>
          <w:p>
            <w:pPr>
              <w:spacing w:line="360" w:lineRule="auto"/>
              <w:ind w:right="206" w:rightChars="98" w:firstLine="460" w:firstLineChars="200"/>
              <w:rPr>
                <w:rStyle w:val="135"/>
                <w:rFonts w:ascii="宋体" w:hAnsi="宋体" w:eastAsia="宋体" w:cs="宋体"/>
                <w:color w:val="000000" w:themeColor="text1"/>
                <w:spacing w:val="10"/>
                <w:sz w:val="21"/>
                <w:szCs w:val="21"/>
                <w:highlight w:val="none"/>
                <w:lang w:val="zh-CN"/>
              </w:rPr>
            </w:pPr>
            <w:r>
              <w:rPr>
                <w:rStyle w:val="135"/>
                <w:rFonts w:hint="eastAsia" w:ascii="宋体" w:hAnsi="宋体" w:eastAsia="宋体" w:cs="宋体"/>
                <w:color w:val="000000" w:themeColor="text1"/>
                <w:spacing w:val="10"/>
                <w:sz w:val="21"/>
                <w:szCs w:val="21"/>
                <w:highlight w:val="none"/>
                <w:lang w:val="zh-CN"/>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451" w:type="dxa"/>
            <w:vMerge w:val="continue"/>
          </w:tcPr>
          <w:p>
            <w:pPr>
              <w:spacing w:line="360" w:lineRule="auto"/>
              <w:ind w:right="206" w:rightChars="98"/>
              <w:rPr>
                <w:rStyle w:val="135"/>
                <w:rFonts w:ascii="宋体" w:hAnsi="宋体" w:eastAsia="宋体" w:cs="宋体"/>
                <w:color w:val="000000" w:themeColor="text1"/>
                <w:spacing w:val="10"/>
                <w:sz w:val="21"/>
                <w:szCs w:val="21"/>
                <w:highlight w:val="none"/>
                <w:lang w:val="zh-CN"/>
              </w:rPr>
            </w:pPr>
          </w:p>
        </w:tc>
        <w:tc>
          <w:tcPr>
            <w:tcW w:w="2836" w:type="dxa"/>
            <w:vAlign w:val="center"/>
          </w:tcPr>
          <w:p>
            <w:pPr>
              <w:spacing w:line="360" w:lineRule="auto"/>
              <w:ind w:right="206" w:rightChars="98"/>
              <w:jc w:val="center"/>
              <w:rPr>
                <w:rStyle w:val="135"/>
                <w:rFonts w:ascii="宋体" w:hAnsi="宋体" w:eastAsia="宋体" w:cs="宋体"/>
                <w:b/>
                <w:color w:val="000000" w:themeColor="text1"/>
                <w:spacing w:val="10"/>
                <w:sz w:val="21"/>
                <w:szCs w:val="21"/>
                <w:highlight w:val="none"/>
                <w:lang w:val="zh-CN"/>
              </w:rPr>
            </w:pPr>
            <w:r>
              <w:rPr>
                <w:rStyle w:val="135"/>
                <w:rFonts w:hint="eastAsia" w:ascii="宋体" w:hAnsi="宋体" w:eastAsia="宋体" w:cs="宋体"/>
                <w:b/>
                <w:color w:val="000000" w:themeColor="text1"/>
                <w:spacing w:val="10"/>
                <w:sz w:val="21"/>
                <w:szCs w:val="21"/>
                <w:highlight w:val="none"/>
                <w:lang w:val="zh-CN"/>
              </w:rPr>
              <w:t>银行账号</w:t>
            </w:r>
          </w:p>
        </w:tc>
        <w:tc>
          <w:tcPr>
            <w:tcW w:w="6095" w:type="dxa"/>
            <w:gridSpan w:val="3"/>
          </w:tcPr>
          <w:p>
            <w:pPr>
              <w:spacing w:line="360" w:lineRule="auto"/>
              <w:ind w:right="206" w:rightChars="98"/>
              <w:jc w:val="center"/>
              <w:rPr>
                <w:rStyle w:val="135"/>
                <w:rFonts w:ascii="宋体" w:hAnsi="宋体" w:eastAsia="宋体" w:cs="宋体"/>
                <w:color w:val="000000" w:themeColor="text1"/>
                <w:spacing w:val="10"/>
                <w:sz w:val="21"/>
                <w:szCs w:val="21"/>
                <w:highlight w:val="none"/>
                <w:u w:val="single"/>
                <w:lang w:val="zh-CN"/>
              </w:rPr>
            </w:pPr>
            <w:r>
              <w:rPr>
                <w:rStyle w:val="135"/>
                <w:rFonts w:hint="eastAsia" w:ascii="宋体" w:hAnsi="宋体" w:eastAsia="宋体" w:cs="宋体"/>
                <w:color w:val="000000" w:themeColor="text1"/>
                <w:spacing w:val="10"/>
                <w:sz w:val="21"/>
                <w:szCs w:val="21"/>
                <w:highlight w:val="none"/>
                <w:u w:val="single"/>
                <w:lang w:val="zh-CN"/>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451" w:type="dxa"/>
            <w:vMerge w:val="continue"/>
          </w:tcPr>
          <w:p>
            <w:pPr>
              <w:spacing w:line="360" w:lineRule="auto"/>
              <w:ind w:right="206" w:rightChars="98"/>
              <w:rPr>
                <w:rStyle w:val="135"/>
                <w:rFonts w:ascii="宋体" w:hAnsi="宋体" w:eastAsia="宋体" w:cs="宋体"/>
                <w:color w:val="000000" w:themeColor="text1"/>
                <w:spacing w:val="10"/>
                <w:sz w:val="21"/>
                <w:szCs w:val="21"/>
                <w:highlight w:val="none"/>
                <w:lang w:val="zh-CN"/>
              </w:rPr>
            </w:pPr>
          </w:p>
        </w:tc>
        <w:tc>
          <w:tcPr>
            <w:tcW w:w="2836" w:type="dxa"/>
            <w:vAlign w:val="center"/>
          </w:tcPr>
          <w:p>
            <w:pPr>
              <w:spacing w:line="360" w:lineRule="auto"/>
              <w:ind w:right="206" w:rightChars="98"/>
              <w:jc w:val="center"/>
              <w:rPr>
                <w:rStyle w:val="135"/>
                <w:rFonts w:ascii="宋体" w:hAnsi="宋体" w:eastAsia="宋体" w:cs="宋体"/>
                <w:b/>
                <w:color w:val="000000" w:themeColor="text1"/>
                <w:spacing w:val="10"/>
                <w:sz w:val="21"/>
                <w:szCs w:val="21"/>
                <w:highlight w:val="none"/>
                <w:lang w:val="zh-CN"/>
              </w:rPr>
            </w:pPr>
            <w:r>
              <w:rPr>
                <w:rStyle w:val="135"/>
                <w:rFonts w:hint="eastAsia" w:ascii="宋体" w:hAnsi="宋体" w:eastAsia="宋体" w:cs="宋体"/>
                <w:b/>
                <w:color w:val="000000" w:themeColor="text1"/>
                <w:spacing w:val="10"/>
                <w:sz w:val="21"/>
                <w:szCs w:val="21"/>
                <w:highlight w:val="none"/>
                <w:lang w:val="zh-CN"/>
              </w:rPr>
              <w:t>总金额（投标保证金）</w:t>
            </w:r>
          </w:p>
        </w:tc>
        <w:tc>
          <w:tcPr>
            <w:tcW w:w="6095" w:type="dxa"/>
            <w:gridSpan w:val="3"/>
            <w:vAlign w:val="center"/>
          </w:tcPr>
          <w:p>
            <w:pPr>
              <w:spacing w:line="360" w:lineRule="auto"/>
              <w:ind w:right="206" w:rightChars="98"/>
              <w:jc w:val="center"/>
              <w:rPr>
                <w:rStyle w:val="135"/>
                <w:rFonts w:ascii="宋体" w:hAnsi="宋体" w:eastAsia="宋体" w:cs="宋体"/>
                <w:color w:val="000000" w:themeColor="text1"/>
                <w:spacing w:val="10"/>
                <w:sz w:val="21"/>
                <w:szCs w:val="21"/>
                <w:highlight w:val="none"/>
                <w:lang w:val="zh-CN"/>
              </w:rPr>
            </w:pPr>
            <w:r>
              <w:rPr>
                <w:rFonts w:hint="eastAsia" w:ascii="宋体" w:hAnsi="宋体" w:cs="宋体"/>
                <w:color w:val="000000" w:themeColor="text1"/>
                <w:szCs w:val="21"/>
                <w:highlight w:val="none"/>
                <w:shd w:val="clear" w:color="auto" w:fill="FFFFFF"/>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451" w:type="dxa"/>
            <w:vMerge w:val="continue"/>
          </w:tcPr>
          <w:p>
            <w:pPr>
              <w:spacing w:line="360" w:lineRule="auto"/>
              <w:ind w:right="206" w:rightChars="98"/>
              <w:rPr>
                <w:rStyle w:val="135"/>
                <w:rFonts w:ascii="宋体" w:hAnsi="宋体" w:eastAsia="宋体" w:cs="宋体"/>
                <w:color w:val="000000" w:themeColor="text1"/>
                <w:spacing w:val="10"/>
                <w:sz w:val="21"/>
                <w:szCs w:val="21"/>
                <w:highlight w:val="none"/>
                <w:lang w:val="zh-CN"/>
              </w:rPr>
            </w:pPr>
          </w:p>
        </w:tc>
        <w:tc>
          <w:tcPr>
            <w:tcW w:w="2836" w:type="dxa"/>
            <w:vMerge w:val="restart"/>
            <w:vAlign w:val="center"/>
          </w:tcPr>
          <w:p>
            <w:pPr>
              <w:spacing w:line="360" w:lineRule="auto"/>
              <w:ind w:right="206" w:rightChars="98"/>
              <w:jc w:val="center"/>
              <w:rPr>
                <w:rStyle w:val="135"/>
                <w:rFonts w:ascii="宋体" w:hAnsi="宋体" w:eastAsia="宋体" w:cs="宋体"/>
                <w:b/>
                <w:color w:val="000000" w:themeColor="text1"/>
                <w:spacing w:val="10"/>
                <w:sz w:val="21"/>
                <w:szCs w:val="21"/>
                <w:highlight w:val="none"/>
                <w:lang w:val="zh-CN"/>
              </w:rPr>
            </w:pPr>
            <w:r>
              <w:rPr>
                <w:rStyle w:val="135"/>
                <w:rFonts w:hint="eastAsia" w:ascii="宋体" w:hAnsi="宋体" w:eastAsia="宋体" w:cs="宋体"/>
                <w:b/>
                <w:color w:val="000000" w:themeColor="text1"/>
                <w:spacing w:val="10"/>
                <w:sz w:val="21"/>
                <w:szCs w:val="21"/>
                <w:highlight w:val="none"/>
                <w:lang w:val="zh-CN"/>
              </w:rPr>
              <w:t>财务联系人</w:t>
            </w:r>
          </w:p>
        </w:tc>
        <w:tc>
          <w:tcPr>
            <w:tcW w:w="1498" w:type="dxa"/>
            <w:vMerge w:val="restart"/>
            <w:vAlign w:val="center"/>
          </w:tcPr>
          <w:p>
            <w:pPr>
              <w:spacing w:line="360" w:lineRule="auto"/>
              <w:ind w:right="206" w:rightChars="98"/>
              <w:rPr>
                <w:rStyle w:val="135"/>
                <w:rFonts w:ascii="宋体" w:hAnsi="宋体" w:eastAsia="宋体" w:cs="宋体"/>
                <w:color w:val="000000" w:themeColor="text1"/>
                <w:spacing w:val="10"/>
                <w:sz w:val="21"/>
                <w:szCs w:val="21"/>
                <w:highlight w:val="none"/>
                <w:lang w:val="zh-CN"/>
              </w:rPr>
            </w:pPr>
          </w:p>
        </w:tc>
        <w:tc>
          <w:tcPr>
            <w:tcW w:w="1481" w:type="dxa"/>
            <w:vAlign w:val="center"/>
          </w:tcPr>
          <w:p>
            <w:pPr>
              <w:spacing w:line="360" w:lineRule="auto"/>
              <w:ind w:right="206" w:rightChars="98"/>
              <w:jc w:val="center"/>
              <w:rPr>
                <w:rStyle w:val="135"/>
                <w:rFonts w:ascii="宋体" w:hAnsi="宋体" w:eastAsia="宋体" w:cs="宋体"/>
                <w:color w:val="000000" w:themeColor="text1"/>
                <w:spacing w:val="10"/>
                <w:sz w:val="21"/>
                <w:szCs w:val="21"/>
                <w:highlight w:val="none"/>
                <w:lang w:val="zh-CN"/>
              </w:rPr>
            </w:pPr>
            <w:r>
              <w:rPr>
                <w:rStyle w:val="135"/>
                <w:rFonts w:hint="eastAsia" w:ascii="宋体" w:hAnsi="宋体" w:eastAsia="宋体" w:cs="宋体"/>
                <w:color w:val="000000" w:themeColor="text1"/>
                <w:spacing w:val="10"/>
                <w:sz w:val="21"/>
                <w:szCs w:val="21"/>
                <w:highlight w:val="none"/>
                <w:lang w:val="zh-CN"/>
              </w:rPr>
              <w:t>联系电话</w:t>
            </w:r>
          </w:p>
        </w:tc>
        <w:tc>
          <w:tcPr>
            <w:tcW w:w="3116" w:type="dxa"/>
            <w:vAlign w:val="center"/>
          </w:tcPr>
          <w:p>
            <w:pPr>
              <w:spacing w:line="360" w:lineRule="auto"/>
              <w:ind w:right="206" w:rightChars="98"/>
              <w:rPr>
                <w:rStyle w:val="135"/>
                <w:rFonts w:ascii="宋体" w:hAnsi="宋体" w:eastAsia="宋体" w:cs="宋体"/>
                <w:color w:val="000000" w:themeColor="text1"/>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51" w:type="dxa"/>
            <w:vMerge w:val="continue"/>
          </w:tcPr>
          <w:p>
            <w:pPr>
              <w:spacing w:line="360" w:lineRule="auto"/>
              <w:ind w:right="206" w:rightChars="98"/>
              <w:rPr>
                <w:rStyle w:val="135"/>
                <w:rFonts w:ascii="宋体" w:hAnsi="宋体" w:eastAsia="宋体" w:cs="宋体"/>
                <w:color w:val="000000" w:themeColor="text1"/>
                <w:spacing w:val="10"/>
                <w:sz w:val="21"/>
                <w:szCs w:val="21"/>
                <w:highlight w:val="none"/>
                <w:lang w:val="zh-CN"/>
              </w:rPr>
            </w:pPr>
          </w:p>
        </w:tc>
        <w:tc>
          <w:tcPr>
            <w:tcW w:w="2836" w:type="dxa"/>
            <w:vMerge w:val="continue"/>
          </w:tcPr>
          <w:p>
            <w:pPr>
              <w:spacing w:line="360" w:lineRule="auto"/>
              <w:ind w:right="206" w:rightChars="98"/>
              <w:jc w:val="center"/>
              <w:rPr>
                <w:rStyle w:val="135"/>
                <w:rFonts w:ascii="宋体" w:hAnsi="宋体" w:eastAsia="宋体" w:cs="宋体"/>
                <w:b/>
                <w:color w:val="000000" w:themeColor="text1"/>
                <w:spacing w:val="10"/>
                <w:sz w:val="21"/>
                <w:szCs w:val="21"/>
                <w:highlight w:val="none"/>
                <w:lang w:val="zh-CN"/>
              </w:rPr>
            </w:pPr>
          </w:p>
        </w:tc>
        <w:tc>
          <w:tcPr>
            <w:tcW w:w="1498" w:type="dxa"/>
            <w:vMerge w:val="continue"/>
            <w:vAlign w:val="center"/>
          </w:tcPr>
          <w:p>
            <w:pPr>
              <w:spacing w:line="360" w:lineRule="auto"/>
              <w:ind w:right="206" w:rightChars="98"/>
              <w:rPr>
                <w:rStyle w:val="135"/>
                <w:rFonts w:ascii="宋体" w:hAnsi="宋体" w:eastAsia="宋体" w:cs="宋体"/>
                <w:color w:val="000000" w:themeColor="text1"/>
                <w:spacing w:val="10"/>
                <w:sz w:val="21"/>
                <w:szCs w:val="21"/>
                <w:highlight w:val="none"/>
                <w:lang w:val="zh-CN"/>
              </w:rPr>
            </w:pPr>
          </w:p>
        </w:tc>
        <w:tc>
          <w:tcPr>
            <w:tcW w:w="1481" w:type="dxa"/>
            <w:vAlign w:val="center"/>
          </w:tcPr>
          <w:p>
            <w:pPr>
              <w:spacing w:line="360" w:lineRule="auto"/>
              <w:ind w:right="206" w:rightChars="98"/>
              <w:jc w:val="center"/>
              <w:rPr>
                <w:rStyle w:val="135"/>
                <w:rFonts w:ascii="宋体" w:hAnsi="宋体" w:eastAsia="宋体" w:cs="宋体"/>
                <w:color w:val="000000" w:themeColor="text1"/>
                <w:spacing w:val="10"/>
                <w:sz w:val="21"/>
                <w:szCs w:val="21"/>
                <w:highlight w:val="none"/>
                <w:lang w:val="zh-CN"/>
              </w:rPr>
            </w:pPr>
            <w:r>
              <w:rPr>
                <w:rStyle w:val="135"/>
                <w:rFonts w:hint="eastAsia" w:ascii="宋体" w:hAnsi="宋体" w:eastAsia="宋体" w:cs="宋体"/>
                <w:color w:val="000000" w:themeColor="text1"/>
                <w:spacing w:val="10"/>
                <w:sz w:val="21"/>
                <w:szCs w:val="21"/>
                <w:highlight w:val="none"/>
                <w:lang w:val="zh-CN"/>
              </w:rPr>
              <w:t>传真</w:t>
            </w:r>
          </w:p>
        </w:tc>
        <w:tc>
          <w:tcPr>
            <w:tcW w:w="3116" w:type="dxa"/>
            <w:vAlign w:val="center"/>
          </w:tcPr>
          <w:p>
            <w:pPr>
              <w:spacing w:line="360" w:lineRule="auto"/>
              <w:ind w:right="206" w:rightChars="98"/>
              <w:rPr>
                <w:rStyle w:val="135"/>
                <w:rFonts w:ascii="宋体" w:hAnsi="宋体" w:eastAsia="宋体" w:cs="宋体"/>
                <w:color w:val="000000" w:themeColor="text1"/>
                <w:spacing w:val="10"/>
                <w:sz w:val="21"/>
                <w:szCs w:val="21"/>
                <w:highlight w:val="none"/>
                <w:lang w:val="zh-CN"/>
              </w:rPr>
            </w:pPr>
          </w:p>
        </w:tc>
      </w:tr>
    </w:tbl>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注：保证金退还账户必须为对公账户。</w:t>
      </w:r>
    </w:p>
    <w:tbl>
      <w:tblPr>
        <w:tblStyle w:val="45"/>
        <w:tblpPr w:leftFromText="180" w:rightFromText="180" w:vertAnchor="text" w:tblpY="1"/>
        <w:tblOverlap w:val="never"/>
        <w:tblW w:w="9391" w:type="dxa"/>
        <w:tblInd w:w="0" w:type="dxa"/>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391"/>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trPr>
        <w:tc>
          <w:tcPr>
            <w:tcW w:w="9391" w:type="dxa"/>
            <w:shd w:val="clear" w:color="auto" w:fill="auto"/>
            <w:vAlign w:val="center"/>
          </w:tcPr>
          <w:p>
            <w:pPr>
              <w:spacing w:line="360" w:lineRule="auto"/>
              <w:jc w:val="center"/>
              <w:rPr>
                <w:rFonts w:ascii="宋体" w:hAnsi="宋体"/>
                <w:b/>
                <w:color w:val="000000" w:themeColor="text1"/>
                <w:szCs w:val="21"/>
                <w:highlight w:val="none"/>
              </w:rPr>
            </w:pPr>
            <w:r>
              <w:rPr>
                <w:rFonts w:hint="eastAsia" w:ascii="宋体" w:hAnsi="宋体"/>
                <w:b/>
                <w:color w:val="000000" w:themeColor="text1"/>
                <w:szCs w:val="21"/>
                <w:highlight w:val="none"/>
              </w:rPr>
              <w:t>投标保证金银行汇款单复印件</w:t>
            </w:r>
          </w:p>
          <w:p>
            <w:pPr>
              <w:spacing w:line="360" w:lineRule="auto"/>
              <w:jc w:val="center"/>
              <w:rPr>
                <w:rFonts w:ascii="宋体" w:hAnsi="宋体"/>
                <w:b/>
                <w:color w:val="000000" w:themeColor="text1"/>
                <w:szCs w:val="21"/>
                <w:highlight w:val="none"/>
              </w:rPr>
            </w:pPr>
            <w:r>
              <w:rPr>
                <w:rFonts w:hint="eastAsia" w:ascii="宋体" w:hAnsi="宋体"/>
                <w:b/>
                <w:color w:val="000000" w:themeColor="text1"/>
                <w:szCs w:val="21"/>
                <w:highlight w:val="none"/>
              </w:rPr>
              <w:t>（请投标投标人在此处贴上）</w:t>
            </w:r>
          </w:p>
        </w:tc>
      </w:tr>
    </w:tbl>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投标人：</w:t>
      </w:r>
      <w:r>
        <w:rPr>
          <w:rFonts w:hint="eastAsia" w:ascii="宋体" w:hAnsi="宋体"/>
          <w:color w:val="000000" w:themeColor="text1"/>
          <w:szCs w:val="21"/>
          <w:highlight w:val="none"/>
          <w:u w:val="single"/>
        </w:rPr>
        <w:t xml:space="preserve">         （公司名称）          </w:t>
      </w:r>
      <w:r>
        <w:rPr>
          <w:rFonts w:hint="eastAsia" w:ascii="宋体" w:hAnsi="宋体"/>
          <w:color w:val="000000" w:themeColor="text1"/>
          <w:szCs w:val="21"/>
          <w:highlight w:val="none"/>
        </w:rPr>
        <w:t>（盖公章）</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pStyle w:val="10"/>
        <w:spacing w:line="460" w:lineRule="exact"/>
        <w:ind w:firstLine="0"/>
        <w:rPr>
          <w:rFonts w:ascii="宋体" w:hAnsi="宋体"/>
          <w:b/>
          <w:color w:val="000000" w:themeColor="text1"/>
          <w:szCs w:val="21"/>
          <w:highlight w:val="none"/>
        </w:rPr>
        <w:sectPr>
          <w:headerReference r:id="rId13" w:type="default"/>
          <w:pgSz w:w="11906" w:h="16838"/>
          <w:pgMar w:top="1440" w:right="849" w:bottom="1440" w:left="1418" w:header="851" w:footer="992" w:gutter="0"/>
          <w:cols w:space="720" w:num="1"/>
          <w:docGrid w:type="lines" w:linePitch="312" w:charSpace="0"/>
        </w:sectPr>
      </w:pPr>
      <w:r>
        <w:rPr>
          <w:rFonts w:hint="eastAsia" w:ascii="宋体" w:hAnsi="宋体"/>
          <w:b/>
          <w:color w:val="000000" w:themeColor="text1"/>
          <w:szCs w:val="21"/>
          <w:highlight w:val="none"/>
        </w:rPr>
        <w:t>注：本退付书原件须放入唱标信封内，勿装订在投标文件内。</w:t>
      </w:r>
    </w:p>
    <w:p>
      <w:pPr>
        <w:jc w:val="center"/>
        <w:rPr>
          <w:b/>
          <w:bCs/>
          <w:color w:val="000000" w:themeColor="text1"/>
          <w:szCs w:val="21"/>
          <w:highlight w:val="none"/>
        </w:rPr>
      </w:pPr>
      <w:r>
        <w:rPr>
          <w:rFonts w:hint="eastAsia"/>
          <w:b/>
          <w:bCs/>
          <w:color w:val="000000" w:themeColor="text1"/>
          <w:sz w:val="44"/>
          <w:szCs w:val="44"/>
          <w:highlight w:val="none"/>
        </w:rPr>
        <w:t>购买标书登记表</w:t>
      </w:r>
    </w:p>
    <w:p>
      <w:pPr>
        <w:jc w:val="center"/>
        <w:rPr>
          <w:color w:val="000000" w:themeColor="text1"/>
          <w:szCs w:val="21"/>
          <w:highlight w:val="none"/>
        </w:rPr>
      </w:pPr>
    </w:p>
    <w:tbl>
      <w:tblPr>
        <w:tblStyle w:val="45"/>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项目名称</w:t>
            </w:r>
          </w:p>
        </w:tc>
        <w:tc>
          <w:tcPr>
            <w:tcW w:w="6775" w:type="dxa"/>
            <w:gridSpan w:val="3"/>
          </w:tcPr>
          <w:p>
            <w:pPr>
              <w:rPr>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招标编号</w:t>
            </w:r>
          </w:p>
        </w:tc>
        <w:tc>
          <w:tcPr>
            <w:tcW w:w="1940" w:type="dxa"/>
          </w:tcPr>
          <w:p>
            <w:pPr>
              <w:rPr>
                <w:color w:val="000000" w:themeColor="text1"/>
                <w:sz w:val="28"/>
                <w:szCs w:val="28"/>
                <w:highlight w:val="none"/>
              </w:rPr>
            </w:pPr>
          </w:p>
        </w:tc>
        <w:tc>
          <w:tcPr>
            <w:tcW w:w="1940" w:type="dxa"/>
            <w:vAlign w:val="center"/>
          </w:tcPr>
          <w:p>
            <w:pPr>
              <w:jc w:val="center"/>
              <w:rPr>
                <w:color w:val="000000" w:themeColor="text1"/>
                <w:sz w:val="28"/>
                <w:szCs w:val="28"/>
                <w:highlight w:val="none"/>
              </w:rPr>
            </w:pPr>
            <w:r>
              <w:rPr>
                <w:rFonts w:hint="eastAsia"/>
                <w:color w:val="000000" w:themeColor="text1"/>
                <w:sz w:val="28"/>
                <w:szCs w:val="28"/>
                <w:highlight w:val="none"/>
              </w:rPr>
              <w:t>购买时间</w:t>
            </w:r>
          </w:p>
        </w:tc>
        <w:tc>
          <w:tcPr>
            <w:tcW w:w="2895" w:type="dxa"/>
          </w:tcPr>
          <w:p>
            <w:pPr>
              <w:rPr>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tcPr>
          <w:p>
            <w:pPr>
              <w:rPr>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地址</w:t>
            </w:r>
          </w:p>
        </w:tc>
        <w:tc>
          <w:tcPr>
            <w:tcW w:w="6775" w:type="dxa"/>
            <w:gridSpan w:val="3"/>
          </w:tcPr>
          <w:p>
            <w:pPr>
              <w:rPr>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电话</w:t>
            </w:r>
          </w:p>
        </w:tc>
        <w:tc>
          <w:tcPr>
            <w:tcW w:w="1940" w:type="dxa"/>
          </w:tcPr>
          <w:p>
            <w:pPr>
              <w:rPr>
                <w:color w:val="000000" w:themeColor="text1"/>
                <w:sz w:val="28"/>
                <w:szCs w:val="28"/>
                <w:highlight w:val="none"/>
              </w:rPr>
            </w:pPr>
          </w:p>
        </w:tc>
        <w:tc>
          <w:tcPr>
            <w:tcW w:w="1940" w:type="dxa"/>
            <w:vAlign w:val="center"/>
          </w:tcPr>
          <w:p>
            <w:pPr>
              <w:jc w:val="center"/>
              <w:rPr>
                <w:color w:val="000000" w:themeColor="text1"/>
                <w:sz w:val="28"/>
                <w:szCs w:val="28"/>
                <w:highlight w:val="none"/>
              </w:rPr>
            </w:pPr>
            <w:r>
              <w:rPr>
                <w:rFonts w:hint="eastAsia"/>
                <w:color w:val="000000" w:themeColor="text1"/>
                <w:sz w:val="28"/>
                <w:szCs w:val="28"/>
                <w:highlight w:val="none"/>
              </w:rPr>
              <w:t>传真</w:t>
            </w:r>
          </w:p>
        </w:tc>
        <w:tc>
          <w:tcPr>
            <w:tcW w:w="2895" w:type="dxa"/>
          </w:tcPr>
          <w:p>
            <w:pPr>
              <w:rPr>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联系人</w:t>
            </w:r>
          </w:p>
        </w:tc>
        <w:tc>
          <w:tcPr>
            <w:tcW w:w="1940" w:type="dxa"/>
          </w:tcPr>
          <w:p>
            <w:pPr>
              <w:rPr>
                <w:color w:val="000000" w:themeColor="text1"/>
                <w:sz w:val="28"/>
                <w:szCs w:val="28"/>
                <w:highlight w:val="none"/>
              </w:rPr>
            </w:pPr>
          </w:p>
        </w:tc>
        <w:tc>
          <w:tcPr>
            <w:tcW w:w="1940" w:type="dxa"/>
            <w:vAlign w:val="center"/>
          </w:tcPr>
          <w:p>
            <w:pPr>
              <w:jc w:val="center"/>
              <w:rPr>
                <w:color w:val="000000" w:themeColor="text1"/>
                <w:sz w:val="28"/>
                <w:szCs w:val="28"/>
                <w:highlight w:val="none"/>
              </w:rPr>
            </w:pPr>
            <w:r>
              <w:rPr>
                <w:rFonts w:hint="eastAsia"/>
                <w:color w:val="000000" w:themeColor="text1"/>
                <w:sz w:val="28"/>
                <w:szCs w:val="28"/>
                <w:highlight w:val="none"/>
              </w:rPr>
              <w:t>手机</w:t>
            </w:r>
          </w:p>
        </w:tc>
        <w:tc>
          <w:tcPr>
            <w:tcW w:w="2895" w:type="dxa"/>
          </w:tcPr>
          <w:p>
            <w:pPr>
              <w:rPr>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职务</w:t>
            </w:r>
          </w:p>
        </w:tc>
        <w:tc>
          <w:tcPr>
            <w:tcW w:w="1940" w:type="dxa"/>
          </w:tcPr>
          <w:p>
            <w:pPr>
              <w:rPr>
                <w:color w:val="000000" w:themeColor="text1"/>
                <w:sz w:val="28"/>
                <w:szCs w:val="28"/>
                <w:highlight w:val="none"/>
              </w:rPr>
            </w:pPr>
          </w:p>
        </w:tc>
        <w:tc>
          <w:tcPr>
            <w:tcW w:w="1940" w:type="dxa"/>
            <w:vAlign w:val="center"/>
          </w:tcPr>
          <w:p>
            <w:pPr>
              <w:jc w:val="center"/>
              <w:rPr>
                <w:color w:val="000000" w:themeColor="text1"/>
                <w:sz w:val="28"/>
                <w:szCs w:val="28"/>
                <w:highlight w:val="none"/>
              </w:rPr>
            </w:pPr>
            <w:r>
              <w:rPr>
                <w:rFonts w:hint="eastAsia"/>
                <w:color w:val="000000" w:themeColor="text1"/>
                <w:sz w:val="28"/>
                <w:szCs w:val="28"/>
                <w:highlight w:val="none"/>
              </w:rPr>
              <w:t>电子邮件</w:t>
            </w:r>
          </w:p>
        </w:tc>
        <w:tc>
          <w:tcPr>
            <w:tcW w:w="2895" w:type="dxa"/>
          </w:tcPr>
          <w:p>
            <w:pPr>
              <w:rPr>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拟投设备</w:t>
            </w:r>
          </w:p>
        </w:tc>
        <w:tc>
          <w:tcPr>
            <w:tcW w:w="6775" w:type="dxa"/>
            <w:gridSpan w:val="3"/>
          </w:tcPr>
          <w:p>
            <w:pPr>
              <w:rPr>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制造厂商</w:t>
            </w:r>
          </w:p>
        </w:tc>
        <w:tc>
          <w:tcPr>
            <w:tcW w:w="6775" w:type="dxa"/>
            <w:gridSpan w:val="3"/>
          </w:tcPr>
          <w:p>
            <w:pPr>
              <w:rPr>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经营范围</w:t>
            </w:r>
          </w:p>
        </w:tc>
        <w:tc>
          <w:tcPr>
            <w:tcW w:w="6775" w:type="dxa"/>
            <w:gridSpan w:val="3"/>
          </w:tcPr>
          <w:p>
            <w:pPr>
              <w:rPr>
                <w:color w:val="000000" w:themeColor="text1"/>
                <w:sz w:val="28"/>
                <w:szCs w:val="28"/>
                <w:highlight w:val="none"/>
              </w:rPr>
            </w:pPr>
          </w:p>
        </w:tc>
      </w:tr>
    </w:tbl>
    <w:p>
      <w:pPr>
        <w:spacing w:line="360" w:lineRule="auto"/>
        <w:jc w:val="center"/>
        <w:rPr>
          <w:rFonts w:ascii="宋体" w:hAnsi="宋体"/>
          <w:b/>
          <w:color w:val="000000" w:themeColor="text1"/>
          <w:sz w:val="24"/>
          <w:highlight w:val="none"/>
        </w:rPr>
      </w:pPr>
    </w:p>
    <w:p>
      <w:pPr>
        <w:pStyle w:val="10"/>
        <w:spacing w:line="460" w:lineRule="exact"/>
        <w:ind w:firstLine="0"/>
        <w:rPr>
          <w:rFonts w:ascii="宋体" w:hAnsi="宋体"/>
          <w:b/>
          <w:color w:val="000000" w:themeColor="text1"/>
          <w:szCs w:val="21"/>
          <w:highlight w:val="none"/>
        </w:rPr>
      </w:pPr>
    </w:p>
    <w:sectPr>
      <w:pgSz w:w="11906" w:h="16838"/>
      <w:pgMar w:top="1440" w:right="849"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iti SC Light">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Adobe 仿宋 Std R">
    <w:altName w:val="微软雅黑"/>
    <w:panose1 w:val="00000000000000000000"/>
    <w:charset w:val="86"/>
    <w:family w:val="auto"/>
    <w:pitch w:val="default"/>
    <w:sig w:usb0="00000000" w:usb1="00000000" w:usb2="00000016" w:usb3="00000000" w:csb0="00060007"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30"/>
                  <w:jc w:val="center"/>
                </w:pPr>
                <w:r>
                  <w:rPr>
                    <w:rFonts w:hint="eastAsia"/>
                  </w:rPr>
                  <w:t xml:space="preserve">第 </w:t>
                </w:r>
                <w:r>
                  <w:fldChar w:fldCharType="begin"/>
                </w:r>
                <w:r>
                  <w:instrText xml:space="preserve"> PAGE  \* MERGEFORMAT </w:instrText>
                </w:r>
                <w:r>
                  <w:fldChar w:fldCharType="separate"/>
                </w:r>
                <w:r>
                  <w:t>2</w:t>
                </w:r>
                <w:r>
                  <w:fldChar w:fldCharType="end"/>
                </w:r>
                <w:r>
                  <w:rPr>
                    <w:rFonts w:hint="eastAsia"/>
                  </w:rPr>
                  <w:t xml:space="preserve"> 页 共 </w:t>
                </w:r>
                <w:r>
                  <w:fldChar w:fldCharType="begin"/>
                </w:r>
                <w:r>
                  <w:instrText xml:space="preserve"> NUMPAGES  \* MERGEFORMAT </w:instrText>
                </w:r>
                <w:r>
                  <w:fldChar w:fldCharType="separate"/>
                </w:r>
                <w:r>
                  <w:t>40</w:t>
                </w:r>
                <w:r>
                  <w:fldChar w:fldCharType="end"/>
                </w:r>
                <w:r>
                  <w:rPr>
                    <w:rFonts w:hint="eastAsia"/>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49"/>
      </w:rPr>
    </w:pPr>
    <w:r>
      <w:fldChar w:fldCharType="begin"/>
    </w:r>
    <w:r>
      <w:rPr>
        <w:rStyle w:val="49"/>
      </w:rPr>
      <w:instrText xml:space="preserve">PAGE  </w:instrText>
    </w:r>
    <w:r>
      <w:fldChar w:fldCharType="end"/>
    </w:r>
  </w:p>
  <w:p>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pict>
        <v:shape id="_x0000_s2050" o:spid="_x0000_s205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30"/>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 共 </w:t>
                </w:r>
                <w:r>
                  <w:fldChar w:fldCharType="begin"/>
                </w:r>
                <w:r>
                  <w:instrText xml:space="preserve"> NUMPAGES  \* MERGEFORMAT </w:instrText>
                </w:r>
                <w:r>
                  <w:fldChar w:fldCharType="separate"/>
                </w:r>
                <w:r>
                  <w:t>40</w:t>
                </w:r>
                <w:r>
                  <w:fldChar w:fldCharType="end"/>
                </w:r>
                <w:r>
                  <w:rPr>
                    <w:rFonts w:hint="eastAsia"/>
                  </w:rPr>
                  <w:t xml:space="preserve"> 页</w:t>
                </w:r>
              </w:p>
            </w:txbxContent>
          </v:textbox>
        </v:shape>
      </w:pict>
    </w:r>
    <w:sdt>
      <w:sdtPr>
        <w:id w:val="28234777"/>
      </w:sdtPr>
      <w:sdtContent/>
    </w:sdt>
  </w:p>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pict>
        <v:shape id="_x0000_s2051" o:spid="_x0000_s205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30"/>
                  <w:jc w:val="center"/>
                </w:pPr>
                <w:r>
                  <w:rPr>
                    <w:rFonts w:hint="eastAsia"/>
                  </w:rPr>
                  <w:t xml:space="preserve">第 </w:t>
                </w:r>
                <w:r>
                  <w:fldChar w:fldCharType="begin"/>
                </w:r>
                <w:r>
                  <w:instrText xml:space="preserve"> PAGE  \* MERGEFORMAT </w:instrText>
                </w:r>
                <w:r>
                  <w:fldChar w:fldCharType="separate"/>
                </w:r>
                <w:r>
                  <w:t>31</w:t>
                </w:r>
                <w:r>
                  <w:fldChar w:fldCharType="end"/>
                </w:r>
                <w:r>
                  <w:rPr>
                    <w:rFonts w:hint="eastAsia"/>
                  </w:rPr>
                  <w:t xml:space="preserve"> 页 共 </w:t>
                </w:r>
                <w:r>
                  <w:fldChar w:fldCharType="begin"/>
                </w:r>
                <w:r>
                  <w:instrText xml:space="preserve"> NUMPAGES  \* MERGEFORMAT </w:instrText>
                </w:r>
                <w:r>
                  <w:fldChar w:fldCharType="separate"/>
                </w:r>
                <w:r>
                  <w:t>40</w:t>
                </w:r>
                <w:r>
                  <w:fldChar w:fldCharType="end"/>
                </w:r>
                <w:r>
                  <w:rPr>
                    <w:rFonts w:hint="eastAsia"/>
                  </w:rP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49"/>
      </w:rPr>
    </w:pPr>
    <w:r>
      <w:fldChar w:fldCharType="begin"/>
    </w:r>
    <w:r>
      <w:rPr>
        <w:rStyle w:val="49"/>
      </w:rPr>
      <w:instrText xml:space="preserve">PAGE  </w:instrText>
    </w:r>
    <w:r>
      <w:fldChar w:fldCharType="end"/>
    </w:r>
  </w:p>
  <w:p>
    <w:pPr>
      <w:pStyle w:val="3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40</w:t>
    </w:r>
    <w:r>
      <w:rPr>
        <w:kern w:val="0"/>
        <w:szCs w:val="21"/>
      </w:rPr>
      <w:fldChar w:fldCharType="end"/>
    </w:r>
    <w:r>
      <w:rPr>
        <w:rFonts w:hint="eastAsia"/>
        <w:kern w:val="0"/>
        <w:szCs w:val="21"/>
      </w:rPr>
      <w:t xml:space="preserve"> 页</w:t>
    </w:r>
  </w:p>
  <w:p>
    <w:pPr>
      <w:pStyle w:val="3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pict>
        <v:shape id="_x0000_s2052" o:spid="_x0000_s2052"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30"/>
                  <w:jc w:val="center"/>
                </w:pPr>
                <w:r>
                  <w:rPr>
                    <w:rFonts w:hint="eastAsia"/>
                  </w:rPr>
                  <w:t xml:space="preserve">第 </w:t>
                </w:r>
                <w:r>
                  <w:fldChar w:fldCharType="begin"/>
                </w:r>
                <w:r>
                  <w:instrText xml:space="preserve"> PAGE  \* MERGEFORMAT </w:instrText>
                </w:r>
                <w:r>
                  <w:fldChar w:fldCharType="separate"/>
                </w:r>
                <w:r>
                  <w:t>40</w:t>
                </w:r>
                <w:r>
                  <w:fldChar w:fldCharType="end"/>
                </w:r>
                <w:r>
                  <w:rPr>
                    <w:rFonts w:hint="eastAsia"/>
                  </w:rPr>
                  <w:t xml:space="preserve"> 页 共 </w:t>
                </w:r>
                <w:r>
                  <w:fldChar w:fldCharType="begin"/>
                </w:r>
                <w:r>
                  <w:instrText xml:space="preserve"> NUMPAGES  \* MERGEFORMAT </w:instrText>
                </w:r>
                <w:r>
                  <w:fldChar w:fldCharType="separate"/>
                </w:r>
                <w:r>
                  <w:t>40</w:t>
                </w:r>
                <w:r>
                  <w:fldChar w:fldCharType="end"/>
                </w:r>
                <w:r>
                  <w:rPr>
                    <w:rFonts w:hint="eastAsia"/>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14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1">
    <w:nsid w:val="07A8694A"/>
    <w:multiLevelType w:val="multilevel"/>
    <w:tmpl w:val="07A8694A"/>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0FB16B7"/>
    <w:multiLevelType w:val="multilevel"/>
    <w:tmpl w:val="10FB16B7"/>
    <w:lvl w:ilvl="0" w:tentative="0">
      <w:start w:val="1"/>
      <w:numFmt w:val="upperRoman"/>
      <w:pStyle w:val="4"/>
      <w:lvlText w:val="第 %1 条"/>
      <w:lvlJc w:val="left"/>
      <w:pPr>
        <w:tabs>
          <w:tab w:val="left" w:pos="1440"/>
        </w:tabs>
        <w:ind w:left="0" w:firstLine="0"/>
      </w:pPr>
    </w:lvl>
    <w:lvl w:ilvl="1" w:tentative="0">
      <w:start w:val="1"/>
      <w:numFmt w:val="decimalZero"/>
      <w:pStyle w:val="5"/>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4">
    <w:nsid w:val="11B03064"/>
    <w:multiLevelType w:val="multilevel"/>
    <w:tmpl w:val="11B03064"/>
    <w:lvl w:ilvl="0" w:tentative="0">
      <w:start w:val="4"/>
      <w:numFmt w:val="japaneseCounting"/>
      <w:lvlText w:val="%1、"/>
      <w:lvlJc w:val="left"/>
      <w:pPr>
        <w:ind w:left="1036" w:hanging="720"/>
      </w:pPr>
      <w:rPr>
        <w:rFonts w:hint="default"/>
      </w:rPr>
    </w:lvl>
    <w:lvl w:ilvl="1" w:tentative="0">
      <w:start w:val="1"/>
      <w:numFmt w:val="lowerLetter"/>
      <w:lvlText w:val="%2)"/>
      <w:lvlJc w:val="left"/>
      <w:pPr>
        <w:ind w:left="1156" w:hanging="420"/>
      </w:pPr>
    </w:lvl>
    <w:lvl w:ilvl="2" w:tentative="0">
      <w:start w:val="1"/>
      <w:numFmt w:val="lowerRoman"/>
      <w:lvlText w:val="%3."/>
      <w:lvlJc w:val="right"/>
      <w:pPr>
        <w:ind w:left="1576" w:hanging="420"/>
      </w:pPr>
    </w:lvl>
    <w:lvl w:ilvl="3" w:tentative="0">
      <w:start w:val="1"/>
      <w:numFmt w:val="decimal"/>
      <w:lvlText w:val="%4."/>
      <w:lvlJc w:val="left"/>
      <w:pPr>
        <w:ind w:left="1996" w:hanging="420"/>
      </w:pPr>
    </w:lvl>
    <w:lvl w:ilvl="4" w:tentative="0">
      <w:start w:val="1"/>
      <w:numFmt w:val="lowerLetter"/>
      <w:lvlText w:val="%5)"/>
      <w:lvlJc w:val="left"/>
      <w:pPr>
        <w:ind w:left="2416" w:hanging="420"/>
      </w:pPr>
    </w:lvl>
    <w:lvl w:ilvl="5" w:tentative="0">
      <w:start w:val="1"/>
      <w:numFmt w:val="lowerRoman"/>
      <w:lvlText w:val="%6."/>
      <w:lvlJc w:val="right"/>
      <w:pPr>
        <w:ind w:left="2836" w:hanging="420"/>
      </w:pPr>
    </w:lvl>
    <w:lvl w:ilvl="6" w:tentative="0">
      <w:start w:val="1"/>
      <w:numFmt w:val="decimal"/>
      <w:lvlText w:val="%7."/>
      <w:lvlJc w:val="left"/>
      <w:pPr>
        <w:ind w:left="3256" w:hanging="420"/>
      </w:pPr>
    </w:lvl>
    <w:lvl w:ilvl="7" w:tentative="0">
      <w:start w:val="1"/>
      <w:numFmt w:val="lowerLetter"/>
      <w:lvlText w:val="%8)"/>
      <w:lvlJc w:val="left"/>
      <w:pPr>
        <w:ind w:left="3676" w:hanging="420"/>
      </w:pPr>
    </w:lvl>
    <w:lvl w:ilvl="8" w:tentative="0">
      <w:start w:val="1"/>
      <w:numFmt w:val="lowerRoman"/>
      <w:lvlText w:val="%9."/>
      <w:lvlJc w:val="right"/>
      <w:pPr>
        <w:ind w:left="4096" w:hanging="420"/>
      </w:pPr>
    </w:lvl>
  </w:abstractNum>
  <w:abstractNum w:abstractNumId="5">
    <w:nsid w:val="1C580905"/>
    <w:multiLevelType w:val="multilevel"/>
    <w:tmpl w:val="1C580905"/>
    <w:lvl w:ilvl="0" w:tentative="0">
      <w:start w:val="1"/>
      <w:numFmt w:val="bullet"/>
      <w:lvlText w:val=""/>
      <w:lvlJc w:val="left"/>
      <w:pPr>
        <w:ind w:left="845" w:hanging="420"/>
      </w:pPr>
      <w:rPr>
        <w:rFonts w:hint="default" w:ascii="Wingdings" w:hAnsi="Wingdings"/>
      </w:rPr>
    </w:lvl>
    <w:lvl w:ilvl="1" w:tentative="0">
      <w:start w:val="1"/>
      <w:numFmt w:val="bullet"/>
      <w:lvlText w:val=""/>
      <w:lvlJc w:val="left"/>
      <w:pPr>
        <w:ind w:left="1265" w:hanging="420"/>
      </w:pPr>
      <w:rPr>
        <w:rFonts w:hint="default" w:ascii="Wingdings" w:hAnsi="Wingdings"/>
      </w:rPr>
    </w:lvl>
    <w:lvl w:ilvl="2" w:tentative="0">
      <w:start w:val="1"/>
      <w:numFmt w:val="bullet"/>
      <w:lvlText w:val=""/>
      <w:lvlJc w:val="left"/>
      <w:pPr>
        <w:ind w:left="1685" w:hanging="420"/>
      </w:pPr>
      <w:rPr>
        <w:rFonts w:hint="default" w:ascii="Wingdings" w:hAnsi="Wingdings"/>
      </w:rPr>
    </w:lvl>
    <w:lvl w:ilvl="3" w:tentative="0">
      <w:start w:val="1"/>
      <w:numFmt w:val="bullet"/>
      <w:lvlText w:val=""/>
      <w:lvlJc w:val="left"/>
      <w:pPr>
        <w:ind w:left="2105" w:hanging="420"/>
      </w:pPr>
      <w:rPr>
        <w:rFonts w:hint="default" w:ascii="Wingdings" w:hAnsi="Wingdings"/>
      </w:rPr>
    </w:lvl>
    <w:lvl w:ilvl="4" w:tentative="0">
      <w:start w:val="1"/>
      <w:numFmt w:val="bullet"/>
      <w:lvlText w:val=""/>
      <w:lvlJc w:val="left"/>
      <w:pPr>
        <w:ind w:left="2525" w:hanging="420"/>
      </w:pPr>
      <w:rPr>
        <w:rFonts w:hint="default" w:ascii="Wingdings" w:hAnsi="Wingdings"/>
      </w:rPr>
    </w:lvl>
    <w:lvl w:ilvl="5" w:tentative="0">
      <w:start w:val="1"/>
      <w:numFmt w:val="bullet"/>
      <w:lvlText w:val=""/>
      <w:lvlJc w:val="left"/>
      <w:pPr>
        <w:ind w:left="2945" w:hanging="420"/>
      </w:pPr>
      <w:rPr>
        <w:rFonts w:hint="default" w:ascii="Wingdings" w:hAnsi="Wingdings"/>
      </w:rPr>
    </w:lvl>
    <w:lvl w:ilvl="6" w:tentative="0">
      <w:start w:val="1"/>
      <w:numFmt w:val="bullet"/>
      <w:lvlText w:val=""/>
      <w:lvlJc w:val="left"/>
      <w:pPr>
        <w:ind w:left="3365" w:hanging="420"/>
      </w:pPr>
      <w:rPr>
        <w:rFonts w:hint="default" w:ascii="Wingdings" w:hAnsi="Wingdings"/>
      </w:rPr>
    </w:lvl>
    <w:lvl w:ilvl="7" w:tentative="0">
      <w:start w:val="1"/>
      <w:numFmt w:val="bullet"/>
      <w:lvlText w:val=""/>
      <w:lvlJc w:val="left"/>
      <w:pPr>
        <w:ind w:left="3785" w:hanging="420"/>
      </w:pPr>
      <w:rPr>
        <w:rFonts w:hint="default" w:ascii="Wingdings" w:hAnsi="Wingdings"/>
      </w:rPr>
    </w:lvl>
    <w:lvl w:ilvl="8" w:tentative="0">
      <w:start w:val="1"/>
      <w:numFmt w:val="bullet"/>
      <w:lvlText w:val=""/>
      <w:lvlJc w:val="left"/>
      <w:pPr>
        <w:ind w:left="4205" w:hanging="420"/>
      </w:pPr>
      <w:rPr>
        <w:rFonts w:hint="default" w:ascii="Wingdings" w:hAnsi="Wingdings"/>
      </w:rPr>
    </w:lvl>
  </w:abstractNum>
  <w:abstractNum w:abstractNumId="6">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06B33BD"/>
    <w:multiLevelType w:val="multilevel"/>
    <w:tmpl w:val="306B33BD"/>
    <w:lvl w:ilvl="0" w:tentative="0">
      <w:start w:val="1"/>
      <w:numFmt w:val="decimal"/>
      <w:lvlText w:val="%1."/>
      <w:lvlJc w:val="left"/>
      <w:pPr>
        <w:tabs>
          <w:tab w:val="left" w:pos="363"/>
        </w:tabs>
        <w:ind w:left="363"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lowerRoman"/>
      <w:lvlText w:val="%3."/>
      <w:lvlJc w:val="right"/>
      <w:pPr>
        <w:tabs>
          <w:tab w:val="left" w:pos="1263"/>
        </w:tabs>
        <w:ind w:left="1263" w:hanging="420"/>
      </w:pPr>
    </w:lvl>
    <w:lvl w:ilvl="3" w:tentative="0">
      <w:start w:val="1"/>
      <w:numFmt w:val="decimal"/>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8">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9">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557073B5"/>
    <w:multiLevelType w:val="multilevel"/>
    <w:tmpl w:val="557073B5"/>
    <w:lvl w:ilvl="0" w:tentative="0">
      <w:start w:val="1"/>
      <w:numFmt w:val="chineseCountingThousand"/>
      <w:lvlText w:val="%1、"/>
      <w:lvlJc w:val="left"/>
      <w:pPr>
        <w:tabs>
          <w:tab w:val="left" w:pos="704"/>
        </w:tabs>
        <w:ind w:left="704" w:hanging="420"/>
      </w:pPr>
      <w:rPr>
        <w:lang w:val="en-US"/>
      </w:r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1">
    <w:nsid w:val="676D1F6B"/>
    <w:multiLevelType w:val="multilevel"/>
    <w:tmpl w:val="676D1F6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690B1CDA"/>
    <w:multiLevelType w:val="multilevel"/>
    <w:tmpl w:val="690B1CDA"/>
    <w:lvl w:ilvl="0" w:tentative="0">
      <w:start w:val="1"/>
      <w:numFmt w:val="japaneseCounting"/>
      <w:pStyle w:val="118"/>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3">
    <w:nsid w:val="6EA45BFE"/>
    <w:multiLevelType w:val="multilevel"/>
    <w:tmpl w:val="6EA45BFE"/>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49B2552"/>
    <w:multiLevelType w:val="singleLevel"/>
    <w:tmpl w:val="749B2552"/>
    <w:lvl w:ilvl="0" w:tentative="0">
      <w:start w:val="1"/>
      <w:numFmt w:val="decimal"/>
      <w:lvlText w:val="%1."/>
      <w:lvlJc w:val="left"/>
      <w:pPr>
        <w:tabs>
          <w:tab w:val="left" w:pos="425"/>
        </w:tabs>
        <w:ind w:left="425" w:hanging="425"/>
      </w:pPr>
      <w:rPr>
        <w:rFonts w:hint="eastAsia" w:ascii="宋体" w:hAnsi="宋体" w:eastAsia="宋体"/>
      </w:rPr>
    </w:lvl>
  </w:abstractNum>
  <w:num w:numId="1">
    <w:abstractNumId w:val="3"/>
  </w:num>
  <w:num w:numId="2">
    <w:abstractNumId w:val="12"/>
  </w:num>
  <w:num w:numId="3">
    <w:abstractNumId w:val="0"/>
  </w:num>
  <w:num w:numId="4">
    <w:abstractNumId w:val="6"/>
  </w:num>
  <w:num w:numId="5">
    <w:abstractNumId w:val="10"/>
  </w:num>
  <w:num w:numId="6">
    <w:abstractNumId w:val="2"/>
  </w:num>
  <w:num w:numId="7">
    <w:abstractNumId w:val="4"/>
  </w:num>
  <w:num w:numId="8">
    <w:abstractNumId w:val="7"/>
  </w:num>
  <w:num w:numId="9">
    <w:abstractNumId w:val="13"/>
  </w:num>
  <w:num w:numId="10">
    <w:abstractNumId w:val="5"/>
  </w:num>
  <w:num w:numId="11">
    <w:abstractNumId w:val="8"/>
  </w:num>
  <w:num w:numId="12">
    <w:abstractNumId w:val="9"/>
  </w:num>
  <w:num w:numId="13">
    <w:abstractNumId w:val="1"/>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useAltKinsokuLineBreakRules/>
    <w:compatSetting w:name="compatibilityMode" w:uri="http://schemas.microsoft.com/office/word" w:val="12"/>
  </w:compat>
  <w:rsids>
    <w:rsidRoot w:val="009833EC"/>
    <w:rsid w:val="00000C7F"/>
    <w:rsid w:val="00000CDA"/>
    <w:rsid w:val="00000E9F"/>
    <w:rsid w:val="000018DB"/>
    <w:rsid w:val="000019D4"/>
    <w:rsid w:val="000020EE"/>
    <w:rsid w:val="000030EC"/>
    <w:rsid w:val="0000339F"/>
    <w:rsid w:val="0000391B"/>
    <w:rsid w:val="0000392E"/>
    <w:rsid w:val="00003DE4"/>
    <w:rsid w:val="000049BA"/>
    <w:rsid w:val="00005FCB"/>
    <w:rsid w:val="000062F0"/>
    <w:rsid w:val="00007C9D"/>
    <w:rsid w:val="00007D36"/>
    <w:rsid w:val="00010614"/>
    <w:rsid w:val="00011381"/>
    <w:rsid w:val="0001156A"/>
    <w:rsid w:val="00011688"/>
    <w:rsid w:val="000120FB"/>
    <w:rsid w:val="000127D7"/>
    <w:rsid w:val="0001315A"/>
    <w:rsid w:val="00013671"/>
    <w:rsid w:val="000145F4"/>
    <w:rsid w:val="00014CAB"/>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DA"/>
    <w:rsid w:val="000216E1"/>
    <w:rsid w:val="00021C76"/>
    <w:rsid w:val="00021CA5"/>
    <w:rsid w:val="00022C80"/>
    <w:rsid w:val="00024523"/>
    <w:rsid w:val="00024860"/>
    <w:rsid w:val="000248E7"/>
    <w:rsid w:val="000268CD"/>
    <w:rsid w:val="00026FC3"/>
    <w:rsid w:val="000278C1"/>
    <w:rsid w:val="00027BD5"/>
    <w:rsid w:val="0003063D"/>
    <w:rsid w:val="00030865"/>
    <w:rsid w:val="00031768"/>
    <w:rsid w:val="00032300"/>
    <w:rsid w:val="00032A2C"/>
    <w:rsid w:val="0003413E"/>
    <w:rsid w:val="00034518"/>
    <w:rsid w:val="00034573"/>
    <w:rsid w:val="00034E6E"/>
    <w:rsid w:val="00036ABE"/>
    <w:rsid w:val="000377F0"/>
    <w:rsid w:val="00040462"/>
    <w:rsid w:val="00040736"/>
    <w:rsid w:val="0004087D"/>
    <w:rsid w:val="00040FEE"/>
    <w:rsid w:val="000413C6"/>
    <w:rsid w:val="000415D4"/>
    <w:rsid w:val="00041A63"/>
    <w:rsid w:val="0004277B"/>
    <w:rsid w:val="00043105"/>
    <w:rsid w:val="00043EBB"/>
    <w:rsid w:val="000453A8"/>
    <w:rsid w:val="00046265"/>
    <w:rsid w:val="00046FB6"/>
    <w:rsid w:val="00047B7B"/>
    <w:rsid w:val="00050048"/>
    <w:rsid w:val="00051247"/>
    <w:rsid w:val="00051476"/>
    <w:rsid w:val="0005176E"/>
    <w:rsid w:val="00055140"/>
    <w:rsid w:val="00055BE2"/>
    <w:rsid w:val="00055E36"/>
    <w:rsid w:val="00055F28"/>
    <w:rsid w:val="000562D3"/>
    <w:rsid w:val="00056C25"/>
    <w:rsid w:val="0005770B"/>
    <w:rsid w:val="00057F61"/>
    <w:rsid w:val="00060245"/>
    <w:rsid w:val="0006027D"/>
    <w:rsid w:val="0006054E"/>
    <w:rsid w:val="00060689"/>
    <w:rsid w:val="000614F6"/>
    <w:rsid w:val="00061ADA"/>
    <w:rsid w:val="00062546"/>
    <w:rsid w:val="00063214"/>
    <w:rsid w:val="00064185"/>
    <w:rsid w:val="00064276"/>
    <w:rsid w:val="000642CD"/>
    <w:rsid w:val="000649DE"/>
    <w:rsid w:val="000652FF"/>
    <w:rsid w:val="00066B7A"/>
    <w:rsid w:val="000673CC"/>
    <w:rsid w:val="0007084F"/>
    <w:rsid w:val="00070D3D"/>
    <w:rsid w:val="00070DCE"/>
    <w:rsid w:val="0007120B"/>
    <w:rsid w:val="00071508"/>
    <w:rsid w:val="00072C00"/>
    <w:rsid w:val="00074BDF"/>
    <w:rsid w:val="00076023"/>
    <w:rsid w:val="0007627A"/>
    <w:rsid w:val="00076434"/>
    <w:rsid w:val="0007711F"/>
    <w:rsid w:val="00080133"/>
    <w:rsid w:val="00080574"/>
    <w:rsid w:val="00080AE7"/>
    <w:rsid w:val="00080DE8"/>
    <w:rsid w:val="00080E11"/>
    <w:rsid w:val="00081C2C"/>
    <w:rsid w:val="00082013"/>
    <w:rsid w:val="000822CA"/>
    <w:rsid w:val="00082512"/>
    <w:rsid w:val="000837A6"/>
    <w:rsid w:val="000843F8"/>
    <w:rsid w:val="00084816"/>
    <w:rsid w:val="00084CED"/>
    <w:rsid w:val="00085996"/>
    <w:rsid w:val="00085A61"/>
    <w:rsid w:val="0008670A"/>
    <w:rsid w:val="00087F54"/>
    <w:rsid w:val="00090CB0"/>
    <w:rsid w:val="000911A1"/>
    <w:rsid w:val="00091739"/>
    <w:rsid w:val="000936BB"/>
    <w:rsid w:val="00093E9C"/>
    <w:rsid w:val="00093F6F"/>
    <w:rsid w:val="000940E1"/>
    <w:rsid w:val="000945D5"/>
    <w:rsid w:val="00094C2A"/>
    <w:rsid w:val="00095BE6"/>
    <w:rsid w:val="000960A6"/>
    <w:rsid w:val="000A025A"/>
    <w:rsid w:val="000A040E"/>
    <w:rsid w:val="000A1A04"/>
    <w:rsid w:val="000A1AD0"/>
    <w:rsid w:val="000A24B9"/>
    <w:rsid w:val="000A4F7A"/>
    <w:rsid w:val="000A588E"/>
    <w:rsid w:val="000A6C12"/>
    <w:rsid w:val="000A70BC"/>
    <w:rsid w:val="000B00D4"/>
    <w:rsid w:val="000B0421"/>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76"/>
    <w:rsid w:val="000C3069"/>
    <w:rsid w:val="000C41BC"/>
    <w:rsid w:val="000C4379"/>
    <w:rsid w:val="000C4614"/>
    <w:rsid w:val="000C464F"/>
    <w:rsid w:val="000C63CB"/>
    <w:rsid w:val="000C6902"/>
    <w:rsid w:val="000C6B06"/>
    <w:rsid w:val="000C6E00"/>
    <w:rsid w:val="000C7F20"/>
    <w:rsid w:val="000D0CD2"/>
    <w:rsid w:val="000D0D31"/>
    <w:rsid w:val="000D0E1F"/>
    <w:rsid w:val="000D1822"/>
    <w:rsid w:val="000D27A2"/>
    <w:rsid w:val="000D2F76"/>
    <w:rsid w:val="000D3682"/>
    <w:rsid w:val="000D3D03"/>
    <w:rsid w:val="000D3F6A"/>
    <w:rsid w:val="000D47B2"/>
    <w:rsid w:val="000D4CC4"/>
    <w:rsid w:val="000D5955"/>
    <w:rsid w:val="000D5A26"/>
    <w:rsid w:val="000D5DB7"/>
    <w:rsid w:val="000D5FFF"/>
    <w:rsid w:val="000D675C"/>
    <w:rsid w:val="000D693D"/>
    <w:rsid w:val="000D69E5"/>
    <w:rsid w:val="000D75D0"/>
    <w:rsid w:val="000D7675"/>
    <w:rsid w:val="000D7C72"/>
    <w:rsid w:val="000E07CB"/>
    <w:rsid w:val="000E19C9"/>
    <w:rsid w:val="000E1BC0"/>
    <w:rsid w:val="000E1F01"/>
    <w:rsid w:val="000E3AD6"/>
    <w:rsid w:val="000E5AA4"/>
    <w:rsid w:val="000E659F"/>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823"/>
    <w:rsid w:val="000F623B"/>
    <w:rsid w:val="000F6278"/>
    <w:rsid w:val="000F67BA"/>
    <w:rsid w:val="000F6885"/>
    <w:rsid w:val="00100929"/>
    <w:rsid w:val="00100A59"/>
    <w:rsid w:val="00100A85"/>
    <w:rsid w:val="00100B16"/>
    <w:rsid w:val="001013B4"/>
    <w:rsid w:val="001017F3"/>
    <w:rsid w:val="00101823"/>
    <w:rsid w:val="001028F3"/>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6E35"/>
    <w:rsid w:val="0011743D"/>
    <w:rsid w:val="00120686"/>
    <w:rsid w:val="00120C3C"/>
    <w:rsid w:val="00122AC9"/>
    <w:rsid w:val="001234B2"/>
    <w:rsid w:val="00123A44"/>
    <w:rsid w:val="00124863"/>
    <w:rsid w:val="0012494A"/>
    <w:rsid w:val="00125117"/>
    <w:rsid w:val="00126736"/>
    <w:rsid w:val="00126B17"/>
    <w:rsid w:val="00126D44"/>
    <w:rsid w:val="001279A1"/>
    <w:rsid w:val="00127CAC"/>
    <w:rsid w:val="00130F99"/>
    <w:rsid w:val="0013184E"/>
    <w:rsid w:val="001327AF"/>
    <w:rsid w:val="0013370A"/>
    <w:rsid w:val="00134075"/>
    <w:rsid w:val="0013457A"/>
    <w:rsid w:val="00134979"/>
    <w:rsid w:val="001351C4"/>
    <w:rsid w:val="00135655"/>
    <w:rsid w:val="001370A8"/>
    <w:rsid w:val="00137668"/>
    <w:rsid w:val="00137F56"/>
    <w:rsid w:val="00140886"/>
    <w:rsid w:val="00141762"/>
    <w:rsid w:val="00141B7E"/>
    <w:rsid w:val="00141BF3"/>
    <w:rsid w:val="00141CAA"/>
    <w:rsid w:val="0014226C"/>
    <w:rsid w:val="00142861"/>
    <w:rsid w:val="00142EAA"/>
    <w:rsid w:val="00142F3D"/>
    <w:rsid w:val="001433B9"/>
    <w:rsid w:val="00143A78"/>
    <w:rsid w:val="00144079"/>
    <w:rsid w:val="00144588"/>
    <w:rsid w:val="00144CD2"/>
    <w:rsid w:val="00144D40"/>
    <w:rsid w:val="00144F28"/>
    <w:rsid w:val="00145EED"/>
    <w:rsid w:val="001473FF"/>
    <w:rsid w:val="001477D2"/>
    <w:rsid w:val="00151956"/>
    <w:rsid w:val="00152D75"/>
    <w:rsid w:val="00152FC5"/>
    <w:rsid w:val="00153598"/>
    <w:rsid w:val="001536B6"/>
    <w:rsid w:val="00153A47"/>
    <w:rsid w:val="00153D3E"/>
    <w:rsid w:val="001542D0"/>
    <w:rsid w:val="00154D1A"/>
    <w:rsid w:val="00155726"/>
    <w:rsid w:val="001579F5"/>
    <w:rsid w:val="001605FD"/>
    <w:rsid w:val="001606C6"/>
    <w:rsid w:val="00161C97"/>
    <w:rsid w:val="001622D6"/>
    <w:rsid w:val="00162583"/>
    <w:rsid w:val="00162800"/>
    <w:rsid w:val="0016298B"/>
    <w:rsid w:val="00162F9F"/>
    <w:rsid w:val="00163B25"/>
    <w:rsid w:val="001647AE"/>
    <w:rsid w:val="00165DE8"/>
    <w:rsid w:val="00165F41"/>
    <w:rsid w:val="00166019"/>
    <w:rsid w:val="00166BB6"/>
    <w:rsid w:val="00167257"/>
    <w:rsid w:val="001701A8"/>
    <w:rsid w:val="00170898"/>
    <w:rsid w:val="00170C45"/>
    <w:rsid w:val="00170DB2"/>
    <w:rsid w:val="00170DC2"/>
    <w:rsid w:val="001714A7"/>
    <w:rsid w:val="00171E3A"/>
    <w:rsid w:val="00172551"/>
    <w:rsid w:val="001726A5"/>
    <w:rsid w:val="00172DDC"/>
    <w:rsid w:val="001732F4"/>
    <w:rsid w:val="00173594"/>
    <w:rsid w:val="001737DA"/>
    <w:rsid w:val="00174D50"/>
    <w:rsid w:val="0017611F"/>
    <w:rsid w:val="0017628C"/>
    <w:rsid w:val="001762E0"/>
    <w:rsid w:val="001776D9"/>
    <w:rsid w:val="00177FE0"/>
    <w:rsid w:val="00180C47"/>
    <w:rsid w:val="0018109B"/>
    <w:rsid w:val="0018128C"/>
    <w:rsid w:val="00181599"/>
    <w:rsid w:val="00181779"/>
    <w:rsid w:val="00181BCB"/>
    <w:rsid w:val="00182320"/>
    <w:rsid w:val="00182C90"/>
    <w:rsid w:val="00182DCA"/>
    <w:rsid w:val="00183342"/>
    <w:rsid w:val="00183AF6"/>
    <w:rsid w:val="001844B7"/>
    <w:rsid w:val="00184690"/>
    <w:rsid w:val="001849A5"/>
    <w:rsid w:val="00185F4E"/>
    <w:rsid w:val="00187221"/>
    <w:rsid w:val="00187246"/>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AF4"/>
    <w:rsid w:val="001A0204"/>
    <w:rsid w:val="001A0BC3"/>
    <w:rsid w:val="001A2128"/>
    <w:rsid w:val="001A27BA"/>
    <w:rsid w:val="001A436E"/>
    <w:rsid w:val="001A4393"/>
    <w:rsid w:val="001A4F87"/>
    <w:rsid w:val="001A559F"/>
    <w:rsid w:val="001A60B3"/>
    <w:rsid w:val="001A6293"/>
    <w:rsid w:val="001A6547"/>
    <w:rsid w:val="001A73F0"/>
    <w:rsid w:val="001A7BFB"/>
    <w:rsid w:val="001B0095"/>
    <w:rsid w:val="001B028E"/>
    <w:rsid w:val="001B0944"/>
    <w:rsid w:val="001B0B72"/>
    <w:rsid w:val="001B0F2C"/>
    <w:rsid w:val="001B1B67"/>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C07AA"/>
    <w:rsid w:val="001C0A20"/>
    <w:rsid w:val="001C1955"/>
    <w:rsid w:val="001C3079"/>
    <w:rsid w:val="001C3705"/>
    <w:rsid w:val="001C37C0"/>
    <w:rsid w:val="001C4000"/>
    <w:rsid w:val="001C41C2"/>
    <w:rsid w:val="001C4607"/>
    <w:rsid w:val="001C4BF9"/>
    <w:rsid w:val="001C4FC6"/>
    <w:rsid w:val="001C5234"/>
    <w:rsid w:val="001C5B04"/>
    <w:rsid w:val="001C61D4"/>
    <w:rsid w:val="001C6F86"/>
    <w:rsid w:val="001C7632"/>
    <w:rsid w:val="001C7773"/>
    <w:rsid w:val="001C7A7B"/>
    <w:rsid w:val="001C7C88"/>
    <w:rsid w:val="001D0021"/>
    <w:rsid w:val="001D0C08"/>
    <w:rsid w:val="001D11ED"/>
    <w:rsid w:val="001D23E8"/>
    <w:rsid w:val="001D23E9"/>
    <w:rsid w:val="001D3124"/>
    <w:rsid w:val="001D32AD"/>
    <w:rsid w:val="001D3AC1"/>
    <w:rsid w:val="001D4712"/>
    <w:rsid w:val="001D6941"/>
    <w:rsid w:val="001E09A9"/>
    <w:rsid w:val="001E1A4F"/>
    <w:rsid w:val="001E2B7B"/>
    <w:rsid w:val="001E2D65"/>
    <w:rsid w:val="001E34CE"/>
    <w:rsid w:val="001E38A0"/>
    <w:rsid w:val="001E41FA"/>
    <w:rsid w:val="001E55B5"/>
    <w:rsid w:val="001E5AA2"/>
    <w:rsid w:val="001E5EBB"/>
    <w:rsid w:val="001E617C"/>
    <w:rsid w:val="001E67BC"/>
    <w:rsid w:val="001E6CCF"/>
    <w:rsid w:val="001E6D68"/>
    <w:rsid w:val="001E792E"/>
    <w:rsid w:val="001F05A5"/>
    <w:rsid w:val="001F0759"/>
    <w:rsid w:val="001F0EC5"/>
    <w:rsid w:val="001F15B4"/>
    <w:rsid w:val="001F1A39"/>
    <w:rsid w:val="001F1BE2"/>
    <w:rsid w:val="001F2585"/>
    <w:rsid w:val="001F271A"/>
    <w:rsid w:val="001F35CF"/>
    <w:rsid w:val="001F3BF5"/>
    <w:rsid w:val="001F3F92"/>
    <w:rsid w:val="001F440E"/>
    <w:rsid w:val="001F45D2"/>
    <w:rsid w:val="001F49F8"/>
    <w:rsid w:val="001F5C81"/>
    <w:rsid w:val="00201546"/>
    <w:rsid w:val="002028A5"/>
    <w:rsid w:val="00203B2D"/>
    <w:rsid w:val="00203F9F"/>
    <w:rsid w:val="00204036"/>
    <w:rsid w:val="0020560B"/>
    <w:rsid w:val="002062BA"/>
    <w:rsid w:val="00207089"/>
    <w:rsid w:val="00207F75"/>
    <w:rsid w:val="00210084"/>
    <w:rsid w:val="002110D3"/>
    <w:rsid w:val="00212D44"/>
    <w:rsid w:val="00212F81"/>
    <w:rsid w:val="0021371A"/>
    <w:rsid w:val="00213ECC"/>
    <w:rsid w:val="00214C34"/>
    <w:rsid w:val="00214EC7"/>
    <w:rsid w:val="0021573E"/>
    <w:rsid w:val="00215DC8"/>
    <w:rsid w:val="00216992"/>
    <w:rsid w:val="00216D99"/>
    <w:rsid w:val="00217911"/>
    <w:rsid w:val="002207DD"/>
    <w:rsid w:val="00221041"/>
    <w:rsid w:val="0022151A"/>
    <w:rsid w:val="00221A93"/>
    <w:rsid w:val="00221D44"/>
    <w:rsid w:val="0022295D"/>
    <w:rsid w:val="002229B0"/>
    <w:rsid w:val="00222AF5"/>
    <w:rsid w:val="0022302C"/>
    <w:rsid w:val="00223767"/>
    <w:rsid w:val="00224B1C"/>
    <w:rsid w:val="00227E5F"/>
    <w:rsid w:val="00230897"/>
    <w:rsid w:val="00231BEC"/>
    <w:rsid w:val="00231DC9"/>
    <w:rsid w:val="0023221C"/>
    <w:rsid w:val="002323E3"/>
    <w:rsid w:val="00232F54"/>
    <w:rsid w:val="0023312F"/>
    <w:rsid w:val="0023385C"/>
    <w:rsid w:val="002339EB"/>
    <w:rsid w:val="002340E5"/>
    <w:rsid w:val="00234194"/>
    <w:rsid w:val="00234550"/>
    <w:rsid w:val="00234A78"/>
    <w:rsid w:val="00235885"/>
    <w:rsid w:val="0023596B"/>
    <w:rsid w:val="00235D7E"/>
    <w:rsid w:val="00236321"/>
    <w:rsid w:val="00236730"/>
    <w:rsid w:val="002405C2"/>
    <w:rsid w:val="00240BDF"/>
    <w:rsid w:val="0024116B"/>
    <w:rsid w:val="00241A21"/>
    <w:rsid w:val="00242858"/>
    <w:rsid w:val="002428EA"/>
    <w:rsid w:val="00242B5A"/>
    <w:rsid w:val="0024311A"/>
    <w:rsid w:val="00243D01"/>
    <w:rsid w:val="00245562"/>
    <w:rsid w:val="002456FD"/>
    <w:rsid w:val="00245C5F"/>
    <w:rsid w:val="00245FF5"/>
    <w:rsid w:val="002461C6"/>
    <w:rsid w:val="00246CE1"/>
    <w:rsid w:val="002475B1"/>
    <w:rsid w:val="00247E17"/>
    <w:rsid w:val="00250F3F"/>
    <w:rsid w:val="002532D8"/>
    <w:rsid w:val="002537A8"/>
    <w:rsid w:val="002550C3"/>
    <w:rsid w:val="0025511C"/>
    <w:rsid w:val="00256E35"/>
    <w:rsid w:val="0025741D"/>
    <w:rsid w:val="0025772A"/>
    <w:rsid w:val="00257C70"/>
    <w:rsid w:val="0026034D"/>
    <w:rsid w:val="00260933"/>
    <w:rsid w:val="00260D78"/>
    <w:rsid w:val="00261034"/>
    <w:rsid w:val="00261C36"/>
    <w:rsid w:val="00261FF8"/>
    <w:rsid w:val="00263A0D"/>
    <w:rsid w:val="00264151"/>
    <w:rsid w:val="002660A5"/>
    <w:rsid w:val="0026655C"/>
    <w:rsid w:val="00266587"/>
    <w:rsid w:val="00266771"/>
    <w:rsid w:val="00266AC5"/>
    <w:rsid w:val="00266AD7"/>
    <w:rsid w:val="0026773B"/>
    <w:rsid w:val="0027014F"/>
    <w:rsid w:val="002704DA"/>
    <w:rsid w:val="002714FA"/>
    <w:rsid w:val="00272466"/>
    <w:rsid w:val="00273277"/>
    <w:rsid w:val="00273C23"/>
    <w:rsid w:val="002741D1"/>
    <w:rsid w:val="00274289"/>
    <w:rsid w:val="00274464"/>
    <w:rsid w:val="00275B41"/>
    <w:rsid w:val="00276526"/>
    <w:rsid w:val="00276748"/>
    <w:rsid w:val="00276AE2"/>
    <w:rsid w:val="0027796E"/>
    <w:rsid w:val="002805F7"/>
    <w:rsid w:val="002807F6"/>
    <w:rsid w:val="00281B43"/>
    <w:rsid w:val="00281DBE"/>
    <w:rsid w:val="00282FE1"/>
    <w:rsid w:val="00283549"/>
    <w:rsid w:val="00284120"/>
    <w:rsid w:val="0028436A"/>
    <w:rsid w:val="00286015"/>
    <w:rsid w:val="002866DF"/>
    <w:rsid w:val="002868C2"/>
    <w:rsid w:val="00287252"/>
    <w:rsid w:val="00287F0D"/>
    <w:rsid w:val="00290453"/>
    <w:rsid w:val="00291A4E"/>
    <w:rsid w:val="00293E05"/>
    <w:rsid w:val="00294145"/>
    <w:rsid w:val="00294164"/>
    <w:rsid w:val="002943B8"/>
    <w:rsid w:val="00294C2D"/>
    <w:rsid w:val="002960FC"/>
    <w:rsid w:val="00296DBC"/>
    <w:rsid w:val="002979A8"/>
    <w:rsid w:val="002A02D5"/>
    <w:rsid w:val="002A1C7F"/>
    <w:rsid w:val="002A1EEC"/>
    <w:rsid w:val="002A2749"/>
    <w:rsid w:val="002A39DE"/>
    <w:rsid w:val="002A3F5B"/>
    <w:rsid w:val="002A4037"/>
    <w:rsid w:val="002A4EA1"/>
    <w:rsid w:val="002A5763"/>
    <w:rsid w:val="002A5779"/>
    <w:rsid w:val="002A6519"/>
    <w:rsid w:val="002A6DF0"/>
    <w:rsid w:val="002B0738"/>
    <w:rsid w:val="002B100C"/>
    <w:rsid w:val="002B1D45"/>
    <w:rsid w:val="002B1D52"/>
    <w:rsid w:val="002B2AA1"/>
    <w:rsid w:val="002B2EAE"/>
    <w:rsid w:val="002B35A7"/>
    <w:rsid w:val="002B3FD2"/>
    <w:rsid w:val="002B4E7A"/>
    <w:rsid w:val="002B5600"/>
    <w:rsid w:val="002B5EE7"/>
    <w:rsid w:val="002B5F4F"/>
    <w:rsid w:val="002C1069"/>
    <w:rsid w:val="002C1527"/>
    <w:rsid w:val="002C1544"/>
    <w:rsid w:val="002C4B80"/>
    <w:rsid w:val="002C618B"/>
    <w:rsid w:val="002C6CED"/>
    <w:rsid w:val="002D02B8"/>
    <w:rsid w:val="002D042D"/>
    <w:rsid w:val="002D0BEA"/>
    <w:rsid w:val="002D1B53"/>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3EF"/>
    <w:rsid w:val="002E5483"/>
    <w:rsid w:val="002E55D3"/>
    <w:rsid w:val="002E759D"/>
    <w:rsid w:val="002E7A65"/>
    <w:rsid w:val="002F015D"/>
    <w:rsid w:val="002F0C5F"/>
    <w:rsid w:val="002F112F"/>
    <w:rsid w:val="002F29C3"/>
    <w:rsid w:val="002F37BE"/>
    <w:rsid w:val="002F38E4"/>
    <w:rsid w:val="002F73E7"/>
    <w:rsid w:val="002F7F9C"/>
    <w:rsid w:val="003007C7"/>
    <w:rsid w:val="00301024"/>
    <w:rsid w:val="003015A9"/>
    <w:rsid w:val="00301877"/>
    <w:rsid w:val="0030249C"/>
    <w:rsid w:val="0030264E"/>
    <w:rsid w:val="00302796"/>
    <w:rsid w:val="00302E11"/>
    <w:rsid w:val="00303A67"/>
    <w:rsid w:val="003042ED"/>
    <w:rsid w:val="00304573"/>
    <w:rsid w:val="00304745"/>
    <w:rsid w:val="00305920"/>
    <w:rsid w:val="00305F17"/>
    <w:rsid w:val="00307A37"/>
    <w:rsid w:val="003116EF"/>
    <w:rsid w:val="003133AE"/>
    <w:rsid w:val="003133CA"/>
    <w:rsid w:val="00313768"/>
    <w:rsid w:val="00313BBD"/>
    <w:rsid w:val="00314B90"/>
    <w:rsid w:val="00314CF5"/>
    <w:rsid w:val="00314F07"/>
    <w:rsid w:val="00315060"/>
    <w:rsid w:val="00315F01"/>
    <w:rsid w:val="0032032A"/>
    <w:rsid w:val="0032198F"/>
    <w:rsid w:val="00322654"/>
    <w:rsid w:val="003235DE"/>
    <w:rsid w:val="00323700"/>
    <w:rsid w:val="00324DA0"/>
    <w:rsid w:val="00324DF7"/>
    <w:rsid w:val="003253DF"/>
    <w:rsid w:val="003255E2"/>
    <w:rsid w:val="00325858"/>
    <w:rsid w:val="00325D19"/>
    <w:rsid w:val="00325E6D"/>
    <w:rsid w:val="0033001F"/>
    <w:rsid w:val="00330025"/>
    <w:rsid w:val="00330AF9"/>
    <w:rsid w:val="00330BB9"/>
    <w:rsid w:val="00330C89"/>
    <w:rsid w:val="00330CC5"/>
    <w:rsid w:val="0033102A"/>
    <w:rsid w:val="00331AF4"/>
    <w:rsid w:val="00332E80"/>
    <w:rsid w:val="00334E0F"/>
    <w:rsid w:val="00335099"/>
    <w:rsid w:val="00335232"/>
    <w:rsid w:val="003368B1"/>
    <w:rsid w:val="00337A0F"/>
    <w:rsid w:val="0034025A"/>
    <w:rsid w:val="003402A7"/>
    <w:rsid w:val="003413CC"/>
    <w:rsid w:val="00342233"/>
    <w:rsid w:val="00342A99"/>
    <w:rsid w:val="00342BB6"/>
    <w:rsid w:val="0034332D"/>
    <w:rsid w:val="00343BA7"/>
    <w:rsid w:val="00343F05"/>
    <w:rsid w:val="00344080"/>
    <w:rsid w:val="00344A26"/>
    <w:rsid w:val="00345278"/>
    <w:rsid w:val="00345916"/>
    <w:rsid w:val="00345977"/>
    <w:rsid w:val="00346626"/>
    <w:rsid w:val="003475B4"/>
    <w:rsid w:val="00350226"/>
    <w:rsid w:val="003502CE"/>
    <w:rsid w:val="003506E9"/>
    <w:rsid w:val="00351A93"/>
    <w:rsid w:val="00352386"/>
    <w:rsid w:val="00352A62"/>
    <w:rsid w:val="003530A7"/>
    <w:rsid w:val="00353854"/>
    <w:rsid w:val="0035390D"/>
    <w:rsid w:val="00354724"/>
    <w:rsid w:val="00354E7A"/>
    <w:rsid w:val="00354F42"/>
    <w:rsid w:val="003553BF"/>
    <w:rsid w:val="0035582F"/>
    <w:rsid w:val="00355857"/>
    <w:rsid w:val="00356CF8"/>
    <w:rsid w:val="0035738E"/>
    <w:rsid w:val="003573D2"/>
    <w:rsid w:val="00357FCD"/>
    <w:rsid w:val="0036081D"/>
    <w:rsid w:val="003626D2"/>
    <w:rsid w:val="00362B80"/>
    <w:rsid w:val="00363608"/>
    <w:rsid w:val="003637C2"/>
    <w:rsid w:val="0036401D"/>
    <w:rsid w:val="00364703"/>
    <w:rsid w:val="00364C3D"/>
    <w:rsid w:val="00365AF0"/>
    <w:rsid w:val="00365D8C"/>
    <w:rsid w:val="003669BC"/>
    <w:rsid w:val="00366EEA"/>
    <w:rsid w:val="00367B01"/>
    <w:rsid w:val="003700B6"/>
    <w:rsid w:val="0037124A"/>
    <w:rsid w:val="00371989"/>
    <w:rsid w:val="00371BF8"/>
    <w:rsid w:val="00372542"/>
    <w:rsid w:val="00373B74"/>
    <w:rsid w:val="0037472E"/>
    <w:rsid w:val="00374C88"/>
    <w:rsid w:val="003756FF"/>
    <w:rsid w:val="003765E5"/>
    <w:rsid w:val="003769D6"/>
    <w:rsid w:val="00376F0D"/>
    <w:rsid w:val="00377A58"/>
    <w:rsid w:val="00377EF9"/>
    <w:rsid w:val="00380C2A"/>
    <w:rsid w:val="00380E27"/>
    <w:rsid w:val="00380E99"/>
    <w:rsid w:val="00381BCF"/>
    <w:rsid w:val="00382B41"/>
    <w:rsid w:val="00383158"/>
    <w:rsid w:val="00383E5C"/>
    <w:rsid w:val="00384EFB"/>
    <w:rsid w:val="0038754B"/>
    <w:rsid w:val="003876A1"/>
    <w:rsid w:val="00387703"/>
    <w:rsid w:val="003906A1"/>
    <w:rsid w:val="00391088"/>
    <w:rsid w:val="00391797"/>
    <w:rsid w:val="00392059"/>
    <w:rsid w:val="003923E5"/>
    <w:rsid w:val="00392439"/>
    <w:rsid w:val="003931E6"/>
    <w:rsid w:val="00394CC4"/>
    <w:rsid w:val="0039511C"/>
    <w:rsid w:val="003951A1"/>
    <w:rsid w:val="003953FE"/>
    <w:rsid w:val="00395C81"/>
    <w:rsid w:val="0039625C"/>
    <w:rsid w:val="003972B1"/>
    <w:rsid w:val="00397754"/>
    <w:rsid w:val="00397A35"/>
    <w:rsid w:val="003A018F"/>
    <w:rsid w:val="003A0315"/>
    <w:rsid w:val="003A0B1A"/>
    <w:rsid w:val="003A0D42"/>
    <w:rsid w:val="003A0D46"/>
    <w:rsid w:val="003A205F"/>
    <w:rsid w:val="003A2B20"/>
    <w:rsid w:val="003A32D0"/>
    <w:rsid w:val="003A4365"/>
    <w:rsid w:val="003A49BA"/>
    <w:rsid w:val="003A4D6D"/>
    <w:rsid w:val="003A5DE0"/>
    <w:rsid w:val="003A5F45"/>
    <w:rsid w:val="003A7E7E"/>
    <w:rsid w:val="003A7F66"/>
    <w:rsid w:val="003B07FA"/>
    <w:rsid w:val="003B087D"/>
    <w:rsid w:val="003B097B"/>
    <w:rsid w:val="003B193D"/>
    <w:rsid w:val="003B1AA8"/>
    <w:rsid w:val="003B26D9"/>
    <w:rsid w:val="003B33A0"/>
    <w:rsid w:val="003B37ED"/>
    <w:rsid w:val="003B3A84"/>
    <w:rsid w:val="003B3F74"/>
    <w:rsid w:val="003B4F11"/>
    <w:rsid w:val="003B509F"/>
    <w:rsid w:val="003B5937"/>
    <w:rsid w:val="003B5BAD"/>
    <w:rsid w:val="003B7187"/>
    <w:rsid w:val="003B7A7F"/>
    <w:rsid w:val="003B7AEE"/>
    <w:rsid w:val="003B7CE6"/>
    <w:rsid w:val="003C08E5"/>
    <w:rsid w:val="003C1704"/>
    <w:rsid w:val="003C170F"/>
    <w:rsid w:val="003C1BBA"/>
    <w:rsid w:val="003C2BB7"/>
    <w:rsid w:val="003C39F5"/>
    <w:rsid w:val="003C4678"/>
    <w:rsid w:val="003C470F"/>
    <w:rsid w:val="003C4C9C"/>
    <w:rsid w:val="003C56DC"/>
    <w:rsid w:val="003C5FC8"/>
    <w:rsid w:val="003C7779"/>
    <w:rsid w:val="003D08B8"/>
    <w:rsid w:val="003D0EEE"/>
    <w:rsid w:val="003D177D"/>
    <w:rsid w:val="003D202B"/>
    <w:rsid w:val="003D2AD0"/>
    <w:rsid w:val="003D2BDE"/>
    <w:rsid w:val="003D371B"/>
    <w:rsid w:val="003D3BA1"/>
    <w:rsid w:val="003D439B"/>
    <w:rsid w:val="003D5038"/>
    <w:rsid w:val="003D5E06"/>
    <w:rsid w:val="003D5EF4"/>
    <w:rsid w:val="003D642A"/>
    <w:rsid w:val="003D6715"/>
    <w:rsid w:val="003D753B"/>
    <w:rsid w:val="003D79EB"/>
    <w:rsid w:val="003E0652"/>
    <w:rsid w:val="003E1CF7"/>
    <w:rsid w:val="003E3AF2"/>
    <w:rsid w:val="003E4952"/>
    <w:rsid w:val="003E4C4D"/>
    <w:rsid w:val="003E626F"/>
    <w:rsid w:val="003E629B"/>
    <w:rsid w:val="003E74C7"/>
    <w:rsid w:val="003E7670"/>
    <w:rsid w:val="003E798A"/>
    <w:rsid w:val="003E7D38"/>
    <w:rsid w:val="003F1695"/>
    <w:rsid w:val="003F1F14"/>
    <w:rsid w:val="003F2814"/>
    <w:rsid w:val="003F29FC"/>
    <w:rsid w:val="003F631E"/>
    <w:rsid w:val="003F6F47"/>
    <w:rsid w:val="004000FB"/>
    <w:rsid w:val="00400445"/>
    <w:rsid w:val="00400544"/>
    <w:rsid w:val="0040107A"/>
    <w:rsid w:val="0040175C"/>
    <w:rsid w:val="004028B0"/>
    <w:rsid w:val="00402A0C"/>
    <w:rsid w:val="004033C1"/>
    <w:rsid w:val="00404224"/>
    <w:rsid w:val="00405B98"/>
    <w:rsid w:val="004061F2"/>
    <w:rsid w:val="00406587"/>
    <w:rsid w:val="00411089"/>
    <w:rsid w:val="00411354"/>
    <w:rsid w:val="0041135C"/>
    <w:rsid w:val="0041268F"/>
    <w:rsid w:val="00412F03"/>
    <w:rsid w:val="00413AF6"/>
    <w:rsid w:val="004154F3"/>
    <w:rsid w:val="0041561B"/>
    <w:rsid w:val="0041742D"/>
    <w:rsid w:val="00417E60"/>
    <w:rsid w:val="00417FDA"/>
    <w:rsid w:val="0042074E"/>
    <w:rsid w:val="00421014"/>
    <w:rsid w:val="004211E8"/>
    <w:rsid w:val="00421A0C"/>
    <w:rsid w:val="00421D1B"/>
    <w:rsid w:val="0042203A"/>
    <w:rsid w:val="00423995"/>
    <w:rsid w:val="004239D2"/>
    <w:rsid w:val="004257B0"/>
    <w:rsid w:val="00425D3E"/>
    <w:rsid w:val="00425D42"/>
    <w:rsid w:val="004267CE"/>
    <w:rsid w:val="00430471"/>
    <w:rsid w:val="00430ADC"/>
    <w:rsid w:val="00431742"/>
    <w:rsid w:val="00431758"/>
    <w:rsid w:val="00431A01"/>
    <w:rsid w:val="00432211"/>
    <w:rsid w:val="0043224D"/>
    <w:rsid w:val="00432E39"/>
    <w:rsid w:val="004336EC"/>
    <w:rsid w:val="00433875"/>
    <w:rsid w:val="00434E99"/>
    <w:rsid w:val="00435012"/>
    <w:rsid w:val="00435855"/>
    <w:rsid w:val="00436776"/>
    <w:rsid w:val="004368A7"/>
    <w:rsid w:val="00437565"/>
    <w:rsid w:val="00440473"/>
    <w:rsid w:val="004421CD"/>
    <w:rsid w:val="00443261"/>
    <w:rsid w:val="00443FE8"/>
    <w:rsid w:val="00444271"/>
    <w:rsid w:val="00444299"/>
    <w:rsid w:val="004445A3"/>
    <w:rsid w:val="00445EF3"/>
    <w:rsid w:val="00446A38"/>
    <w:rsid w:val="00446A7A"/>
    <w:rsid w:val="00447694"/>
    <w:rsid w:val="00450B7B"/>
    <w:rsid w:val="00450F59"/>
    <w:rsid w:val="00451386"/>
    <w:rsid w:val="0045192C"/>
    <w:rsid w:val="00451EC5"/>
    <w:rsid w:val="00451F3A"/>
    <w:rsid w:val="00452A7C"/>
    <w:rsid w:val="00452B1B"/>
    <w:rsid w:val="00452E54"/>
    <w:rsid w:val="00453085"/>
    <w:rsid w:val="00454309"/>
    <w:rsid w:val="0045542A"/>
    <w:rsid w:val="00455594"/>
    <w:rsid w:val="00455DEB"/>
    <w:rsid w:val="0045608B"/>
    <w:rsid w:val="00456119"/>
    <w:rsid w:val="00456B74"/>
    <w:rsid w:val="004604BD"/>
    <w:rsid w:val="004616AF"/>
    <w:rsid w:val="00461FA5"/>
    <w:rsid w:val="00462DA2"/>
    <w:rsid w:val="0046357F"/>
    <w:rsid w:val="00463C2A"/>
    <w:rsid w:val="00463CFB"/>
    <w:rsid w:val="00464E04"/>
    <w:rsid w:val="00464E53"/>
    <w:rsid w:val="00464E8F"/>
    <w:rsid w:val="00465270"/>
    <w:rsid w:val="00465962"/>
    <w:rsid w:val="00467EF9"/>
    <w:rsid w:val="004700FA"/>
    <w:rsid w:val="0047055F"/>
    <w:rsid w:val="0047201E"/>
    <w:rsid w:val="00473D3B"/>
    <w:rsid w:val="00474A2F"/>
    <w:rsid w:val="00475F83"/>
    <w:rsid w:val="004761EB"/>
    <w:rsid w:val="004772DE"/>
    <w:rsid w:val="004778AC"/>
    <w:rsid w:val="00477A16"/>
    <w:rsid w:val="0048007E"/>
    <w:rsid w:val="0048191D"/>
    <w:rsid w:val="00481DD2"/>
    <w:rsid w:val="0048226A"/>
    <w:rsid w:val="004825EF"/>
    <w:rsid w:val="00482772"/>
    <w:rsid w:val="0048294D"/>
    <w:rsid w:val="004855FB"/>
    <w:rsid w:val="004856B5"/>
    <w:rsid w:val="0048667C"/>
    <w:rsid w:val="0049155F"/>
    <w:rsid w:val="004915AD"/>
    <w:rsid w:val="004916B1"/>
    <w:rsid w:val="00492338"/>
    <w:rsid w:val="004928C3"/>
    <w:rsid w:val="004928ED"/>
    <w:rsid w:val="00493633"/>
    <w:rsid w:val="0049450C"/>
    <w:rsid w:val="004947C6"/>
    <w:rsid w:val="004948DE"/>
    <w:rsid w:val="00495608"/>
    <w:rsid w:val="00495EFA"/>
    <w:rsid w:val="00496829"/>
    <w:rsid w:val="00497CB1"/>
    <w:rsid w:val="004A0102"/>
    <w:rsid w:val="004A086D"/>
    <w:rsid w:val="004A0EE0"/>
    <w:rsid w:val="004A1647"/>
    <w:rsid w:val="004A1ED7"/>
    <w:rsid w:val="004A2469"/>
    <w:rsid w:val="004A2C9F"/>
    <w:rsid w:val="004A42FB"/>
    <w:rsid w:val="004A4565"/>
    <w:rsid w:val="004A5A54"/>
    <w:rsid w:val="004A5AB1"/>
    <w:rsid w:val="004A6338"/>
    <w:rsid w:val="004A66BE"/>
    <w:rsid w:val="004A6806"/>
    <w:rsid w:val="004A692F"/>
    <w:rsid w:val="004A6A50"/>
    <w:rsid w:val="004A6DFF"/>
    <w:rsid w:val="004A6E95"/>
    <w:rsid w:val="004A7BA8"/>
    <w:rsid w:val="004A7D73"/>
    <w:rsid w:val="004A7ECB"/>
    <w:rsid w:val="004B1B8A"/>
    <w:rsid w:val="004B2274"/>
    <w:rsid w:val="004B2D23"/>
    <w:rsid w:val="004B35F4"/>
    <w:rsid w:val="004B392D"/>
    <w:rsid w:val="004B3E77"/>
    <w:rsid w:val="004B3E7C"/>
    <w:rsid w:val="004B5E53"/>
    <w:rsid w:val="004B6A39"/>
    <w:rsid w:val="004B7F3C"/>
    <w:rsid w:val="004C1498"/>
    <w:rsid w:val="004C1E85"/>
    <w:rsid w:val="004C2069"/>
    <w:rsid w:val="004C2A5C"/>
    <w:rsid w:val="004C2DE6"/>
    <w:rsid w:val="004C30BE"/>
    <w:rsid w:val="004C3B0E"/>
    <w:rsid w:val="004C45E6"/>
    <w:rsid w:val="004C5250"/>
    <w:rsid w:val="004C5512"/>
    <w:rsid w:val="004C574A"/>
    <w:rsid w:val="004C5994"/>
    <w:rsid w:val="004C5E6D"/>
    <w:rsid w:val="004C6590"/>
    <w:rsid w:val="004C666D"/>
    <w:rsid w:val="004C6D6F"/>
    <w:rsid w:val="004C6E58"/>
    <w:rsid w:val="004C7028"/>
    <w:rsid w:val="004D0C3C"/>
    <w:rsid w:val="004D17D1"/>
    <w:rsid w:val="004D1B50"/>
    <w:rsid w:val="004D1F16"/>
    <w:rsid w:val="004D339B"/>
    <w:rsid w:val="004D33D8"/>
    <w:rsid w:val="004D3503"/>
    <w:rsid w:val="004D36B1"/>
    <w:rsid w:val="004D3A27"/>
    <w:rsid w:val="004D4193"/>
    <w:rsid w:val="004D4E34"/>
    <w:rsid w:val="004D70F5"/>
    <w:rsid w:val="004D75C1"/>
    <w:rsid w:val="004E02ED"/>
    <w:rsid w:val="004E044D"/>
    <w:rsid w:val="004E0A90"/>
    <w:rsid w:val="004E255E"/>
    <w:rsid w:val="004E3816"/>
    <w:rsid w:val="004E38C6"/>
    <w:rsid w:val="004E3C34"/>
    <w:rsid w:val="004E470D"/>
    <w:rsid w:val="004E55D3"/>
    <w:rsid w:val="004E69E0"/>
    <w:rsid w:val="004E72C7"/>
    <w:rsid w:val="004E77F6"/>
    <w:rsid w:val="004E7FDB"/>
    <w:rsid w:val="004F0051"/>
    <w:rsid w:val="004F030D"/>
    <w:rsid w:val="004F039A"/>
    <w:rsid w:val="004F0BE3"/>
    <w:rsid w:val="004F1F48"/>
    <w:rsid w:val="004F1FF1"/>
    <w:rsid w:val="004F2FA6"/>
    <w:rsid w:val="004F33B7"/>
    <w:rsid w:val="004F353C"/>
    <w:rsid w:val="004F4957"/>
    <w:rsid w:val="004F5749"/>
    <w:rsid w:val="004F5F41"/>
    <w:rsid w:val="004F62FD"/>
    <w:rsid w:val="004F7437"/>
    <w:rsid w:val="004F78C8"/>
    <w:rsid w:val="00501129"/>
    <w:rsid w:val="00501843"/>
    <w:rsid w:val="005037C0"/>
    <w:rsid w:val="00505D9D"/>
    <w:rsid w:val="00505F3B"/>
    <w:rsid w:val="005061D7"/>
    <w:rsid w:val="00506252"/>
    <w:rsid w:val="00506C39"/>
    <w:rsid w:val="0050720C"/>
    <w:rsid w:val="00507694"/>
    <w:rsid w:val="00510FD9"/>
    <w:rsid w:val="00511A34"/>
    <w:rsid w:val="00511E5D"/>
    <w:rsid w:val="005134BB"/>
    <w:rsid w:val="005138FC"/>
    <w:rsid w:val="00513F8B"/>
    <w:rsid w:val="00514167"/>
    <w:rsid w:val="00514668"/>
    <w:rsid w:val="00514865"/>
    <w:rsid w:val="0051519E"/>
    <w:rsid w:val="00515FC2"/>
    <w:rsid w:val="00516518"/>
    <w:rsid w:val="00516E41"/>
    <w:rsid w:val="005206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6466"/>
    <w:rsid w:val="005271BF"/>
    <w:rsid w:val="00527C58"/>
    <w:rsid w:val="00527CC7"/>
    <w:rsid w:val="005307B5"/>
    <w:rsid w:val="00530DF9"/>
    <w:rsid w:val="00530E53"/>
    <w:rsid w:val="00531281"/>
    <w:rsid w:val="00531654"/>
    <w:rsid w:val="00531AAA"/>
    <w:rsid w:val="00531D90"/>
    <w:rsid w:val="0053246E"/>
    <w:rsid w:val="00533430"/>
    <w:rsid w:val="00534411"/>
    <w:rsid w:val="00534A34"/>
    <w:rsid w:val="00534BD4"/>
    <w:rsid w:val="00535E8C"/>
    <w:rsid w:val="00536027"/>
    <w:rsid w:val="005364BF"/>
    <w:rsid w:val="005365AB"/>
    <w:rsid w:val="00536BC0"/>
    <w:rsid w:val="0053796E"/>
    <w:rsid w:val="00537EE5"/>
    <w:rsid w:val="00540936"/>
    <w:rsid w:val="0054141A"/>
    <w:rsid w:val="0054147B"/>
    <w:rsid w:val="00541CB0"/>
    <w:rsid w:val="00543862"/>
    <w:rsid w:val="00543B27"/>
    <w:rsid w:val="005444A8"/>
    <w:rsid w:val="00545746"/>
    <w:rsid w:val="00545F54"/>
    <w:rsid w:val="00546472"/>
    <w:rsid w:val="005466D0"/>
    <w:rsid w:val="0054689F"/>
    <w:rsid w:val="00547D1F"/>
    <w:rsid w:val="005512E3"/>
    <w:rsid w:val="005512EC"/>
    <w:rsid w:val="00551B7D"/>
    <w:rsid w:val="00551D10"/>
    <w:rsid w:val="005531B3"/>
    <w:rsid w:val="00553522"/>
    <w:rsid w:val="005539D6"/>
    <w:rsid w:val="005546E0"/>
    <w:rsid w:val="00555473"/>
    <w:rsid w:val="00556644"/>
    <w:rsid w:val="0055710E"/>
    <w:rsid w:val="005572AD"/>
    <w:rsid w:val="0055746A"/>
    <w:rsid w:val="00561A33"/>
    <w:rsid w:val="00561B91"/>
    <w:rsid w:val="00561C39"/>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20E"/>
    <w:rsid w:val="005767D5"/>
    <w:rsid w:val="00576A2C"/>
    <w:rsid w:val="00580BCA"/>
    <w:rsid w:val="00580EB5"/>
    <w:rsid w:val="00580F71"/>
    <w:rsid w:val="005812EB"/>
    <w:rsid w:val="00581AAE"/>
    <w:rsid w:val="0058263A"/>
    <w:rsid w:val="00582BAE"/>
    <w:rsid w:val="00582D38"/>
    <w:rsid w:val="005838C2"/>
    <w:rsid w:val="00583BC3"/>
    <w:rsid w:val="0058495D"/>
    <w:rsid w:val="005871E5"/>
    <w:rsid w:val="00587DF0"/>
    <w:rsid w:val="005904DB"/>
    <w:rsid w:val="00590F19"/>
    <w:rsid w:val="00591175"/>
    <w:rsid w:val="0059132C"/>
    <w:rsid w:val="00591586"/>
    <w:rsid w:val="00591ACD"/>
    <w:rsid w:val="00591D72"/>
    <w:rsid w:val="005920D1"/>
    <w:rsid w:val="00592F68"/>
    <w:rsid w:val="005932F8"/>
    <w:rsid w:val="00593711"/>
    <w:rsid w:val="0059379C"/>
    <w:rsid w:val="00593A06"/>
    <w:rsid w:val="00593B09"/>
    <w:rsid w:val="00593EB2"/>
    <w:rsid w:val="00594025"/>
    <w:rsid w:val="00594953"/>
    <w:rsid w:val="00595362"/>
    <w:rsid w:val="00595BB1"/>
    <w:rsid w:val="00596250"/>
    <w:rsid w:val="005979C3"/>
    <w:rsid w:val="005A0DCA"/>
    <w:rsid w:val="005A0EAF"/>
    <w:rsid w:val="005A0F89"/>
    <w:rsid w:val="005A14C6"/>
    <w:rsid w:val="005A1574"/>
    <w:rsid w:val="005A1B14"/>
    <w:rsid w:val="005A3156"/>
    <w:rsid w:val="005A3A84"/>
    <w:rsid w:val="005A43EB"/>
    <w:rsid w:val="005A4FF4"/>
    <w:rsid w:val="005A5FBA"/>
    <w:rsid w:val="005A6104"/>
    <w:rsid w:val="005A6641"/>
    <w:rsid w:val="005B0936"/>
    <w:rsid w:val="005B0CB9"/>
    <w:rsid w:val="005B0F5F"/>
    <w:rsid w:val="005B1085"/>
    <w:rsid w:val="005B1AEB"/>
    <w:rsid w:val="005B2F8F"/>
    <w:rsid w:val="005B4460"/>
    <w:rsid w:val="005B50C5"/>
    <w:rsid w:val="005B5B8A"/>
    <w:rsid w:val="005B5F74"/>
    <w:rsid w:val="005B66C4"/>
    <w:rsid w:val="005B6B93"/>
    <w:rsid w:val="005B6BF9"/>
    <w:rsid w:val="005B6E45"/>
    <w:rsid w:val="005B7806"/>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1544"/>
    <w:rsid w:val="005D39EF"/>
    <w:rsid w:val="005D3EFE"/>
    <w:rsid w:val="005D4333"/>
    <w:rsid w:val="005D56ED"/>
    <w:rsid w:val="005D5921"/>
    <w:rsid w:val="005D6F48"/>
    <w:rsid w:val="005D7E7F"/>
    <w:rsid w:val="005E025F"/>
    <w:rsid w:val="005E0CB3"/>
    <w:rsid w:val="005E0DE1"/>
    <w:rsid w:val="005E18C8"/>
    <w:rsid w:val="005E1AF1"/>
    <w:rsid w:val="005E30AA"/>
    <w:rsid w:val="005E33D0"/>
    <w:rsid w:val="005E359F"/>
    <w:rsid w:val="005E39EB"/>
    <w:rsid w:val="005E474F"/>
    <w:rsid w:val="005E47A2"/>
    <w:rsid w:val="005E4DDA"/>
    <w:rsid w:val="005E51D7"/>
    <w:rsid w:val="005E600B"/>
    <w:rsid w:val="005E6683"/>
    <w:rsid w:val="005E6F92"/>
    <w:rsid w:val="005E7099"/>
    <w:rsid w:val="005E7418"/>
    <w:rsid w:val="005E7D45"/>
    <w:rsid w:val="005E7E4A"/>
    <w:rsid w:val="005E7FD2"/>
    <w:rsid w:val="005F00AE"/>
    <w:rsid w:val="005F0BDA"/>
    <w:rsid w:val="005F20CC"/>
    <w:rsid w:val="005F2803"/>
    <w:rsid w:val="005F293C"/>
    <w:rsid w:val="005F2DA8"/>
    <w:rsid w:val="005F353C"/>
    <w:rsid w:val="005F3745"/>
    <w:rsid w:val="005F416E"/>
    <w:rsid w:val="005F4D43"/>
    <w:rsid w:val="005F5F4E"/>
    <w:rsid w:val="005F64D9"/>
    <w:rsid w:val="005F7132"/>
    <w:rsid w:val="00600690"/>
    <w:rsid w:val="00600D28"/>
    <w:rsid w:val="0060208D"/>
    <w:rsid w:val="0060231E"/>
    <w:rsid w:val="00602398"/>
    <w:rsid w:val="006033F9"/>
    <w:rsid w:val="00603548"/>
    <w:rsid w:val="0060394D"/>
    <w:rsid w:val="00603977"/>
    <w:rsid w:val="00603FA8"/>
    <w:rsid w:val="0060441F"/>
    <w:rsid w:val="0060549A"/>
    <w:rsid w:val="006058E2"/>
    <w:rsid w:val="00605BDD"/>
    <w:rsid w:val="006061CE"/>
    <w:rsid w:val="00606420"/>
    <w:rsid w:val="00606442"/>
    <w:rsid w:val="00606791"/>
    <w:rsid w:val="00606842"/>
    <w:rsid w:val="0061098E"/>
    <w:rsid w:val="00610E34"/>
    <w:rsid w:val="00610E52"/>
    <w:rsid w:val="00611227"/>
    <w:rsid w:val="006112E2"/>
    <w:rsid w:val="006118C1"/>
    <w:rsid w:val="00611A66"/>
    <w:rsid w:val="00611EEF"/>
    <w:rsid w:val="006137D9"/>
    <w:rsid w:val="006139B8"/>
    <w:rsid w:val="00614253"/>
    <w:rsid w:val="00615251"/>
    <w:rsid w:val="0061548E"/>
    <w:rsid w:val="006156F7"/>
    <w:rsid w:val="00615871"/>
    <w:rsid w:val="00615C79"/>
    <w:rsid w:val="00616416"/>
    <w:rsid w:val="006176C5"/>
    <w:rsid w:val="0062024B"/>
    <w:rsid w:val="00620A3F"/>
    <w:rsid w:val="00621E29"/>
    <w:rsid w:val="00622643"/>
    <w:rsid w:val="006251E3"/>
    <w:rsid w:val="0062553E"/>
    <w:rsid w:val="00625FD7"/>
    <w:rsid w:val="006263CC"/>
    <w:rsid w:val="00626605"/>
    <w:rsid w:val="006266B4"/>
    <w:rsid w:val="00627B4F"/>
    <w:rsid w:val="00630546"/>
    <w:rsid w:val="00630591"/>
    <w:rsid w:val="006310F2"/>
    <w:rsid w:val="006312EF"/>
    <w:rsid w:val="006317EB"/>
    <w:rsid w:val="00631A10"/>
    <w:rsid w:val="00633592"/>
    <w:rsid w:val="006335DC"/>
    <w:rsid w:val="00633A8A"/>
    <w:rsid w:val="006340A5"/>
    <w:rsid w:val="00634243"/>
    <w:rsid w:val="00634729"/>
    <w:rsid w:val="00635677"/>
    <w:rsid w:val="00635FA1"/>
    <w:rsid w:val="006361B6"/>
    <w:rsid w:val="0063698B"/>
    <w:rsid w:val="0063720D"/>
    <w:rsid w:val="006379C5"/>
    <w:rsid w:val="006406DC"/>
    <w:rsid w:val="006416DA"/>
    <w:rsid w:val="00641725"/>
    <w:rsid w:val="00641B1D"/>
    <w:rsid w:val="00642BF2"/>
    <w:rsid w:val="00643ADF"/>
    <w:rsid w:val="00643E46"/>
    <w:rsid w:val="00644A6B"/>
    <w:rsid w:val="00644EEE"/>
    <w:rsid w:val="00645B77"/>
    <w:rsid w:val="0064607F"/>
    <w:rsid w:val="006466F8"/>
    <w:rsid w:val="00647A9C"/>
    <w:rsid w:val="00647C8F"/>
    <w:rsid w:val="00647ED5"/>
    <w:rsid w:val="00650008"/>
    <w:rsid w:val="00650402"/>
    <w:rsid w:val="00650CD9"/>
    <w:rsid w:val="0065115D"/>
    <w:rsid w:val="0065155D"/>
    <w:rsid w:val="006525BC"/>
    <w:rsid w:val="00652B88"/>
    <w:rsid w:val="00652EFD"/>
    <w:rsid w:val="00652F08"/>
    <w:rsid w:val="00653C57"/>
    <w:rsid w:val="00654178"/>
    <w:rsid w:val="006543AC"/>
    <w:rsid w:val="00655DDF"/>
    <w:rsid w:val="00656815"/>
    <w:rsid w:val="00657409"/>
    <w:rsid w:val="00657447"/>
    <w:rsid w:val="00657825"/>
    <w:rsid w:val="006610C7"/>
    <w:rsid w:val="0066433D"/>
    <w:rsid w:val="00664388"/>
    <w:rsid w:val="00664FC6"/>
    <w:rsid w:val="00665237"/>
    <w:rsid w:val="00665658"/>
    <w:rsid w:val="006660A3"/>
    <w:rsid w:val="00666D91"/>
    <w:rsid w:val="00667E6E"/>
    <w:rsid w:val="00667EB6"/>
    <w:rsid w:val="006717D9"/>
    <w:rsid w:val="0067191C"/>
    <w:rsid w:val="00671F82"/>
    <w:rsid w:val="0067202D"/>
    <w:rsid w:val="00672A90"/>
    <w:rsid w:val="00674A37"/>
    <w:rsid w:val="00675636"/>
    <w:rsid w:val="00676475"/>
    <w:rsid w:val="006771B9"/>
    <w:rsid w:val="00677222"/>
    <w:rsid w:val="0067794F"/>
    <w:rsid w:val="00681500"/>
    <w:rsid w:val="00681AE4"/>
    <w:rsid w:val="00681C00"/>
    <w:rsid w:val="00682C90"/>
    <w:rsid w:val="00683387"/>
    <w:rsid w:val="0068356C"/>
    <w:rsid w:val="00683F40"/>
    <w:rsid w:val="00684519"/>
    <w:rsid w:val="006846C8"/>
    <w:rsid w:val="006852C8"/>
    <w:rsid w:val="00686FE9"/>
    <w:rsid w:val="00687F4B"/>
    <w:rsid w:val="00690627"/>
    <w:rsid w:val="00691140"/>
    <w:rsid w:val="00691548"/>
    <w:rsid w:val="00693BE4"/>
    <w:rsid w:val="006940AF"/>
    <w:rsid w:val="00694561"/>
    <w:rsid w:val="006945BF"/>
    <w:rsid w:val="006959B3"/>
    <w:rsid w:val="00695B52"/>
    <w:rsid w:val="0069605B"/>
    <w:rsid w:val="006962C2"/>
    <w:rsid w:val="00697093"/>
    <w:rsid w:val="00697AC8"/>
    <w:rsid w:val="006A0D46"/>
    <w:rsid w:val="006A1BC4"/>
    <w:rsid w:val="006A21D5"/>
    <w:rsid w:val="006A2D84"/>
    <w:rsid w:val="006A3A96"/>
    <w:rsid w:val="006A4398"/>
    <w:rsid w:val="006A47E8"/>
    <w:rsid w:val="006A4802"/>
    <w:rsid w:val="006A488E"/>
    <w:rsid w:val="006A4970"/>
    <w:rsid w:val="006A555F"/>
    <w:rsid w:val="006A6BF4"/>
    <w:rsid w:val="006A74D3"/>
    <w:rsid w:val="006A7510"/>
    <w:rsid w:val="006B1F78"/>
    <w:rsid w:val="006B1F7E"/>
    <w:rsid w:val="006B2012"/>
    <w:rsid w:val="006B26E5"/>
    <w:rsid w:val="006B27B2"/>
    <w:rsid w:val="006B2E93"/>
    <w:rsid w:val="006B3F7E"/>
    <w:rsid w:val="006B4360"/>
    <w:rsid w:val="006B4F0B"/>
    <w:rsid w:val="006B6B76"/>
    <w:rsid w:val="006B7553"/>
    <w:rsid w:val="006B7B72"/>
    <w:rsid w:val="006C09ED"/>
    <w:rsid w:val="006C0EF0"/>
    <w:rsid w:val="006C13BC"/>
    <w:rsid w:val="006C1AAC"/>
    <w:rsid w:val="006C236E"/>
    <w:rsid w:val="006C243C"/>
    <w:rsid w:val="006C35F3"/>
    <w:rsid w:val="006C3D17"/>
    <w:rsid w:val="006C4CC0"/>
    <w:rsid w:val="006C5010"/>
    <w:rsid w:val="006C5083"/>
    <w:rsid w:val="006C5FCF"/>
    <w:rsid w:val="006C6031"/>
    <w:rsid w:val="006C62DD"/>
    <w:rsid w:val="006C6988"/>
    <w:rsid w:val="006C699C"/>
    <w:rsid w:val="006C6A4B"/>
    <w:rsid w:val="006C6F07"/>
    <w:rsid w:val="006C7053"/>
    <w:rsid w:val="006D1694"/>
    <w:rsid w:val="006D171E"/>
    <w:rsid w:val="006D240E"/>
    <w:rsid w:val="006D273C"/>
    <w:rsid w:val="006D2F6B"/>
    <w:rsid w:val="006D30EF"/>
    <w:rsid w:val="006D41B8"/>
    <w:rsid w:val="006D4377"/>
    <w:rsid w:val="006D49BE"/>
    <w:rsid w:val="006D4F29"/>
    <w:rsid w:val="006D624A"/>
    <w:rsid w:val="006D6718"/>
    <w:rsid w:val="006D685E"/>
    <w:rsid w:val="006D6C62"/>
    <w:rsid w:val="006D7002"/>
    <w:rsid w:val="006D70E0"/>
    <w:rsid w:val="006D7CB0"/>
    <w:rsid w:val="006E0095"/>
    <w:rsid w:val="006E0884"/>
    <w:rsid w:val="006E1A11"/>
    <w:rsid w:val="006E1BEA"/>
    <w:rsid w:val="006E1CBF"/>
    <w:rsid w:val="006E2023"/>
    <w:rsid w:val="006E2B56"/>
    <w:rsid w:val="006E3888"/>
    <w:rsid w:val="006E459D"/>
    <w:rsid w:val="006E4CDA"/>
    <w:rsid w:val="006E5136"/>
    <w:rsid w:val="006E6A55"/>
    <w:rsid w:val="006E73C7"/>
    <w:rsid w:val="006E7795"/>
    <w:rsid w:val="006F093C"/>
    <w:rsid w:val="006F0C47"/>
    <w:rsid w:val="006F1391"/>
    <w:rsid w:val="006F2476"/>
    <w:rsid w:val="006F3443"/>
    <w:rsid w:val="006F34F7"/>
    <w:rsid w:val="006F40B4"/>
    <w:rsid w:val="006F4580"/>
    <w:rsid w:val="006F45AC"/>
    <w:rsid w:val="006F4AF5"/>
    <w:rsid w:val="006F4B7D"/>
    <w:rsid w:val="006F522F"/>
    <w:rsid w:val="006F56FE"/>
    <w:rsid w:val="006F57C7"/>
    <w:rsid w:val="006F5982"/>
    <w:rsid w:val="006F6E4D"/>
    <w:rsid w:val="006F7076"/>
    <w:rsid w:val="006F7422"/>
    <w:rsid w:val="006F7F28"/>
    <w:rsid w:val="0070086E"/>
    <w:rsid w:val="007010CA"/>
    <w:rsid w:val="00701CF6"/>
    <w:rsid w:val="007021AC"/>
    <w:rsid w:val="00702779"/>
    <w:rsid w:val="00704234"/>
    <w:rsid w:val="00704493"/>
    <w:rsid w:val="007048F6"/>
    <w:rsid w:val="00704AE8"/>
    <w:rsid w:val="00705405"/>
    <w:rsid w:val="007060EA"/>
    <w:rsid w:val="0070726C"/>
    <w:rsid w:val="00707CCD"/>
    <w:rsid w:val="00710C08"/>
    <w:rsid w:val="00711AB8"/>
    <w:rsid w:val="00711CBA"/>
    <w:rsid w:val="00711DD3"/>
    <w:rsid w:val="00711ED9"/>
    <w:rsid w:val="00713133"/>
    <w:rsid w:val="00713907"/>
    <w:rsid w:val="00714F8F"/>
    <w:rsid w:val="00715024"/>
    <w:rsid w:val="00715204"/>
    <w:rsid w:val="00715313"/>
    <w:rsid w:val="0071547F"/>
    <w:rsid w:val="0071588B"/>
    <w:rsid w:val="00715B3E"/>
    <w:rsid w:val="00716138"/>
    <w:rsid w:val="007202A0"/>
    <w:rsid w:val="00720A0C"/>
    <w:rsid w:val="007213F6"/>
    <w:rsid w:val="00722242"/>
    <w:rsid w:val="007230B8"/>
    <w:rsid w:val="00723250"/>
    <w:rsid w:val="0072356C"/>
    <w:rsid w:val="00724A24"/>
    <w:rsid w:val="0072595B"/>
    <w:rsid w:val="0072660B"/>
    <w:rsid w:val="00726739"/>
    <w:rsid w:val="007268B3"/>
    <w:rsid w:val="007271DD"/>
    <w:rsid w:val="00727BB8"/>
    <w:rsid w:val="0073076D"/>
    <w:rsid w:val="0073095E"/>
    <w:rsid w:val="00733036"/>
    <w:rsid w:val="0073305F"/>
    <w:rsid w:val="00734327"/>
    <w:rsid w:val="0073438F"/>
    <w:rsid w:val="007345A5"/>
    <w:rsid w:val="007346D3"/>
    <w:rsid w:val="00735EF1"/>
    <w:rsid w:val="00736C26"/>
    <w:rsid w:val="00741280"/>
    <w:rsid w:val="007415C0"/>
    <w:rsid w:val="007422E4"/>
    <w:rsid w:val="007426CB"/>
    <w:rsid w:val="00742826"/>
    <w:rsid w:val="00743DBE"/>
    <w:rsid w:val="00744032"/>
    <w:rsid w:val="00744874"/>
    <w:rsid w:val="00745258"/>
    <w:rsid w:val="00746D99"/>
    <w:rsid w:val="00746FEC"/>
    <w:rsid w:val="00747DA7"/>
    <w:rsid w:val="0075077A"/>
    <w:rsid w:val="00753561"/>
    <w:rsid w:val="00755333"/>
    <w:rsid w:val="0075653C"/>
    <w:rsid w:val="00756788"/>
    <w:rsid w:val="007568D6"/>
    <w:rsid w:val="0075768B"/>
    <w:rsid w:val="007608DB"/>
    <w:rsid w:val="00760B61"/>
    <w:rsid w:val="007610FE"/>
    <w:rsid w:val="00761EC4"/>
    <w:rsid w:val="007636F3"/>
    <w:rsid w:val="0076548F"/>
    <w:rsid w:val="00766FC1"/>
    <w:rsid w:val="0076746D"/>
    <w:rsid w:val="00767D49"/>
    <w:rsid w:val="00770707"/>
    <w:rsid w:val="0077202B"/>
    <w:rsid w:val="00773047"/>
    <w:rsid w:val="00774087"/>
    <w:rsid w:val="007753FF"/>
    <w:rsid w:val="00775F84"/>
    <w:rsid w:val="007765CB"/>
    <w:rsid w:val="007767DF"/>
    <w:rsid w:val="00776825"/>
    <w:rsid w:val="00777016"/>
    <w:rsid w:val="007774D4"/>
    <w:rsid w:val="00777D1A"/>
    <w:rsid w:val="00777D2F"/>
    <w:rsid w:val="00777D9A"/>
    <w:rsid w:val="00780575"/>
    <w:rsid w:val="00781E73"/>
    <w:rsid w:val="0078346D"/>
    <w:rsid w:val="0078478F"/>
    <w:rsid w:val="00786880"/>
    <w:rsid w:val="00787D60"/>
    <w:rsid w:val="00791665"/>
    <w:rsid w:val="0079189A"/>
    <w:rsid w:val="007919E7"/>
    <w:rsid w:val="00794156"/>
    <w:rsid w:val="00795057"/>
    <w:rsid w:val="007960B0"/>
    <w:rsid w:val="007962CE"/>
    <w:rsid w:val="007965A8"/>
    <w:rsid w:val="0079683B"/>
    <w:rsid w:val="00796B68"/>
    <w:rsid w:val="007A0BCF"/>
    <w:rsid w:val="007A13C1"/>
    <w:rsid w:val="007A1704"/>
    <w:rsid w:val="007A2819"/>
    <w:rsid w:val="007A2D76"/>
    <w:rsid w:val="007A3636"/>
    <w:rsid w:val="007A4215"/>
    <w:rsid w:val="007A4D6D"/>
    <w:rsid w:val="007A53F5"/>
    <w:rsid w:val="007A56DA"/>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1DEE"/>
    <w:rsid w:val="007C2253"/>
    <w:rsid w:val="007C39A1"/>
    <w:rsid w:val="007C3B29"/>
    <w:rsid w:val="007C4316"/>
    <w:rsid w:val="007C45E3"/>
    <w:rsid w:val="007C5809"/>
    <w:rsid w:val="007C5909"/>
    <w:rsid w:val="007C5E2B"/>
    <w:rsid w:val="007C5F30"/>
    <w:rsid w:val="007C5FAB"/>
    <w:rsid w:val="007C66AF"/>
    <w:rsid w:val="007C7761"/>
    <w:rsid w:val="007D0568"/>
    <w:rsid w:val="007D17C4"/>
    <w:rsid w:val="007D1906"/>
    <w:rsid w:val="007D20C0"/>
    <w:rsid w:val="007D2D9A"/>
    <w:rsid w:val="007D47B0"/>
    <w:rsid w:val="007D4845"/>
    <w:rsid w:val="007D498B"/>
    <w:rsid w:val="007D49F7"/>
    <w:rsid w:val="007D5B3B"/>
    <w:rsid w:val="007D6EE2"/>
    <w:rsid w:val="007E12D7"/>
    <w:rsid w:val="007E2C26"/>
    <w:rsid w:val="007E3E42"/>
    <w:rsid w:val="007E409D"/>
    <w:rsid w:val="007E4715"/>
    <w:rsid w:val="007E4AC2"/>
    <w:rsid w:val="007E62DA"/>
    <w:rsid w:val="007E6B93"/>
    <w:rsid w:val="007E6CE9"/>
    <w:rsid w:val="007E7083"/>
    <w:rsid w:val="007F1357"/>
    <w:rsid w:val="007F2A1A"/>
    <w:rsid w:val="007F2F5D"/>
    <w:rsid w:val="007F359E"/>
    <w:rsid w:val="007F3B0F"/>
    <w:rsid w:val="007F3D45"/>
    <w:rsid w:val="007F441F"/>
    <w:rsid w:val="007F4ED1"/>
    <w:rsid w:val="007F5819"/>
    <w:rsid w:val="007F6396"/>
    <w:rsid w:val="007F7066"/>
    <w:rsid w:val="008009C0"/>
    <w:rsid w:val="0080177A"/>
    <w:rsid w:val="00802392"/>
    <w:rsid w:val="00802739"/>
    <w:rsid w:val="00802933"/>
    <w:rsid w:val="00802B06"/>
    <w:rsid w:val="00802BCB"/>
    <w:rsid w:val="00802F62"/>
    <w:rsid w:val="0080342D"/>
    <w:rsid w:val="008034E8"/>
    <w:rsid w:val="0080364F"/>
    <w:rsid w:val="008043A4"/>
    <w:rsid w:val="00804B8A"/>
    <w:rsid w:val="00805586"/>
    <w:rsid w:val="00805DD5"/>
    <w:rsid w:val="0080611C"/>
    <w:rsid w:val="00806653"/>
    <w:rsid w:val="00807706"/>
    <w:rsid w:val="00807A3B"/>
    <w:rsid w:val="00810B97"/>
    <w:rsid w:val="008110F9"/>
    <w:rsid w:val="00811C0C"/>
    <w:rsid w:val="00812E0B"/>
    <w:rsid w:val="0081367A"/>
    <w:rsid w:val="0081378F"/>
    <w:rsid w:val="008144DC"/>
    <w:rsid w:val="00815499"/>
    <w:rsid w:val="00815B75"/>
    <w:rsid w:val="00815BD9"/>
    <w:rsid w:val="00815DF6"/>
    <w:rsid w:val="00815E17"/>
    <w:rsid w:val="00815F6E"/>
    <w:rsid w:val="00820829"/>
    <w:rsid w:val="00820A16"/>
    <w:rsid w:val="00820D2D"/>
    <w:rsid w:val="00820F1B"/>
    <w:rsid w:val="0082208C"/>
    <w:rsid w:val="00822FD2"/>
    <w:rsid w:val="00823636"/>
    <w:rsid w:val="0082418C"/>
    <w:rsid w:val="00827429"/>
    <w:rsid w:val="00827EA9"/>
    <w:rsid w:val="00830573"/>
    <w:rsid w:val="00831466"/>
    <w:rsid w:val="00831783"/>
    <w:rsid w:val="00831939"/>
    <w:rsid w:val="008323FD"/>
    <w:rsid w:val="00832C3C"/>
    <w:rsid w:val="00832FA9"/>
    <w:rsid w:val="008347DE"/>
    <w:rsid w:val="00834C87"/>
    <w:rsid w:val="0083541A"/>
    <w:rsid w:val="00835D23"/>
    <w:rsid w:val="00835E9B"/>
    <w:rsid w:val="00836B2A"/>
    <w:rsid w:val="008404D7"/>
    <w:rsid w:val="00841FA1"/>
    <w:rsid w:val="008422E9"/>
    <w:rsid w:val="0084298F"/>
    <w:rsid w:val="00844172"/>
    <w:rsid w:val="0084417A"/>
    <w:rsid w:val="00844FCA"/>
    <w:rsid w:val="00844FCB"/>
    <w:rsid w:val="0084601D"/>
    <w:rsid w:val="00846A94"/>
    <w:rsid w:val="008470A9"/>
    <w:rsid w:val="008472A5"/>
    <w:rsid w:val="008479F8"/>
    <w:rsid w:val="008504A2"/>
    <w:rsid w:val="008520DE"/>
    <w:rsid w:val="0085261D"/>
    <w:rsid w:val="008546F0"/>
    <w:rsid w:val="008553D8"/>
    <w:rsid w:val="0085557A"/>
    <w:rsid w:val="00855C91"/>
    <w:rsid w:val="00856202"/>
    <w:rsid w:val="00856ABD"/>
    <w:rsid w:val="00860850"/>
    <w:rsid w:val="00860A08"/>
    <w:rsid w:val="00861082"/>
    <w:rsid w:val="00861650"/>
    <w:rsid w:val="00861AE4"/>
    <w:rsid w:val="00861E7B"/>
    <w:rsid w:val="00862C85"/>
    <w:rsid w:val="00862EE7"/>
    <w:rsid w:val="00863178"/>
    <w:rsid w:val="00863DB1"/>
    <w:rsid w:val="00864225"/>
    <w:rsid w:val="008647E2"/>
    <w:rsid w:val="008654B2"/>
    <w:rsid w:val="008656E3"/>
    <w:rsid w:val="008658C6"/>
    <w:rsid w:val="00865C3F"/>
    <w:rsid w:val="008666CE"/>
    <w:rsid w:val="00867105"/>
    <w:rsid w:val="008712AF"/>
    <w:rsid w:val="00871AB2"/>
    <w:rsid w:val="008725F8"/>
    <w:rsid w:val="00872D2B"/>
    <w:rsid w:val="00873D63"/>
    <w:rsid w:val="008740DB"/>
    <w:rsid w:val="008744E8"/>
    <w:rsid w:val="008746DF"/>
    <w:rsid w:val="00875803"/>
    <w:rsid w:val="00875FD5"/>
    <w:rsid w:val="00876348"/>
    <w:rsid w:val="00876362"/>
    <w:rsid w:val="00876ED7"/>
    <w:rsid w:val="0087751A"/>
    <w:rsid w:val="008808E3"/>
    <w:rsid w:val="00880B6E"/>
    <w:rsid w:val="00880DB9"/>
    <w:rsid w:val="0088152D"/>
    <w:rsid w:val="00881DB4"/>
    <w:rsid w:val="00881FF2"/>
    <w:rsid w:val="00882836"/>
    <w:rsid w:val="00883ABA"/>
    <w:rsid w:val="008845F8"/>
    <w:rsid w:val="00884B0E"/>
    <w:rsid w:val="00884DAF"/>
    <w:rsid w:val="008852D0"/>
    <w:rsid w:val="0088574B"/>
    <w:rsid w:val="00885B14"/>
    <w:rsid w:val="00885C9C"/>
    <w:rsid w:val="00887082"/>
    <w:rsid w:val="0088745E"/>
    <w:rsid w:val="0088777F"/>
    <w:rsid w:val="00891A7E"/>
    <w:rsid w:val="00892D61"/>
    <w:rsid w:val="008933A7"/>
    <w:rsid w:val="00893B6D"/>
    <w:rsid w:val="00893ED0"/>
    <w:rsid w:val="0089430E"/>
    <w:rsid w:val="008944D4"/>
    <w:rsid w:val="00894632"/>
    <w:rsid w:val="00894E1F"/>
    <w:rsid w:val="00896047"/>
    <w:rsid w:val="008965F2"/>
    <w:rsid w:val="00896A52"/>
    <w:rsid w:val="00896ADF"/>
    <w:rsid w:val="00897576"/>
    <w:rsid w:val="00897BF6"/>
    <w:rsid w:val="008A1EAE"/>
    <w:rsid w:val="008A250D"/>
    <w:rsid w:val="008A25F9"/>
    <w:rsid w:val="008A3000"/>
    <w:rsid w:val="008A37B6"/>
    <w:rsid w:val="008A4403"/>
    <w:rsid w:val="008A4479"/>
    <w:rsid w:val="008A529C"/>
    <w:rsid w:val="008A6279"/>
    <w:rsid w:val="008A6E50"/>
    <w:rsid w:val="008A7029"/>
    <w:rsid w:val="008B01C4"/>
    <w:rsid w:val="008B01D9"/>
    <w:rsid w:val="008B0825"/>
    <w:rsid w:val="008B3EB0"/>
    <w:rsid w:val="008B48D5"/>
    <w:rsid w:val="008B5970"/>
    <w:rsid w:val="008B6288"/>
    <w:rsid w:val="008C13DA"/>
    <w:rsid w:val="008C1833"/>
    <w:rsid w:val="008C2EB1"/>
    <w:rsid w:val="008C3812"/>
    <w:rsid w:val="008C3B2F"/>
    <w:rsid w:val="008C3C2D"/>
    <w:rsid w:val="008C3EB8"/>
    <w:rsid w:val="008C4006"/>
    <w:rsid w:val="008C440F"/>
    <w:rsid w:val="008C51F7"/>
    <w:rsid w:val="008C5DB2"/>
    <w:rsid w:val="008C5E06"/>
    <w:rsid w:val="008C6F9C"/>
    <w:rsid w:val="008C705C"/>
    <w:rsid w:val="008C7142"/>
    <w:rsid w:val="008C7288"/>
    <w:rsid w:val="008C73A0"/>
    <w:rsid w:val="008C77E8"/>
    <w:rsid w:val="008C780C"/>
    <w:rsid w:val="008C7C06"/>
    <w:rsid w:val="008D0FD1"/>
    <w:rsid w:val="008D2030"/>
    <w:rsid w:val="008D223A"/>
    <w:rsid w:val="008D2E97"/>
    <w:rsid w:val="008D328E"/>
    <w:rsid w:val="008D392A"/>
    <w:rsid w:val="008D3FE3"/>
    <w:rsid w:val="008D43A0"/>
    <w:rsid w:val="008D441D"/>
    <w:rsid w:val="008D4719"/>
    <w:rsid w:val="008D489E"/>
    <w:rsid w:val="008D53E7"/>
    <w:rsid w:val="008D592F"/>
    <w:rsid w:val="008D5E9A"/>
    <w:rsid w:val="008D600B"/>
    <w:rsid w:val="008D66BD"/>
    <w:rsid w:val="008D6A4D"/>
    <w:rsid w:val="008D6A68"/>
    <w:rsid w:val="008D6BC3"/>
    <w:rsid w:val="008D77C4"/>
    <w:rsid w:val="008D7840"/>
    <w:rsid w:val="008D7BF4"/>
    <w:rsid w:val="008E0EDB"/>
    <w:rsid w:val="008E1692"/>
    <w:rsid w:val="008E5642"/>
    <w:rsid w:val="008E5EBE"/>
    <w:rsid w:val="008E69B5"/>
    <w:rsid w:val="008F0067"/>
    <w:rsid w:val="008F068F"/>
    <w:rsid w:val="008F0724"/>
    <w:rsid w:val="008F1B92"/>
    <w:rsid w:val="008F1BEB"/>
    <w:rsid w:val="008F1CC5"/>
    <w:rsid w:val="008F229B"/>
    <w:rsid w:val="008F32ED"/>
    <w:rsid w:val="008F393E"/>
    <w:rsid w:val="008F4E01"/>
    <w:rsid w:val="008F6776"/>
    <w:rsid w:val="008F788C"/>
    <w:rsid w:val="008F7901"/>
    <w:rsid w:val="00900962"/>
    <w:rsid w:val="00900DF9"/>
    <w:rsid w:val="00900E34"/>
    <w:rsid w:val="00900FA8"/>
    <w:rsid w:val="00901304"/>
    <w:rsid w:val="0090136D"/>
    <w:rsid w:val="00902053"/>
    <w:rsid w:val="009029A6"/>
    <w:rsid w:val="00902FB5"/>
    <w:rsid w:val="00904D95"/>
    <w:rsid w:val="009055E3"/>
    <w:rsid w:val="00905B29"/>
    <w:rsid w:val="00906967"/>
    <w:rsid w:val="00906A87"/>
    <w:rsid w:val="00906C76"/>
    <w:rsid w:val="0090770D"/>
    <w:rsid w:val="0091030D"/>
    <w:rsid w:val="009109C6"/>
    <w:rsid w:val="0091137F"/>
    <w:rsid w:val="00911D57"/>
    <w:rsid w:val="00911DD4"/>
    <w:rsid w:val="00912207"/>
    <w:rsid w:val="00912DB5"/>
    <w:rsid w:val="009139CE"/>
    <w:rsid w:val="00913AE2"/>
    <w:rsid w:val="00913B86"/>
    <w:rsid w:val="0091475B"/>
    <w:rsid w:val="00914D60"/>
    <w:rsid w:val="00920AF3"/>
    <w:rsid w:val="00922586"/>
    <w:rsid w:val="00922A3E"/>
    <w:rsid w:val="00922A4C"/>
    <w:rsid w:val="00922AE7"/>
    <w:rsid w:val="00923736"/>
    <w:rsid w:val="009244C7"/>
    <w:rsid w:val="00924E5A"/>
    <w:rsid w:val="00925B21"/>
    <w:rsid w:val="00925D23"/>
    <w:rsid w:val="0092616C"/>
    <w:rsid w:val="00926244"/>
    <w:rsid w:val="00926C73"/>
    <w:rsid w:val="0093044A"/>
    <w:rsid w:val="009304DE"/>
    <w:rsid w:val="009304F5"/>
    <w:rsid w:val="0093059F"/>
    <w:rsid w:val="00930874"/>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30A7"/>
    <w:rsid w:val="00943184"/>
    <w:rsid w:val="009433DC"/>
    <w:rsid w:val="00943FF0"/>
    <w:rsid w:val="00944998"/>
    <w:rsid w:val="00944B77"/>
    <w:rsid w:val="00944C35"/>
    <w:rsid w:val="00945192"/>
    <w:rsid w:val="00945304"/>
    <w:rsid w:val="00945E86"/>
    <w:rsid w:val="00945EDD"/>
    <w:rsid w:val="00947718"/>
    <w:rsid w:val="00947DFE"/>
    <w:rsid w:val="009501DA"/>
    <w:rsid w:val="0095050B"/>
    <w:rsid w:val="00950BE4"/>
    <w:rsid w:val="009517B3"/>
    <w:rsid w:val="00951BF1"/>
    <w:rsid w:val="009520BA"/>
    <w:rsid w:val="00952509"/>
    <w:rsid w:val="00954782"/>
    <w:rsid w:val="00956C75"/>
    <w:rsid w:val="00957DE8"/>
    <w:rsid w:val="00960333"/>
    <w:rsid w:val="00960EE3"/>
    <w:rsid w:val="009638E1"/>
    <w:rsid w:val="00963EE6"/>
    <w:rsid w:val="00963FC5"/>
    <w:rsid w:val="0096518B"/>
    <w:rsid w:val="00965356"/>
    <w:rsid w:val="009659F6"/>
    <w:rsid w:val="00965DC1"/>
    <w:rsid w:val="00965FEE"/>
    <w:rsid w:val="00966D0D"/>
    <w:rsid w:val="00966D46"/>
    <w:rsid w:val="00966D74"/>
    <w:rsid w:val="0096721E"/>
    <w:rsid w:val="009673A5"/>
    <w:rsid w:val="00970510"/>
    <w:rsid w:val="00970744"/>
    <w:rsid w:val="00970968"/>
    <w:rsid w:val="00970F7F"/>
    <w:rsid w:val="00971828"/>
    <w:rsid w:val="009720A8"/>
    <w:rsid w:val="0097275B"/>
    <w:rsid w:val="00973329"/>
    <w:rsid w:val="00973F8B"/>
    <w:rsid w:val="00973FB4"/>
    <w:rsid w:val="0097444B"/>
    <w:rsid w:val="00975F43"/>
    <w:rsid w:val="00976C48"/>
    <w:rsid w:val="0097707E"/>
    <w:rsid w:val="009775C8"/>
    <w:rsid w:val="00977F02"/>
    <w:rsid w:val="00980A72"/>
    <w:rsid w:val="00980D5C"/>
    <w:rsid w:val="00981649"/>
    <w:rsid w:val="00982E72"/>
    <w:rsid w:val="00983033"/>
    <w:rsid w:val="009833EC"/>
    <w:rsid w:val="009834E2"/>
    <w:rsid w:val="009836F0"/>
    <w:rsid w:val="00983FEE"/>
    <w:rsid w:val="00984287"/>
    <w:rsid w:val="00984A45"/>
    <w:rsid w:val="00984F74"/>
    <w:rsid w:val="0098535D"/>
    <w:rsid w:val="00985FBF"/>
    <w:rsid w:val="00986691"/>
    <w:rsid w:val="00986B9C"/>
    <w:rsid w:val="00986D25"/>
    <w:rsid w:val="009878EC"/>
    <w:rsid w:val="00987C25"/>
    <w:rsid w:val="009906DE"/>
    <w:rsid w:val="00990A72"/>
    <w:rsid w:val="0099305F"/>
    <w:rsid w:val="0099497D"/>
    <w:rsid w:val="00995202"/>
    <w:rsid w:val="00995929"/>
    <w:rsid w:val="00996682"/>
    <w:rsid w:val="009967CF"/>
    <w:rsid w:val="00996CF7"/>
    <w:rsid w:val="00996D51"/>
    <w:rsid w:val="009A06B8"/>
    <w:rsid w:val="009A0D63"/>
    <w:rsid w:val="009A141E"/>
    <w:rsid w:val="009A1483"/>
    <w:rsid w:val="009A24DD"/>
    <w:rsid w:val="009A2EA0"/>
    <w:rsid w:val="009A3767"/>
    <w:rsid w:val="009A379E"/>
    <w:rsid w:val="009A3BB7"/>
    <w:rsid w:val="009A403B"/>
    <w:rsid w:val="009A4A3F"/>
    <w:rsid w:val="009A4EFF"/>
    <w:rsid w:val="009A7F9D"/>
    <w:rsid w:val="009B01BD"/>
    <w:rsid w:val="009B1131"/>
    <w:rsid w:val="009B12D0"/>
    <w:rsid w:val="009B159B"/>
    <w:rsid w:val="009B189D"/>
    <w:rsid w:val="009B276A"/>
    <w:rsid w:val="009B32E2"/>
    <w:rsid w:val="009B38BC"/>
    <w:rsid w:val="009B4177"/>
    <w:rsid w:val="009B4BB3"/>
    <w:rsid w:val="009B4C15"/>
    <w:rsid w:val="009B56C4"/>
    <w:rsid w:val="009B690A"/>
    <w:rsid w:val="009B71F7"/>
    <w:rsid w:val="009C0CC9"/>
    <w:rsid w:val="009C0DA0"/>
    <w:rsid w:val="009C136D"/>
    <w:rsid w:val="009C208B"/>
    <w:rsid w:val="009C3208"/>
    <w:rsid w:val="009C3E79"/>
    <w:rsid w:val="009C6C9E"/>
    <w:rsid w:val="009C728D"/>
    <w:rsid w:val="009C7BA6"/>
    <w:rsid w:val="009C7FB8"/>
    <w:rsid w:val="009D0421"/>
    <w:rsid w:val="009D0A33"/>
    <w:rsid w:val="009D0ABD"/>
    <w:rsid w:val="009D25E4"/>
    <w:rsid w:val="009D2AB9"/>
    <w:rsid w:val="009D372F"/>
    <w:rsid w:val="009D3745"/>
    <w:rsid w:val="009D3EAD"/>
    <w:rsid w:val="009D5207"/>
    <w:rsid w:val="009D52E5"/>
    <w:rsid w:val="009D5A71"/>
    <w:rsid w:val="009D5E2B"/>
    <w:rsid w:val="009D5E51"/>
    <w:rsid w:val="009D6B8F"/>
    <w:rsid w:val="009D707F"/>
    <w:rsid w:val="009D7470"/>
    <w:rsid w:val="009D7AB0"/>
    <w:rsid w:val="009E01BC"/>
    <w:rsid w:val="009E09A8"/>
    <w:rsid w:val="009E2204"/>
    <w:rsid w:val="009E226A"/>
    <w:rsid w:val="009E22AB"/>
    <w:rsid w:val="009E2CC8"/>
    <w:rsid w:val="009E306D"/>
    <w:rsid w:val="009E35A3"/>
    <w:rsid w:val="009E3821"/>
    <w:rsid w:val="009E3BE9"/>
    <w:rsid w:val="009E3BFA"/>
    <w:rsid w:val="009E3ED5"/>
    <w:rsid w:val="009E411E"/>
    <w:rsid w:val="009E4890"/>
    <w:rsid w:val="009E514C"/>
    <w:rsid w:val="009E53D6"/>
    <w:rsid w:val="009E5586"/>
    <w:rsid w:val="009E5F55"/>
    <w:rsid w:val="009E6632"/>
    <w:rsid w:val="009E6944"/>
    <w:rsid w:val="009E7278"/>
    <w:rsid w:val="009E74CF"/>
    <w:rsid w:val="009E7DDB"/>
    <w:rsid w:val="009F04F4"/>
    <w:rsid w:val="009F0617"/>
    <w:rsid w:val="009F0920"/>
    <w:rsid w:val="009F1774"/>
    <w:rsid w:val="009F1A10"/>
    <w:rsid w:val="009F1AC5"/>
    <w:rsid w:val="009F294C"/>
    <w:rsid w:val="009F3208"/>
    <w:rsid w:val="009F3E04"/>
    <w:rsid w:val="009F4C59"/>
    <w:rsid w:val="009F4D97"/>
    <w:rsid w:val="009F5817"/>
    <w:rsid w:val="009F7A10"/>
    <w:rsid w:val="009F7A6F"/>
    <w:rsid w:val="00A008EA"/>
    <w:rsid w:val="00A033CE"/>
    <w:rsid w:val="00A038D0"/>
    <w:rsid w:val="00A03BA4"/>
    <w:rsid w:val="00A03BF0"/>
    <w:rsid w:val="00A04032"/>
    <w:rsid w:val="00A04A79"/>
    <w:rsid w:val="00A05979"/>
    <w:rsid w:val="00A059B9"/>
    <w:rsid w:val="00A06E1F"/>
    <w:rsid w:val="00A11C7A"/>
    <w:rsid w:val="00A13B11"/>
    <w:rsid w:val="00A156AE"/>
    <w:rsid w:val="00A16390"/>
    <w:rsid w:val="00A169AC"/>
    <w:rsid w:val="00A16D82"/>
    <w:rsid w:val="00A16EF8"/>
    <w:rsid w:val="00A2077F"/>
    <w:rsid w:val="00A20C67"/>
    <w:rsid w:val="00A20E03"/>
    <w:rsid w:val="00A22034"/>
    <w:rsid w:val="00A2257E"/>
    <w:rsid w:val="00A231FD"/>
    <w:rsid w:val="00A2378B"/>
    <w:rsid w:val="00A240B9"/>
    <w:rsid w:val="00A25302"/>
    <w:rsid w:val="00A25437"/>
    <w:rsid w:val="00A263E0"/>
    <w:rsid w:val="00A263FC"/>
    <w:rsid w:val="00A26685"/>
    <w:rsid w:val="00A26B8F"/>
    <w:rsid w:val="00A26FBA"/>
    <w:rsid w:val="00A27E95"/>
    <w:rsid w:val="00A313DD"/>
    <w:rsid w:val="00A31433"/>
    <w:rsid w:val="00A31F68"/>
    <w:rsid w:val="00A32731"/>
    <w:rsid w:val="00A33C59"/>
    <w:rsid w:val="00A34586"/>
    <w:rsid w:val="00A35515"/>
    <w:rsid w:val="00A357D6"/>
    <w:rsid w:val="00A35BF4"/>
    <w:rsid w:val="00A35E51"/>
    <w:rsid w:val="00A36465"/>
    <w:rsid w:val="00A36C39"/>
    <w:rsid w:val="00A374C5"/>
    <w:rsid w:val="00A37A78"/>
    <w:rsid w:val="00A40069"/>
    <w:rsid w:val="00A40502"/>
    <w:rsid w:val="00A40A97"/>
    <w:rsid w:val="00A41176"/>
    <w:rsid w:val="00A41C90"/>
    <w:rsid w:val="00A425F4"/>
    <w:rsid w:val="00A434AB"/>
    <w:rsid w:val="00A44235"/>
    <w:rsid w:val="00A462E4"/>
    <w:rsid w:val="00A46543"/>
    <w:rsid w:val="00A466BC"/>
    <w:rsid w:val="00A46858"/>
    <w:rsid w:val="00A47543"/>
    <w:rsid w:val="00A47A19"/>
    <w:rsid w:val="00A502D2"/>
    <w:rsid w:val="00A5136B"/>
    <w:rsid w:val="00A514C7"/>
    <w:rsid w:val="00A51E7D"/>
    <w:rsid w:val="00A52219"/>
    <w:rsid w:val="00A523BF"/>
    <w:rsid w:val="00A52A2A"/>
    <w:rsid w:val="00A53A9F"/>
    <w:rsid w:val="00A540E5"/>
    <w:rsid w:val="00A5455B"/>
    <w:rsid w:val="00A5461D"/>
    <w:rsid w:val="00A5702F"/>
    <w:rsid w:val="00A5730F"/>
    <w:rsid w:val="00A5739F"/>
    <w:rsid w:val="00A57AA1"/>
    <w:rsid w:val="00A61F90"/>
    <w:rsid w:val="00A621C8"/>
    <w:rsid w:val="00A62863"/>
    <w:rsid w:val="00A6365E"/>
    <w:rsid w:val="00A64A00"/>
    <w:rsid w:val="00A64A85"/>
    <w:rsid w:val="00A6552A"/>
    <w:rsid w:val="00A655C3"/>
    <w:rsid w:val="00A65BEA"/>
    <w:rsid w:val="00A66BB3"/>
    <w:rsid w:val="00A7011E"/>
    <w:rsid w:val="00A703CE"/>
    <w:rsid w:val="00A7080F"/>
    <w:rsid w:val="00A72169"/>
    <w:rsid w:val="00A7253D"/>
    <w:rsid w:val="00A72E27"/>
    <w:rsid w:val="00A73548"/>
    <w:rsid w:val="00A73F34"/>
    <w:rsid w:val="00A74996"/>
    <w:rsid w:val="00A755AD"/>
    <w:rsid w:val="00A75A42"/>
    <w:rsid w:val="00A75B79"/>
    <w:rsid w:val="00A761E4"/>
    <w:rsid w:val="00A769A2"/>
    <w:rsid w:val="00A80106"/>
    <w:rsid w:val="00A815FA"/>
    <w:rsid w:val="00A81614"/>
    <w:rsid w:val="00A81A10"/>
    <w:rsid w:val="00A81C43"/>
    <w:rsid w:val="00A831D6"/>
    <w:rsid w:val="00A84C51"/>
    <w:rsid w:val="00A84C85"/>
    <w:rsid w:val="00A84EC6"/>
    <w:rsid w:val="00A85069"/>
    <w:rsid w:val="00A8541A"/>
    <w:rsid w:val="00A862B0"/>
    <w:rsid w:val="00A863F2"/>
    <w:rsid w:val="00A8649E"/>
    <w:rsid w:val="00A868BB"/>
    <w:rsid w:val="00A878F0"/>
    <w:rsid w:val="00A87C01"/>
    <w:rsid w:val="00A90906"/>
    <w:rsid w:val="00A91764"/>
    <w:rsid w:val="00A93065"/>
    <w:rsid w:val="00A9363C"/>
    <w:rsid w:val="00A93DF6"/>
    <w:rsid w:val="00A94BA5"/>
    <w:rsid w:val="00A94C61"/>
    <w:rsid w:val="00A94D91"/>
    <w:rsid w:val="00A966CE"/>
    <w:rsid w:val="00A966DE"/>
    <w:rsid w:val="00A96A4B"/>
    <w:rsid w:val="00A97FB7"/>
    <w:rsid w:val="00AA0163"/>
    <w:rsid w:val="00AA0663"/>
    <w:rsid w:val="00AA082C"/>
    <w:rsid w:val="00AA18B4"/>
    <w:rsid w:val="00AA2128"/>
    <w:rsid w:val="00AA2BAA"/>
    <w:rsid w:val="00AA30DD"/>
    <w:rsid w:val="00AA32C3"/>
    <w:rsid w:val="00AA3308"/>
    <w:rsid w:val="00AA34E7"/>
    <w:rsid w:val="00AA35BE"/>
    <w:rsid w:val="00AA38E5"/>
    <w:rsid w:val="00AA3BF7"/>
    <w:rsid w:val="00AA3D7C"/>
    <w:rsid w:val="00AA4231"/>
    <w:rsid w:val="00AA4BB4"/>
    <w:rsid w:val="00AA4CFD"/>
    <w:rsid w:val="00AA5A43"/>
    <w:rsid w:val="00AA663E"/>
    <w:rsid w:val="00AA6925"/>
    <w:rsid w:val="00AA696D"/>
    <w:rsid w:val="00AA6C65"/>
    <w:rsid w:val="00AA6D07"/>
    <w:rsid w:val="00AA75F7"/>
    <w:rsid w:val="00AA7F76"/>
    <w:rsid w:val="00AB0341"/>
    <w:rsid w:val="00AB03D8"/>
    <w:rsid w:val="00AB0555"/>
    <w:rsid w:val="00AB09FF"/>
    <w:rsid w:val="00AB0FE0"/>
    <w:rsid w:val="00AB1588"/>
    <w:rsid w:val="00AB19C7"/>
    <w:rsid w:val="00AB1B2C"/>
    <w:rsid w:val="00AB1CA6"/>
    <w:rsid w:val="00AB2A62"/>
    <w:rsid w:val="00AB4A95"/>
    <w:rsid w:val="00AB4B98"/>
    <w:rsid w:val="00AB585A"/>
    <w:rsid w:val="00AB65A3"/>
    <w:rsid w:val="00AB772F"/>
    <w:rsid w:val="00AC1C40"/>
    <w:rsid w:val="00AC1EF2"/>
    <w:rsid w:val="00AC2AD2"/>
    <w:rsid w:val="00AC31F6"/>
    <w:rsid w:val="00AC3F69"/>
    <w:rsid w:val="00AC4CED"/>
    <w:rsid w:val="00AC58CA"/>
    <w:rsid w:val="00AC5B6B"/>
    <w:rsid w:val="00AC66C2"/>
    <w:rsid w:val="00AC7A05"/>
    <w:rsid w:val="00AC7C2F"/>
    <w:rsid w:val="00AD2D07"/>
    <w:rsid w:val="00AD334B"/>
    <w:rsid w:val="00AD3CC8"/>
    <w:rsid w:val="00AD4FFA"/>
    <w:rsid w:val="00AD57E2"/>
    <w:rsid w:val="00AD5B29"/>
    <w:rsid w:val="00AD6D20"/>
    <w:rsid w:val="00AD6E55"/>
    <w:rsid w:val="00AD6E58"/>
    <w:rsid w:val="00AD7795"/>
    <w:rsid w:val="00AD7D54"/>
    <w:rsid w:val="00AE0363"/>
    <w:rsid w:val="00AE04B2"/>
    <w:rsid w:val="00AE0D42"/>
    <w:rsid w:val="00AE1D38"/>
    <w:rsid w:val="00AE24A3"/>
    <w:rsid w:val="00AE253B"/>
    <w:rsid w:val="00AE33B8"/>
    <w:rsid w:val="00AE402A"/>
    <w:rsid w:val="00AE4CE7"/>
    <w:rsid w:val="00AE53EC"/>
    <w:rsid w:val="00AE5BED"/>
    <w:rsid w:val="00AE72C8"/>
    <w:rsid w:val="00AF0D16"/>
    <w:rsid w:val="00AF0D7A"/>
    <w:rsid w:val="00AF120C"/>
    <w:rsid w:val="00AF1C10"/>
    <w:rsid w:val="00AF20BF"/>
    <w:rsid w:val="00AF21AB"/>
    <w:rsid w:val="00AF23AC"/>
    <w:rsid w:val="00AF29DD"/>
    <w:rsid w:val="00AF2D8F"/>
    <w:rsid w:val="00AF2DE7"/>
    <w:rsid w:val="00AF3DBB"/>
    <w:rsid w:val="00AF4C2F"/>
    <w:rsid w:val="00AF5BDA"/>
    <w:rsid w:val="00AF5F61"/>
    <w:rsid w:val="00AF79E7"/>
    <w:rsid w:val="00B00252"/>
    <w:rsid w:val="00B003FE"/>
    <w:rsid w:val="00B0057D"/>
    <w:rsid w:val="00B00F34"/>
    <w:rsid w:val="00B030E5"/>
    <w:rsid w:val="00B03A95"/>
    <w:rsid w:val="00B04496"/>
    <w:rsid w:val="00B0511D"/>
    <w:rsid w:val="00B05213"/>
    <w:rsid w:val="00B060A3"/>
    <w:rsid w:val="00B073BF"/>
    <w:rsid w:val="00B104E8"/>
    <w:rsid w:val="00B108BC"/>
    <w:rsid w:val="00B11B7B"/>
    <w:rsid w:val="00B1249F"/>
    <w:rsid w:val="00B14CD4"/>
    <w:rsid w:val="00B156C6"/>
    <w:rsid w:val="00B16712"/>
    <w:rsid w:val="00B172AD"/>
    <w:rsid w:val="00B2060B"/>
    <w:rsid w:val="00B216A1"/>
    <w:rsid w:val="00B216F1"/>
    <w:rsid w:val="00B231EE"/>
    <w:rsid w:val="00B2323C"/>
    <w:rsid w:val="00B23BC9"/>
    <w:rsid w:val="00B2400D"/>
    <w:rsid w:val="00B24653"/>
    <w:rsid w:val="00B2491D"/>
    <w:rsid w:val="00B24AC5"/>
    <w:rsid w:val="00B24F03"/>
    <w:rsid w:val="00B250AA"/>
    <w:rsid w:val="00B252F0"/>
    <w:rsid w:val="00B25632"/>
    <w:rsid w:val="00B25EF3"/>
    <w:rsid w:val="00B266C3"/>
    <w:rsid w:val="00B30117"/>
    <w:rsid w:val="00B30E74"/>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95"/>
    <w:rsid w:val="00B421EA"/>
    <w:rsid w:val="00B429F0"/>
    <w:rsid w:val="00B42CAB"/>
    <w:rsid w:val="00B43715"/>
    <w:rsid w:val="00B4415C"/>
    <w:rsid w:val="00B44D10"/>
    <w:rsid w:val="00B451DD"/>
    <w:rsid w:val="00B46176"/>
    <w:rsid w:val="00B508F5"/>
    <w:rsid w:val="00B512A8"/>
    <w:rsid w:val="00B51748"/>
    <w:rsid w:val="00B5217E"/>
    <w:rsid w:val="00B52D50"/>
    <w:rsid w:val="00B53CC3"/>
    <w:rsid w:val="00B546EA"/>
    <w:rsid w:val="00B5627B"/>
    <w:rsid w:val="00B56D67"/>
    <w:rsid w:val="00B570A2"/>
    <w:rsid w:val="00B572E9"/>
    <w:rsid w:val="00B574F2"/>
    <w:rsid w:val="00B60734"/>
    <w:rsid w:val="00B622CE"/>
    <w:rsid w:val="00B62598"/>
    <w:rsid w:val="00B632F2"/>
    <w:rsid w:val="00B6449A"/>
    <w:rsid w:val="00B65517"/>
    <w:rsid w:val="00B65E35"/>
    <w:rsid w:val="00B66EFF"/>
    <w:rsid w:val="00B6716E"/>
    <w:rsid w:val="00B71A15"/>
    <w:rsid w:val="00B7245D"/>
    <w:rsid w:val="00B734AA"/>
    <w:rsid w:val="00B75512"/>
    <w:rsid w:val="00B75AE7"/>
    <w:rsid w:val="00B75D7C"/>
    <w:rsid w:val="00B7675C"/>
    <w:rsid w:val="00B76913"/>
    <w:rsid w:val="00B76945"/>
    <w:rsid w:val="00B7736D"/>
    <w:rsid w:val="00B77578"/>
    <w:rsid w:val="00B80F0C"/>
    <w:rsid w:val="00B81577"/>
    <w:rsid w:val="00B8185B"/>
    <w:rsid w:val="00B83392"/>
    <w:rsid w:val="00B8392B"/>
    <w:rsid w:val="00B83D63"/>
    <w:rsid w:val="00B847A2"/>
    <w:rsid w:val="00B8545C"/>
    <w:rsid w:val="00B86055"/>
    <w:rsid w:val="00B86280"/>
    <w:rsid w:val="00B86D0A"/>
    <w:rsid w:val="00B87745"/>
    <w:rsid w:val="00B913C9"/>
    <w:rsid w:val="00B91537"/>
    <w:rsid w:val="00B915AC"/>
    <w:rsid w:val="00B91827"/>
    <w:rsid w:val="00B91848"/>
    <w:rsid w:val="00B92049"/>
    <w:rsid w:val="00B92A20"/>
    <w:rsid w:val="00B933CA"/>
    <w:rsid w:val="00B93B2A"/>
    <w:rsid w:val="00B93B4E"/>
    <w:rsid w:val="00B93F7A"/>
    <w:rsid w:val="00B94213"/>
    <w:rsid w:val="00B949C6"/>
    <w:rsid w:val="00B94B4C"/>
    <w:rsid w:val="00B96231"/>
    <w:rsid w:val="00B96D52"/>
    <w:rsid w:val="00B977A7"/>
    <w:rsid w:val="00B97ED4"/>
    <w:rsid w:val="00BA024C"/>
    <w:rsid w:val="00BA13E0"/>
    <w:rsid w:val="00BA250E"/>
    <w:rsid w:val="00BA32B0"/>
    <w:rsid w:val="00BA492A"/>
    <w:rsid w:val="00BA602B"/>
    <w:rsid w:val="00BA69B0"/>
    <w:rsid w:val="00BA6D98"/>
    <w:rsid w:val="00BA7381"/>
    <w:rsid w:val="00BA7585"/>
    <w:rsid w:val="00BA7D0F"/>
    <w:rsid w:val="00BB14E9"/>
    <w:rsid w:val="00BB1A07"/>
    <w:rsid w:val="00BB23C2"/>
    <w:rsid w:val="00BB340F"/>
    <w:rsid w:val="00BB39F9"/>
    <w:rsid w:val="00BB3AE4"/>
    <w:rsid w:val="00BB3EF6"/>
    <w:rsid w:val="00BB4988"/>
    <w:rsid w:val="00BB4F1A"/>
    <w:rsid w:val="00BB528E"/>
    <w:rsid w:val="00BB68D2"/>
    <w:rsid w:val="00BB72F9"/>
    <w:rsid w:val="00BB7841"/>
    <w:rsid w:val="00BC0649"/>
    <w:rsid w:val="00BC091A"/>
    <w:rsid w:val="00BC103F"/>
    <w:rsid w:val="00BC1398"/>
    <w:rsid w:val="00BC1B5A"/>
    <w:rsid w:val="00BC1BF5"/>
    <w:rsid w:val="00BC1FD3"/>
    <w:rsid w:val="00BC20CE"/>
    <w:rsid w:val="00BC28E2"/>
    <w:rsid w:val="00BC294C"/>
    <w:rsid w:val="00BC2AA4"/>
    <w:rsid w:val="00BC2E6B"/>
    <w:rsid w:val="00BC311C"/>
    <w:rsid w:val="00BC55E6"/>
    <w:rsid w:val="00BC61B0"/>
    <w:rsid w:val="00BC66F6"/>
    <w:rsid w:val="00BC6944"/>
    <w:rsid w:val="00BC6F03"/>
    <w:rsid w:val="00BD0350"/>
    <w:rsid w:val="00BD10C4"/>
    <w:rsid w:val="00BD1943"/>
    <w:rsid w:val="00BD30FA"/>
    <w:rsid w:val="00BD4CC7"/>
    <w:rsid w:val="00BD4D60"/>
    <w:rsid w:val="00BD6C62"/>
    <w:rsid w:val="00BD7FC5"/>
    <w:rsid w:val="00BE09D6"/>
    <w:rsid w:val="00BE1157"/>
    <w:rsid w:val="00BE2068"/>
    <w:rsid w:val="00BE2C8C"/>
    <w:rsid w:val="00BE4C2A"/>
    <w:rsid w:val="00BE5237"/>
    <w:rsid w:val="00BE5254"/>
    <w:rsid w:val="00BE5EC1"/>
    <w:rsid w:val="00BE64B6"/>
    <w:rsid w:val="00BE782D"/>
    <w:rsid w:val="00BF0A0D"/>
    <w:rsid w:val="00BF1F4B"/>
    <w:rsid w:val="00BF2D4B"/>
    <w:rsid w:val="00BF360A"/>
    <w:rsid w:val="00BF3689"/>
    <w:rsid w:val="00BF5002"/>
    <w:rsid w:val="00BF5791"/>
    <w:rsid w:val="00BF659E"/>
    <w:rsid w:val="00BF6688"/>
    <w:rsid w:val="00BF67B1"/>
    <w:rsid w:val="00BF6A56"/>
    <w:rsid w:val="00BF6E08"/>
    <w:rsid w:val="00BF6FDE"/>
    <w:rsid w:val="00BF70AB"/>
    <w:rsid w:val="00BF7C09"/>
    <w:rsid w:val="00BF7FE2"/>
    <w:rsid w:val="00C005FF"/>
    <w:rsid w:val="00C012DB"/>
    <w:rsid w:val="00C0139B"/>
    <w:rsid w:val="00C01434"/>
    <w:rsid w:val="00C02280"/>
    <w:rsid w:val="00C02966"/>
    <w:rsid w:val="00C02E6D"/>
    <w:rsid w:val="00C0306D"/>
    <w:rsid w:val="00C03133"/>
    <w:rsid w:val="00C031A7"/>
    <w:rsid w:val="00C0324B"/>
    <w:rsid w:val="00C035B0"/>
    <w:rsid w:val="00C0375D"/>
    <w:rsid w:val="00C06417"/>
    <w:rsid w:val="00C070DE"/>
    <w:rsid w:val="00C07414"/>
    <w:rsid w:val="00C078EE"/>
    <w:rsid w:val="00C07BC3"/>
    <w:rsid w:val="00C106E7"/>
    <w:rsid w:val="00C10C58"/>
    <w:rsid w:val="00C10C5E"/>
    <w:rsid w:val="00C11150"/>
    <w:rsid w:val="00C112EC"/>
    <w:rsid w:val="00C11A34"/>
    <w:rsid w:val="00C11F3E"/>
    <w:rsid w:val="00C1275E"/>
    <w:rsid w:val="00C12C5E"/>
    <w:rsid w:val="00C12D0D"/>
    <w:rsid w:val="00C13768"/>
    <w:rsid w:val="00C14DA0"/>
    <w:rsid w:val="00C14DFB"/>
    <w:rsid w:val="00C15068"/>
    <w:rsid w:val="00C1671F"/>
    <w:rsid w:val="00C16964"/>
    <w:rsid w:val="00C16B54"/>
    <w:rsid w:val="00C2115F"/>
    <w:rsid w:val="00C2181F"/>
    <w:rsid w:val="00C22B87"/>
    <w:rsid w:val="00C23364"/>
    <w:rsid w:val="00C234DF"/>
    <w:rsid w:val="00C2391D"/>
    <w:rsid w:val="00C23BA6"/>
    <w:rsid w:val="00C23C13"/>
    <w:rsid w:val="00C2410D"/>
    <w:rsid w:val="00C24887"/>
    <w:rsid w:val="00C24C37"/>
    <w:rsid w:val="00C24C8B"/>
    <w:rsid w:val="00C24CB1"/>
    <w:rsid w:val="00C24EBB"/>
    <w:rsid w:val="00C251EB"/>
    <w:rsid w:val="00C25652"/>
    <w:rsid w:val="00C259AB"/>
    <w:rsid w:val="00C26156"/>
    <w:rsid w:val="00C26F9C"/>
    <w:rsid w:val="00C279FA"/>
    <w:rsid w:val="00C30E3A"/>
    <w:rsid w:val="00C32D2B"/>
    <w:rsid w:val="00C33393"/>
    <w:rsid w:val="00C343C2"/>
    <w:rsid w:val="00C3589E"/>
    <w:rsid w:val="00C37148"/>
    <w:rsid w:val="00C375B0"/>
    <w:rsid w:val="00C40086"/>
    <w:rsid w:val="00C40A5B"/>
    <w:rsid w:val="00C40C9B"/>
    <w:rsid w:val="00C4275F"/>
    <w:rsid w:val="00C4320A"/>
    <w:rsid w:val="00C43631"/>
    <w:rsid w:val="00C4371A"/>
    <w:rsid w:val="00C43748"/>
    <w:rsid w:val="00C437DB"/>
    <w:rsid w:val="00C43A15"/>
    <w:rsid w:val="00C4473A"/>
    <w:rsid w:val="00C44A94"/>
    <w:rsid w:val="00C44F4F"/>
    <w:rsid w:val="00C476C3"/>
    <w:rsid w:val="00C47881"/>
    <w:rsid w:val="00C47CA2"/>
    <w:rsid w:val="00C504ED"/>
    <w:rsid w:val="00C50C56"/>
    <w:rsid w:val="00C51375"/>
    <w:rsid w:val="00C52716"/>
    <w:rsid w:val="00C52E42"/>
    <w:rsid w:val="00C53F3C"/>
    <w:rsid w:val="00C54175"/>
    <w:rsid w:val="00C54206"/>
    <w:rsid w:val="00C54958"/>
    <w:rsid w:val="00C54B4B"/>
    <w:rsid w:val="00C55A4C"/>
    <w:rsid w:val="00C55EC9"/>
    <w:rsid w:val="00C55FB1"/>
    <w:rsid w:val="00C60680"/>
    <w:rsid w:val="00C607BC"/>
    <w:rsid w:val="00C6088A"/>
    <w:rsid w:val="00C61011"/>
    <w:rsid w:val="00C61B6D"/>
    <w:rsid w:val="00C61DE6"/>
    <w:rsid w:val="00C62DED"/>
    <w:rsid w:val="00C63E97"/>
    <w:rsid w:val="00C64416"/>
    <w:rsid w:val="00C6492E"/>
    <w:rsid w:val="00C649DC"/>
    <w:rsid w:val="00C64E0E"/>
    <w:rsid w:val="00C64E68"/>
    <w:rsid w:val="00C65106"/>
    <w:rsid w:val="00C6709C"/>
    <w:rsid w:val="00C67631"/>
    <w:rsid w:val="00C705AF"/>
    <w:rsid w:val="00C70895"/>
    <w:rsid w:val="00C70DA2"/>
    <w:rsid w:val="00C7192D"/>
    <w:rsid w:val="00C71B1C"/>
    <w:rsid w:val="00C7205A"/>
    <w:rsid w:val="00C7248E"/>
    <w:rsid w:val="00C72649"/>
    <w:rsid w:val="00C73739"/>
    <w:rsid w:val="00C74F4B"/>
    <w:rsid w:val="00C75017"/>
    <w:rsid w:val="00C75196"/>
    <w:rsid w:val="00C752B1"/>
    <w:rsid w:val="00C7585B"/>
    <w:rsid w:val="00C75A0F"/>
    <w:rsid w:val="00C764E9"/>
    <w:rsid w:val="00C766E8"/>
    <w:rsid w:val="00C76BD0"/>
    <w:rsid w:val="00C7784C"/>
    <w:rsid w:val="00C779D8"/>
    <w:rsid w:val="00C77C64"/>
    <w:rsid w:val="00C77EED"/>
    <w:rsid w:val="00C77F97"/>
    <w:rsid w:val="00C81796"/>
    <w:rsid w:val="00C82171"/>
    <w:rsid w:val="00C8287F"/>
    <w:rsid w:val="00C828E2"/>
    <w:rsid w:val="00C8357D"/>
    <w:rsid w:val="00C83C69"/>
    <w:rsid w:val="00C840AD"/>
    <w:rsid w:val="00C842A8"/>
    <w:rsid w:val="00C8433A"/>
    <w:rsid w:val="00C845AF"/>
    <w:rsid w:val="00C87D9F"/>
    <w:rsid w:val="00C9174E"/>
    <w:rsid w:val="00C92753"/>
    <w:rsid w:val="00C92E7A"/>
    <w:rsid w:val="00C92F8B"/>
    <w:rsid w:val="00C930F0"/>
    <w:rsid w:val="00C9331A"/>
    <w:rsid w:val="00C93A4E"/>
    <w:rsid w:val="00C969AE"/>
    <w:rsid w:val="00C96A28"/>
    <w:rsid w:val="00CA0567"/>
    <w:rsid w:val="00CA092A"/>
    <w:rsid w:val="00CA0C90"/>
    <w:rsid w:val="00CA1AEA"/>
    <w:rsid w:val="00CA1FBB"/>
    <w:rsid w:val="00CA27CC"/>
    <w:rsid w:val="00CA2A05"/>
    <w:rsid w:val="00CA3585"/>
    <w:rsid w:val="00CA522B"/>
    <w:rsid w:val="00CA5572"/>
    <w:rsid w:val="00CA5AD4"/>
    <w:rsid w:val="00CA5F54"/>
    <w:rsid w:val="00CA6BE6"/>
    <w:rsid w:val="00CA7128"/>
    <w:rsid w:val="00CA7592"/>
    <w:rsid w:val="00CA7A9B"/>
    <w:rsid w:val="00CA7D58"/>
    <w:rsid w:val="00CB0709"/>
    <w:rsid w:val="00CB10DF"/>
    <w:rsid w:val="00CB1447"/>
    <w:rsid w:val="00CB1F78"/>
    <w:rsid w:val="00CB2585"/>
    <w:rsid w:val="00CB382E"/>
    <w:rsid w:val="00CB398C"/>
    <w:rsid w:val="00CB3AA9"/>
    <w:rsid w:val="00CB3ADC"/>
    <w:rsid w:val="00CB42C5"/>
    <w:rsid w:val="00CB4668"/>
    <w:rsid w:val="00CB5F5A"/>
    <w:rsid w:val="00CB6AA7"/>
    <w:rsid w:val="00CC18B5"/>
    <w:rsid w:val="00CC2B18"/>
    <w:rsid w:val="00CC30F3"/>
    <w:rsid w:val="00CC3395"/>
    <w:rsid w:val="00CC34D2"/>
    <w:rsid w:val="00CC3962"/>
    <w:rsid w:val="00CC640C"/>
    <w:rsid w:val="00CC6AAA"/>
    <w:rsid w:val="00CC6AD5"/>
    <w:rsid w:val="00CC6D78"/>
    <w:rsid w:val="00CC6F92"/>
    <w:rsid w:val="00CC7DF4"/>
    <w:rsid w:val="00CD0FA4"/>
    <w:rsid w:val="00CD1320"/>
    <w:rsid w:val="00CD1FB6"/>
    <w:rsid w:val="00CD23CD"/>
    <w:rsid w:val="00CD2A6A"/>
    <w:rsid w:val="00CD3AAB"/>
    <w:rsid w:val="00CD3BE7"/>
    <w:rsid w:val="00CD3C39"/>
    <w:rsid w:val="00CD44E1"/>
    <w:rsid w:val="00CD48D4"/>
    <w:rsid w:val="00CD4CC9"/>
    <w:rsid w:val="00CD4FC6"/>
    <w:rsid w:val="00CD5112"/>
    <w:rsid w:val="00CD60BF"/>
    <w:rsid w:val="00CD6317"/>
    <w:rsid w:val="00CD634F"/>
    <w:rsid w:val="00CD70FD"/>
    <w:rsid w:val="00CD7250"/>
    <w:rsid w:val="00CD7DF1"/>
    <w:rsid w:val="00CE0C1E"/>
    <w:rsid w:val="00CE0EA0"/>
    <w:rsid w:val="00CE1629"/>
    <w:rsid w:val="00CE34DB"/>
    <w:rsid w:val="00CE429C"/>
    <w:rsid w:val="00CE5134"/>
    <w:rsid w:val="00CE5562"/>
    <w:rsid w:val="00CE557C"/>
    <w:rsid w:val="00CE5C0D"/>
    <w:rsid w:val="00CE66BD"/>
    <w:rsid w:val="00CE77B3"/>
    <w:rsid w:val="00CF099D"/>
    <w:rsid w:val="00CF26F5"/>
    <w:rsid w:val="00CF2931"/>
    <w:rsid w:val="00CF3163"/>
    <w:rsid w:val="00CF364C"/>
    <w:rsid w:val="00CF3B7A"/>
    <w:rsid w:val="00CF3F2F"/>
    <w:rsid w:val="00CF45F7"/>
    <w:rsid w:val="00CF66C5"/>
    <w:rsid w:val="00CF7F6D"/>
    <w:rsid w:val="00D003D8"/>
    <w:rsid w:val="00D005C9"/>
    <w:rsid w:val="00D007D4"/>
    <w:rsid w:val="00D00D15"/>
    <w:rsid w:val="00D00E93"/>
    <w:rsid w:val="00D00F41"/>
    <w:rsid w:val="00D01C02"/>
    <w:rsid w:val="00D03611"/>
    <w:rsid w:val="00D037A5"/>
    <w:rsid w:val="00D03B37"/>
    <w:rsid w:val="00D04114"/>
    <w:rsid w:val="00D04599"/>
    <w:rsid w:val="00D04D97"/>
    <w:rsid w:val="00D0527D"/>
    <w:rsid w:val="00D06AA0"/>
    <w:rsid w:val="00D10759"/>
    <w:rsid w:val="00D11171"/>
    <w:rsid w:val="00D11357"/>
    <w:rsid w:val="00D113BC"/>
    <w:rsid w:val="00D118C1"/>
    <w:rsid w:val="00D118C4"/>
    <w:rsid w:val="00D118DF"/>
    <w:rsid w:val="00D1300F"/>
    <w:rsid w:val="00D13806"/>
    <w:rsid w:val="00D13D25"/>
    <w:rsid w:val="00D14256"/>
    <w:rsid w:val="00D14EEA"/>
    <w:rsid w:val="00D15460"/>
    <w:rsid w:val="00D1590B"/>
    <w:rsid w:val="00D15BFA"/>
    <w:rsid w:val="00D16092"/>
    <w:rsid w:val="00D1622D"/>
    <w:rsid w:val="00D16387"/>
    <w:rsid w:val="00D16622"/>
    <w:rsid w:val="00D16856"/>
    <w:rsid w:val="00D16B6B"/>
    <w:rsid w:val="00D1776E"/>
    <w:rsid w:val="00D17BCE"/>
    <w:rsid w:val="00D17D77"/>
    <w:rsid w:val="00D2079E"/>
    <w:rsid w:val="00D212CF"/>
    <w:rsid w:val="00D22087"/>
    <w:rsid w:val="00D22374"/>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557"/>
    <w:rsid w:val="00D32CE6"/>
    <w:rsid w:val="00D348F2"/>
    <w:rsid w:val="00D34DBC"/>
    <w:rsid w:val="00D35464"/>
    <w:rsid w:val="00D35514"/>
    <w:rsid w:val="00D370F7"/>
    <w:rsid w:val="00D40E86"/>
    <w:rsid w:val="00D42AE1"/>
    <w:rsid w:val="00D4309C"/>
    <w:rsid w:val="00D436E7"/>
    <w:rsid w:val="00D44DA4"/>
    <w:rsid w:val="00D4538B"/>
    <w:rsid w:val="00D463FC"/>
    <w:rsid w:val="00D47280"/>
    <w:rsid w:val="00D47335"/>
    <w:rsid w:val="00D503B8"/>
    <w:rsid w:val="00D50A26"/>
    <w:rsid w:val="00D52CA8"/>
    <w:rsid w:val="00D53012"/>
    <w:rsid w:val="00D5382E"/>
    <w:rsid w:val="00D546AA"/>
    <w:rsid w:val="00D549A9"/>
    <w:rsid w:val="00D55725"/>
    <w:rsid w:val="00D5691F"/>
    <w:rsid w:val="00D57416"/>
    <w:rsid w:val="00D61936"/>
    <w:rsid w:val="00D62DD4"/>
    <w:rsid w:val="00D62E80"/>
    <w:rsid w:val="00D6306D"/>
    <w:rsid w:val="00D637AA"/>
    <w:rsid w:val="00D63A97"/>
    <w:rsid w:val="00D63C8D"/>
    <w:rsid w:val="00D6453B"/>
    <w:rsid w:val="00D6457D"/>
    <w:rsid w:val="00D66C84"/>
    <w:rsid w:val="00D6721C"/>
    <w:rsid w:val="00D673E9"/>
    <w:rsid w:val="00D677AD"/>
    <w:rsid w:val="00D6795B"/>
    <w:rsid w:val="00D70346"/>
    <w:rsid w:val="00D708E2"/>
    <w:rsid w:val="00D71008"/>
    <w:rsid w:val="00D73535"/>
    <w:rsid w:val="00D73796"/>
    <w:rsid w:val="00D737D0"/>
    <w:rsid w:val="00D75A31"/>
    <w:rsid w:val="00D779FC"/>
    <w:rsid w:val="00D805D8"/>
    <w:rsid w:val="00D80926"/>
    <w:rsid w:val="00D80B2D"/>
    <w:rsid w:val="00D81923"/>
    <w:rsid w:val="00D82CCC"/>
    <w:rsid w:val="00D841D5"/>
    <w:rsid w:val="00D866DD"/>
    <w:rsid w:val="00D868F5"/>
    <w:rsid w:val="00D86DA8"/>
    <w:rsid w:val="00D878A5"/>
    <w:rsid w:val="00D87C04"/>
    <w:rsid w:val="00D87CE8"/>
    <w:rsid w:val="00D87D70"/>
    <w:rsid w:val="00D87EC1"/>
    <w:rsid w:val="00D91249"/>
    <w:rsid w:val="00D9151B"/>
    <w:rsid w:val="00D91AFD"/>
    <w:rsid w:val="00D92297"/>
    <w:rsid w:val="00D923EE"/>
    <w:rsid w:val="00D926A5"/>
    <w:rsid w:val="00D928C3"/>
    <w:rsid w:val="00D92D7E"/>
    <w:rsid w:val="00D930FE"/>
    <w:rsid w:val="00D9322C"/>
    <w:rsid w:val="00D936A4"/>
    <w:rsid w:val="00D93A06"/>
    <w:rsid w:val="00D94301"/>
    <w:rsid w:val="00D94605"/>
    <w:rsid w:val="00D948F4"/>
    <w:rsid w:val="00D95153"/>
    <w:rsid w:val="00D96283"/>
    <w:rsid w:val="00D96926"/>
    <w:rsid w:val="00D97256"/>
    <w:rsid w:val="00DA00B6"/>
    <w:rsid w:val="00DA1C7A"/>
    <w:rsid w:val="00DA2758"/>
    <w:rsid w:val="00DA3EC9"/>
    <w:rsid w:val="00DA3F15"/>
    <w:rsid w:val="00DA4123"/>
    <w:rsid w:val="00DA4247"/>
    <w:rsid w:val="00DA44B4"/>
    <w:rsid w:val="00DA5516"/>
    <w:rsid w:val="00DA574F"/>
    <w:rsid w:val="00DA6AC9"/>
    <w:rsid w:val="00DB187C"/>
    <w:rsid w:val="00DB1F26"/>
    <w:rsid w:val="00DB2C18"/>
    <w:rsid w:val="00DB36A2"/>
    <w:rsid w:val="00DB38EF"/>
    <w:rsid w:val="00DB4276"/>
    <w:rsid w:val="00DB47F1"/>
    <w:rsid w:val="00DB5094"/>
    <w:rsid w:val="00DB6B5F"/>
    <w:rsid w:val="00DB6FD4"/>
    <w:rsid w:val="00DC0076"/>
    <w:rsid w:val="00DC19C3"/>
    <w:rsid w:val="00DC1D6B"/>
    <w:rsid w:val="00DC3009"/>
    <w:rsid w:val="00DC36B9"/>
    <w:rsid w:val="00DC3F5E"/>
    <w:rsid w:val="00DC43FB"/>
    <w:rsid w:val="00DC6002"/>
    <w:rsid w:val="00DC626F"/>
    <w:rsid w:val="00DC67FC"/>
    <w:rsid w:val="00DC6E6F"/>
    <w:rsid w:val="00DC70CA"/>
    <w:rsid w:val="00DC71D8"/>
    <w:rsid w:val="00DC753A"/>
    <w:rsid w:val="00DC7A73"/>
    <w:rsid w:val="00DD08DD"/>
    <w:rsid w:val="00DD091F"/>
    <w:rsid w:val="00DD136E"/>
    <w:rsid w:val="00DD29FE"/>
    <w:rsid w:val="00DD315A"/>
    <w:rsid w:val="00DD3283"/>
    <w:rsid w:val="00DD5A71"/>
    <w:rsid w:val="00DD6565"/>
    <w:rsid w:val="00DD6FB9"/>
    <w:rsid w:val="00DD6FF6"/>
    <w:rsid w:val="00DD7213"/>
    <w:rsid w:val="00DD73EF"/>
    <w:rsid w:val="00DD7624"/>
    <w:rsid w:val="00DD7B4F"/>
    <w:rsid w:val="00DE112F"/>
    <w:rsid w:val="00DE19BA"/>
    <w:rsid w:val="00DE1E21"/>
    <w:rsid w:val="00DE2144"/>
    <w:rsid w:val="00DE3037"/>
    <w:rsid w:val="00DE337B"/>
    <w:rsid w:val="00DE3926"/>
    <w:rsid w:val="00DE407A"/>
    <w:rsid w:val="00DE543E"/>
    <w:rsid w:val="00DE5D72"/>
    <w:rsid w:val="00DE63FC"/>
    <w:rsid w:val="00DE6B99"/>
    <w:rsid w:val="00DF0ED1"/>
    <w:rsid w:val="00DF1670"/>
    <w:rsid w:val="00DF2846"/>
    <w:rsid w:val="00DF2A30"/>
    <w:rsid w:val="00DF2F77"/>
    <w:rsid w:val="00DF322F"/>
    <w:rsid w:val="00DF36B9"/>
    <w:rsid w:val="00DF42D6"/>
    <w:rsid w:val="00DF494C"/>
    <w:rsid w:val="00DF530B"/>
    <w:rsid w:val="00DF57A6"/>
    <w:rsid w:val="00DF6606"/>
    <w:rsid w:val="00DF7B7D"/>
    <w:rsid w:val="00DF7F12"/>
    <w:rsid w:val="00E00601"/>
    <w:rsid w:val="00E01AA3"/>
    <w:rsid w:val="00E01FB2"/>
    <w:rsid w:val="00E02F34"/>
    <w:rsid w:val="00E03418"/>
    <w:rsid w:val="00E06A25"/>
    <w:rsid w:val="00E10168"/>
    <w:rsid w:val="00E11964"/>
    <w:rsid w:val="00E11D16"/>
    <w:rsid w:val="00E11F51"/>
    <w:rsid w:val="00E124CD"/>
    <w:rsid w:val="00E12CAB"/>
    <w:rsid w:val="00E13D12"/>
    <w:rsid w:val="00E13FC7"/>
    <w:rsid w:val="00E14246"/>
    <w:rsid w:val="00E14886"/>
    <w:rsid w:val="00E14B45"/>
    <w:rsid w:val="00E14F85"/>
    <w:rsid w:val="00E15324"/>
    <w:rsid w:val="00E16ED0"/>
    <w:rsid w:val="00E178D8"/>
    <w:rsid w:val="00E20030"/>
    <w:rsid w:val="00E201AE"/>
    <w:rsid w:val="00E20913"/>
    <w:rsid w:val="00E2095E"/>
    <w:rsid w:val="00E20A20"/>
    <w:rsid w:val="00E22148"/>
    <w:rsid w:val="00E22A4C"/>
    <w:rsid w:val="00E23BA7"/>
    <w:rsid w:val="00E252B8"/>
    <w:rsid w:val="00E25311"/>
    <w:rsid w:val="00E27005"/>
    <w:rsid w:val="00E275E0"/>
    <w:rsid w:val="00E27854"/>
    <w:rsid w:val="00E30111"/>
    <w:rsid w:val="00E30379"/>
    <w:rsid w:val="00E30704"/>
    <w:rsid w:val="00E30FC4"/>
    <w:rsid w:val="00E31539"/>
    <w:rsid w:val="00E31FCD"/>
    <w:rsid w:val="00E326D5"/>
    <w:rsid w:val="00E32716"/>
    <w:rsid w:val="00E32730"/>
    <w:rsid w:val="00E33AE9"/>
    <w:rsid w:val="00E33CF0"/>
    <w:rsid w:val="00E344AA"/>
    <w:rsid w:val="00E3478C"/>
    <w:rsid w:val="00E34AE0"/>
    <w:rsid w:val="00E35A0B"/>
    <w:rsid w:val="00E40027"/>
    <w:rsid w:val="00E40F7A"/>
    <w:rsid w:val="00E41024"/>
    <w:rsid w:val="00E41E40"/>
    <w:rsid w:val="00E428FF"/>
    <w:rsid w:val="00E42B4A"/>
    <w:rsid w:val="00E43471"/>
    <w:rsid w:val="00E4464A"/>
    <w:rsid w:val="00E45A77"/>
    <w:rsid w:val="00E45CC8"/>
    <w:rsid w:val="00E473E7"/>
    <w:rsid w:val="00E47D23"/>
    <w:rsid w:val="00E50FA7"/>
    <w:rsid w:val="00E52120"/>
    <w:rsid w:val="00E527DB"/>
    <w:rsid w:val="00E52A96"/>
    <w:rsid w:val="00E52BCA"/>
    <w:rsid w:val="00E53673"/>
    <w:rsid w:val="00E5433A"/>
    <w:rsid w:val="00E54D58"/>
    <w:rsid w:val="00E552ED"/>
    <w:rsid w:val="00E558B9"/>
    <w:rsid w:val="00E56A9B"/>
    <w:rsid w:val="00E56CC2"/>
    <w:rsid w:val="00E60187"/>
    <w:rsid w:val="00E605A2"/>
    <w:rsid w:val="00E6065D"/>
    <w:rsid w:val="00E60FAA"/>
    <w:rsid w:val="00E62207"/>
    <w:rsid w:val="00E62BB1"/>
    <w:rsid w:val="00E639A8"/>
    <w:rsid w:val="00E63E2E"/>
    <w:rsid w:val="00E64548"/>
    <w:rsid w:val="00E667F3"/>
    <w:rsid w:val="00E67D25"/>
    <w:rsid w:val="00E67E1C"/>
    <w:rsid w:val="00E700C1"/>
    <w:rsid w:val="00E70E2E"/>
    <w:rsid w:val="00E7103A"/>
    <w:rsid w:val="00E71663"/>
    <w:rsid w:val="00E71783"/>
    <w:rsid w:val="00E72E14"/>
    <w:rsid w:val="00E732BC"/>
    <w:rsid w:val="00E73CF6"/>
    <w:rsid w:val="00E73F90"/>
    <w:rsid w:val="00E74E4A"/>
    <w:rsid w:val="00E75245"/>
    <w:rsid w:val="00E76FA9"/>
    <w:rsid w:val="00E7710C"/>
    <w:rsid w:val="00E77508"/>
    <w:rsid w:val="00E803D5"/>
    <w:rsid w:val="00E804C5"/>
    <w:rsid w:val="00E808FC"/>
    <w:rsid w:val="00E80D8D"/>
    <w:rsid w:val="00E80DD2"/>
    <w:rsid w:val="00E82160"/>
    <w:rsid w:val="00E824B8"/>
    <w:rsid w:val="00E82EB1"/>
    <w:rsid w:val="00E83ECB"/>
    <w:rsid w:val="00E84406"/>
    <w:rsid w:val="00E84878"/>
    <w:rsid w:val="00E85CFF"/>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24B2"/>
    <w:rsid w:val="00EA293D"/>
    <w:rsid w:val="00EA3448"/>
    <w:rsid w:val="00EA43EB"/>
    <w:rsid w:val="00EA5EED"/>
    <w:rsid w:val="00EA6069"/>
    <w:rsid w:val="00EA6445"/>
    <w:rsid w:val="00EA6A52"/>
    <w:rsid w:val="00EA76F5"/>
    <w:rsid w:val="00EA7B3B"/>
    <w:rsid w:val="00EA7E3F"/>
    <w:rsid w:val="00EA7E81"/>
    <w:rsid w:val="00EB1576"/>
    <w:rsid w:val="00EB184D"/>
    <w:rsid w:val="00EB2082"/>
    <w:rsid w:val="00EB4F77"/>
    <w:rsid w:val="00EB5733"/>
    <w:rsid w:val="00EB7272"/>
    <w:rsid w:val="00EC0F55"/>
    <w:rsid w:val="00EC1934"/>
    <w:rsid w:val="00EC2719"/>
    <w:rsid w:val="00EC4FB2"/>
    <w:rsid w:val="00EC5CFF"/>
    <w:rsid w:val="00ED06C9"/>
    <w:rsid w:val="00ED19EC"/>
    <w:rsid w:val="00ED2E30"/>
    <w:rsid w:val="00ED395D"/>
    <w:rsid w:val="00ED45A0"/>
    <w:rsid w:val="00ED4C30"/>
    <w:rsid w:val="00ED5730"/>
    <w:rsid w:val="00ED6056"/>
    <w:rsid w:val="00ED63E0"/>
    <w:rsid w:val="00EE0486"/>
    <w:rsid w:val="00EE198F"/>
    <w:rsid w:val="00EE28FD"/>
    <w:rsid w:val="00EE5950"/>
    <w:rsid w:val="00EE7609"/>
    <w:rsid w:val="00EE7967"/>
    <w:rsid w:val="00EF0F32"/>
    <w:rsid w:val="00EF1508"/>
    <w:rsid w:val="00EF26E5"/>
    <w:rsid w:val="00EF4126"/>
    <w:rsid w:val="00EF42FF"/>
    <w:rsid w:val="00EF5082"/>
    <w:rsid w:val="00EF6A3C"/>
    <w:rsid w:val="00EF6C9B"/>
    <w:rsid w:val="00F0019E"/>
    <w:rsid w:val="00F00200"/>
    <w:rsid w:val="00F0111E"/>
    <w:rsid w:val="00F01441"/>
    <w:rsid w:val="00F01862"/>
    <w:rsid w:val="00F02238"/>
    <w:rsid w:val="00F034F9"/>
    <w:rsid w:val="00F04C12"/>
    <w:rsid w:val="00F0573A"/>
    <w:rsid w:val="00F05B39"/>
    <w:rsid w:val="00F05BE0"/>
    <w:rsid w:val="00F0795E"/>
    <w:rsid w:val="00F100F1"/>
    <w:rsid w:val="00F10C20"/>
    <w:rsid w:val="00F11436"/>
    <w:rsid w:val="00F11BC2"/>
    <w:rsid w:val="00F12215"/>
    <w:rsid w:val="00F12842"/>
    <w:rsid w:val="00F13FDB"/>
    <w:rsid w:val="00F1408D"/>
    <w:rsid w:val="00F144C2"/>
    <w:rsid w:val="00F15540"/>
    <w:rsid w:val="00F16089"/>
    <w:rsid w:val="00F209DF"/>
    <w:rsid w:val="00F20BA9"/>
    <w:rsid w:val="00F23082"/>
    <w:rsid w:val="00F24200"/>
    <w:rsid w:val="00F24E4A"/>
    <w:rsid w:val="00F25466"/>
    <w:rsid w:val="00F2619B"/>
    <w:rsid w:val="00F261FB"/>
    <w:rsid w:val="00F2620E"/>
    <w:rsid w:val="00F26BCA"/>
    <w:rsid w:val="00F27269"/>
    <w:rsid w:val="00F276EC"/>
    <w:rsid w:val="00F3012A"/>
    <w:rsid w:val="00F302BB"/>
    <w:rsid w:val="00F30CDB"/>
    <w:rsid w:val="00F31402"/>
    <w:rsid w:val="00F3164A"/>
    <w:rsid w:val="00F31DAD"/>
    <w:rsid w:val="00F33078"/>
    <w:rsid w:val="00F3362F"/>
    <w:rsid w:val="00F33A2E"/>
    <w:rsid w:val="00F34341"/>
    <w:rsid w:val="00F34678"/>
    <w:rsid w:val="00F34AA0"/>
    <w:rsid w:val="00F3597D"/>
    <w:rsid w:val="00F3601A"/>
    <w:rsid w:val="00F36A79"/>
    <w:rsid w:val="00F3762E"/>
    <w:rsid w:val="00F400EB"/>
    <w:rsid w:val="00F40CC2"/>
    <w:rsid w:val="00F41856"/>
    <w:rsid w:val="00F41A0C"/>
    <w:rsid w:val="00F42612"/>
    <w:rsid w:val="00F44272"/>
    <w:rsid w:val="00F44924"/>
    <w:rsid w:val="00F44BA0"/>
    <w:rsid w:val="00F44EBB"/>
    <w:rsid w:val="00F45520"/>
    <w:rsid w:val="00F457D1"/>
    <w:rsid w:val="00F46497"/>
    <w:rsid w:val="00F47072"/>
    <w:rsid w:val="00F471C0"/>
    <w:rsid w:val="00F47662"/>
    <w:rsid w:val="00F479F0"/>
    <w:rsid w:val="00F505D7"/>
    <w:rsid w:val="00F50A7D"/>
    <w:rsid w:val="00F50CCB"/>
    <w:rsid w:val="00F52E12"/>
    <w:rsid w:val="00F541A4"/>
    <w:rsid w:val="00F5612E"/>
    <w:rsid w:val="00F57C87"/>
    <w:rsid w:val="00F601E6"/>
    <w:rsid w:val="00F6114C"/>
    <w:rsid w:val="00F61980"/>
    <w:rsid w:val="00F61BA1"/>
    <w:rsid w:val="00F622A9"/>
    <w:rsid w:val="00F63EAC"/>
    <w:rsid w:val="00F644BE"/>
    <w:rsid w:val="00F64CC7"/>
    <w:rsid w:val="00F64E41"/>
    <w:rsid w:val="00F6505E"/>
    <w:rsid w:val="00F6620E"/>
    <w:rsid w:val="00F66834"/>
    <w:rsid w:val="00F67397"/>
    <w:rsid w:val="00F6776C"/>
    <w:rsid w:val="00F70417"/>
    <w:rsid w:val="00F707B7"/>
    <w:rsid w:val="00F70858"/>
    <w:rsid w:val="00F70ADA"/>
    <w:rsid w:val="00F71914"/>
    <w:rsid w:val="00F72F6E"/>
    <w:rsid w:val="00F739F5"/>
    <w:rsid w:val="00F7429F"/>
    <w:rsid w:val="00F7470A"/>
    <w:rsid w:val="00F75001"/>
    <w:rsid w:val="00F751FF"/>
    <w:rsid w:val="00F755F9"/>
    <w:rsid w:val="00F75E65"/>
    <w:rsid w:val="00F76F32"/>
    <w:rsid w:val="00F7750C"/>
    <w:rsid w:val="00F802C0"/>
    <w:rsid w:val="00F80A8C"/>
    <w:rsid w:val="00F811CF"/>
    <w:rsid w:val="00F82A53"/>
    <w:rsid w:val="00F83001"/>
    <w:rsid w:val="00F83CB7"/>
    <w:rsid w:val="00F85399"/>
    <w:rsid w:val="00F85505"/>
    <w:rsid w:val="00F85E21"/>
    <w:rsid w:val="00F86B8F"/>
    <w:rsid w:val="00F86C7E"/>
    <w:rsid w:val="00F86EA7"/>
    <w:rsid w:val="00F902DF"/>
    <w:rsid w:val="00F90DD0"/>
    <w:rsid w:val="00F9105A"/>
    <w:rsid w:val="00F913E0"/>
    <w:rsid w:val="00F91C30"/>
    <w:rsid w:val="00F91C97"/>
    <w:rsid w:val="00F92191"/>
    <w:rsid w:val="00F925EC"/>
    <w:rsid w:val="00F9301D"/>
    <w:rsid w:val="00F934D9"/>
    <w:rsid w:val="00F9375A"/>
    <w:rsid w:val="00F944C6"/>
    <w:rsid w:val="00F947FA"/>
    <w:rsid w:val="00F95030"/>
    <w:rsid w:val="00F95436"/>
    <w:rsid w:val="00F95921"/>
    <w:rsid w:val="00F95E22"/>
    <w:rsid w:val="00F96476"/>
    <w:rsid w:val="00F9753F"/>
    <w:rsid w:val="00FA0EE9"/>
    <w:rsid w:val="00FA1026"/>
    <w:rsid w:val="00FA2DD4"/>
    <w:rsid w:val="00FA2EB7"/>
    <w:rsid w:val="00FA310E"/>
    <w:rsid w:val="00FA6397"/>
    <w:rsid w:val="00FA6984"/>
    <w:rsid w:val="00FA7C7D"/>
    <w:rsid w:val="00FB1A1A"/>
    <w:rsid w:val="00FB1EB4"/>
    <w:rsid w:val="00FB3658"/>
    <w:rsid w:val="00FB3B0E"/>
    <w:rsid w:val="00FB62CF"/>
    <w:rsid w:val="00FB66CD"/>
    <w:rsid w:val="00FB68C5"/>
    <w:rsid w:val="00FB6E69"/>
    <w:rsid w:val="00FB7035"/>
    <w:rsid w:val="00FB7493"/>
    <w:rsid w:val="00FB7A2C"/>
    <w:rsid w:val="00FB7A74"/>
    <w:rsid w:val="00FC11B3"/>
    <w:rsid w:val="00FC13F1"/>
    <w:rsid w:val="00FC1E7E"/>
    <w:rsid w:val="00FC2E4A"/>
    <w:rsid w:val="00FC3503"/>
    <w:rsid w:val="00FC362D"/>
    <w:rsid w:val="00FC36E4"/>
    <w:rsid w:val="00FC5486"/>
    <w:rsid w:val="00FC5FDD"/>
    <w:rsid w:val="00FC67C9"/>
    <w:rsid w:val="00FC6E59"/>
    <w:rsid w:val="00FC7C02"/>
    <w:rsid w:val="00FD03C2"/>
    <w:rsid w:val="00FD05CE"/>
    <w:rsid w:val="00FD1732"/>
    <w:rsid w:val="00FD29B7"/>
    <w:rsid w:val="00FD2B0D"/>
    <w:rsid w:val="00FD2D2C"/>
    <w:rsid w:val="00FD4C8B"/>
    <w:rsid w:val="00FD63DF"/>
    <w:rsid w:val="00FD72A0"/>
    <w:rsid w:val="00FD78E0"/>
    <w:rsid w:val="00FD7939"/>
    <w:rsid w:val="00FE0A22"/>
    <w:rsid w:val="00FE0AA1"/>
    <w:rsid w:val="00FE1115"/>
    <w:rsid w:val="00FE138A"/>
    <w:rsid w:val="00FE167F"/>
    <w:rsid w:val="00FE2700"/>
    <w:rsid w:val="00FE3423"/>
    <w:rsid w:val="00FE37EA"/>
    <w:rsid w:val="00FE3DE0"/>
    <w:rsid w:val="00FE467B"/>
    <w:rsid w:val="00FE6102"/>
    <w:rsid w:val="00FE626E"/>
    <w:rsid w:val="00FE7338"/>
    <w:rsid w:val="00FE7F17"/>
    <w:rsid w:val="00FF0947"/>
    <w:rsid w:val="00FF1A60"/>
    <w:rsid w:val="00FF1E17"/>
    <w:rsid w:val="00FF1EB4"/>
    <w:rsid w:val="00FF1F24"/>
    <w:rsid w:val="00FF30A4"/>
    <w:rsid w:val="00FF3B74"/>
    <w:rsid w:val="00FF3B77"/>
    <w:rsid w:val="00FF46C2"/>
    <w:rsid w:val="00FF52E3"/>
    <w:rsid w:val="00FF53CE"/>
    <w:rsid w:val="00FF65BD"/>
    <w:rsid w:val="00FF6772"/>
    <w:rsid w:val="00FF6FEB"/>
    <w:rsid w:val="00FF7843"/>
    <w:rsid w:val="01953B5D"/>
    <w:rsid w:val="01EC01DF"/>
    <w:rsid w:val="02B66219"/>
    <w:rsid w:val="033B1098"/>
    <w:rsid w:val="041736D9"/>
    <w:rsid w:val="04796711"/>
    <w:rsid w:val="05347652"/>
    <w:rsid w:val="057D00EF"/>
    <w:rsid w:val="059A1C9D"/>
    <w:rsid w:val="05F05787"/>
    <w:rsid w:val="060002E9"/>
    <w:rsid w:val="060B0A71"/>
    <w:rsid w:val="062F59C1"/>
    <w:rsid w:val="06AA0A01"/>
    <w:rsid w:val="07FC4512"/>
    <w:rsid w:val="0830185F"/>
    <w:rsid w:val="08E54F34"/>
    <w:rsid w:val="0A2E457F"/>
    <w:rsid w:val="0A311901"/>
    <w:rsid w:val="0A563D67"/>
    <w:rsid w:val="0ACA785C"/>
    <w:rsid w:val="0B077103"/>
    <w:rsid w:val="0B7A0A9C"/>
    <w:rsid w:val="0B9D7F6A"/>
    <w:rsid w:val="0BDE7E15"/>
    <w:rsid w:val="0C4454F0"/>
    <w:rsid w:val="0E1A1B43"/>
    <w:rsid w:val="0E3463B3"/>
    <w:rsid w:val="0F15187D"/>
    <w:rsid w:val="0F9B7012"/>
    <w:rsid w:val="0FA0248B"/>
    <w:rsid w:val="11633345"/>
    <w:rsid w:val="11BF61FC"/>
    <w:rsid w:val="135A4481"/>
    <w:rsid w:val="1596620C"/>
    <w:rsid w:val="15A970FC"/>
    <w:rsid w:val="160015E1"/>
    <w:rsid w:val="16E01D8D"/>
    <w:rsid w:val="189017A6"/>
    <w:rsid w:val="18AC1037"/>
    <w:rsid w:val="19ED4482"/>
    <w:rsid w:val="1ABB279C"/>
    <w:rsid w:val="1AF51954"/>
    <w:rsid w:val="1B7C407F"/>
    <w:rsid w:val="1B9F7EB6"/>
    <w:rsid w:val="1C5E0E6C"/>
    <w:rsid w:val="1C7143DF"/>
    <w:rsid w:val="1C8C51C6"/>
    <w:rsid w:val="1D9F0030"/>
    <w:rsid w:val="1DA0430A"/>
    <w:rsid w:val="1DEB15A3"/>
    <w:rsid w:val="1E3A2EE6"/>
    <w:rsid w:val="1E41397D"/>
    <w:rsid w:val="1EA97168"/>
    <w:rsid w:val="1F2E7C9E"/>
    <w:rsid w:val="1F4724AC"/>
    <w:rsid w:val="1F590CB5"/>
    <w:rsid w:val="1F7A041D"/>
    <w:rsid w:val="20E90E22"/>
    <w:rsid w:val="20FD4C2E"/>
    <w:rsid w:val="219B6B4D"/>
    <w:rsid w:val="223F1D24"/>
    <w:rsid w:val="22455FAA"/>
    <w:rsid w:val="22C80F21"/>
    <w:rsid w:val="23004123"/>
    <w:rsid w:val="2301534A"/>
    <w:rsid w:val="23653D29"/>
    <w:rsid w:val="23B34CA4"/>
    <w:rsid w:val="240B167F"/>
    <w:rsid w:val="24354CBD"/>
    <w:rsid w:val="254F18D4"/>
    <w:rsid w:val="25AB1587"/>
    <w:rsid w:val="26CE635A"/>
    <w:rsid w:val="272760F1"/>
    <w:rsid w:val="27D173CF"/>
    <w:rsid w:val="28214C6A"/>
    <w:rsid w:val="28E34FEC"/>
    <w:rsid w:val="297C317A"/>
    <w:rsid w:val="2A4D1789"/>
    <w:rsid w:val="2AC770E5"/>
    <w:rsid w:val="2B570D44"/>
    <w:rsid w:val="2B740DA4"/>
    <w:rsid w:val="2D7602FA"/>
    <w:rsid w:val="2DC91946"/>
    <w:rsid w:val="2E110313"/>
    <w:rsid w:val="2E3738EA"/>
    <w:rsid w:val="2E3968BD"/>
    <w:rsid w:val="2E604BFD"/>
    <w:rsid w:val="2EBD78A3"/>
    <w:rsid w:val="30773381"/>
    <w:rsid w:val="31105727"/>
    <w:rsid w:val="31163C58"/>
    <w:rsid w:val="319B6A24"/>
    <w:rsid w:val="32273C53"/>
    <w:rsid w:val="322E7A29"/>
    <w:rsid w:val="32300A82"/>
    <w:rsid w:val="325165D4"/>
    <w:rsid w:val="32C134AE"/>
    <w:rsid w:val="33877857"/>
    <w:rsid w:val="339903C8"/>
    <w:rsid w:val="341C43C3"/>
    <w:rsid w:val="34347541"/>
    <w:rsid w:val="34B94451"/>
    <w:rsid w:val="351C2D9C"/>
    <w:rsid w:val="352A4A7C"/>
    <w:rsid w:val="35B648A5"/>
    <w:rsid w:val="35D8031A"/>
    <w:rsid w:val="362E16C5"/>
    <w:rsid w:val="367B5C9F"/>
    <w:rsid w:val="36C61063"/>
    <w:rsid w:val="37681083"/>
    <w:rsid w:val="37B13643"/>
    <w:rsid w:val="37E97FC7"/>
    <w:rsid w:val="394F31E7"/>
    <w:rsid w:val="3A671FBC"/>
    <w:rsid w:val="3A860190"/>
    <w:rsid w:val="3C121C80"/>
    <w:rsid w:val="3C1D51E8"/>
    <w:rsid w:val="3D8C2BCB"/>
    <w:rsid w:val="3DD011E4"/>
    <w:rsid w:val="3DD531EB"/>
    <w:rsid w:val="3E10293F"/>
    <w:rsid w:val="3EBB16B4"/>
    <w:rsid w:val="404B2F5D"/>
    <w:rsid w:val="404C25FD"/>
    <w:rsid w:val="40B1639D"/>
    <w:rsid w:val="40CC7591"/>
    <w:rsid w:val="41354BF0"/>
    <w:rsid w:val="424D4BC9"/>
    <w:rsid w:val="43BF0570"/>
    <w:rsid w:val="43F34A3C"/>
    <w:rsid w:val="44092CAA"/>
    <w:rsid w:val="44402940"/>
    <w:rsid w:val="458C04F3"/>
    <w:rsid w:val="45DC270F"/>
    <w:rsid w:val="478F6979"/>
    <w:rsid w:val="48EB7E8E"/>
    <w:rsid w:val="48EE3125"/>
    <w:rsid w:val="49373C2C"/>
    <w:rsid w:val="49CB1FA4"/>
    <w:rsid w:val="4B594EA0"/>
    <w:rsid w:val="4B74488B"/>
    <w:rsid w:val="4BF72A64"/>
    <w:rsid w:val="4C55171E"/>
    <w:rsid w:val="4C711190"/>
    <w:rsid w:val="4DFB5F75"/>
    <w:rsid w:val="4E177E9A"/>
    <w:rsid w:val="4F530BD7"/>
    <w:rsid w:val="501B2E97"/>
    <w:rsid w:val="50B605B9"/>
    <w:rsid w:val="52204890"/>
    <w:rsid w:val="528E034E"/>
    <w:rsid w:val="52A81CF3"/>
    <w:rsid w:val="54E6255F"/>
    <w:rsid w:val="59127760"/>
    <w:rsid w:val="591B36A2"/>
    <w:rsid w:val="59910DF7"/>
    <w:rsid w:val="59C13B61"/>
    <w:rsid w:val="59F26D84"/>
    <w:rsid w:val="5A0B353B"/>
    <w:rsid w:val="5A376A6B"/>
    <w:rsid w:val="5AFB46D9"/>
    <w:rsid w:val="5B8B10A3"/>
    <w:rsid w:val="5BE84057"/>
    <w:rsid w:val="5C04153B"/>
    <w:rsid w:val="5C42534F"/>
    <w:rsid w:val="5D6E7FE8"/>
    <w:rsid w:val="5DE963D8"/>
    <w:rsid w:val="5E310498"/>
    <w:rsid w:val="5EE155D3"/>
    <w:rsid w:val="5EF455D8"/>
    <w:rsid w:val="5FAC49FB"/>
    <w:rsid w:val="60C610F9"/>
    <w:rsid w:val="61DE0AFC"/>
    <w:rsid w:val="625F15E5"/>
    <w:rsid w:val="62A964F7"/>
    <w:rsid w:val="63963E28"/>
    <w:rsid w:val="63C97C7C"/>
    <w:rsid w:val="63CC1485"/>
    <w:rsid w:val="6420257D"/>
    <w:rsid w:val="658B403A"/>
    <w:rsid w:val="67527B6C"/>
    <w:rsid w:val="68451AAF"/>
    <w:rsid w:val="690D0CCA"/>
    <w:rsid w:val="69494EC9"/>
    <w:rsid w:val="69522FD3"/>
    <w:rsid w:val="69923CFB"/>
    <w:rsid w:val="6B372B75"/>
    <w:rsid w:val="6B4013F9"/>
    <w:rsid w:val="6B8605F4"/>
    <w:rsid w:val="6C32718C"/>
    <w:rsid w:val="6DBE6668"/>
    <w:rsid w:val="6E401453"/>
    <w:rsid w:val="6F2A33EE"/>
    <w:rsid w:val="6FCD684B"/>
    <w:rsid w:val="70340760"/>
    <w:rsid w:val="711D585E"/>
    <w:rsid w:val="72965E7A"/>
    <w:rsid w:val="731927C5"/>
    <w:rsid w:val="73355387"/>
    <w:rsid w:val="73366658"/>
    <w:rsid w:val="739F538A"/>
    <w:rsid w:val="75800D25"/>
    <w:rsid w:val="75CC7FA2"/>
    <w:rsid w:val="761A6B08"/>
    <w:rsid w:val="763D788C"/>
    <w:rsid w:val="77654F47"/>
    <w:rsid w:val="780972A1"/>
    <w:rsid w:val="792F796E"/>
    <w:rsid w:val="798F10CC"/>
    <w:rsid w:val="7AE21E7B"/>
    <w:rsid w:val="7B7F4796"/>
    <w:rsid w:val="7B9A68D1"/>
    <w:rsid w:val="7BC04D73"/>
    <w:rsid w:val="7BDD0EA4"/>
    <w:rsid w:val="7CD01E6D"/>
    <w:rsid w:val="7D475DE2"/>
    <w:rsid w:val="7DB2735C"/>
    <w:rsid w:val="7DB75DAD"/>
    <w:rsid w:val="7E065469"/>
    <w:rsid w:val="7F1F715E"/>
    <w:rsid w:val="7F236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qFormat="1" w:unhideWhenUsed="0" w:uiPriority="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39"/>
    <w:qFormat/>
    <w:uiPriority w:val="0"/>
    <w:pPr>
      <w:keepNext/>
      <w:keepLines/>
      <w:numPr>
        <w:ilvl w:val="0"/>
        <w:numId w:val="1"/>
      </w:numPr>
      <w:spacing w:before="340" w:after="330" w:line="578" w:lineRule="auto"/>
      <w:outlineLvl w:val="0"/>
    </w:pPr>
    <w:rPr>
      <w:b/>
      <w:bCs/>
      <w:kern w:val="44"/>
      <w:sz w:val="44"/>
      <w:szCs w:val="44"/>
    </w:rPr>
  </w:style>
  <w:style w:type="paragraph" w:styleId="5">
    <w:name w:val="heading 2"/>
    <w:basedOn w:val="1"/>
    <w:next w:val="1"/>
    <w:link w:val="134"/>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6">
    <w:name w:val="heading 3"/>
    <w:basedOn w:val="1"/>
    <w:next w:val="1"/>
    <w:link w:val="72"/>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0"/>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10"/>
    <w:qFormat/>
    <w:uiPriority w:val="0"/>
    <w:pPr>
      <w:keepNext/>
      <w:keepLines/>
      <w:spacing w:before="240" w:after="64" w:line="320" w:lineRule="auto"/>
      <w:outlineLvl w:val="6"/>
    </w:pPr>
    <w:rPr>
      <w:b/>
      <w:sz w:val="24"/>
      <w:szCs w:val="20"/>
    </w:rPr>
  </w:style>
  <w:style w:type="paragraph" w:styleId="12">
    <w:name w:val="heading 8"/>
    <w:basedOn w:val="1"/>
    <w:next w:val="10"/>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10"/>
    <w:qFormat/>
    <w:uiPriority w:val="0"/>
    <w:pPr>
      <w:keepNext/>
      <w:keepLines/>
      <w:spacing w:before="240" w:after="64" w:line="320" w:lineRule="auto"/>
      <w:outlineLvl w:val="8"/>
    </w:pPr>
    <w:rPr>
      <w:rFonts w:ascii="Arial" w:hAnsi="Arial" w:eastAsia="黑体"/>
      <w:szCs w:val="2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qFormat/>
    <w:uiPriority w:val="0"/>
    <w:pPr>
      <w:spacing w:after="120" w:line="240" w:lineRule="auto"/>
      <w:ind w:left="200" w:leftChars="200" w:firstLine="200" w:firstLineChars="200"/>
      <w:textAlignment w:val="auto"/>
    </w:pPr>
    <w:rPr>
      <w:rFonts w:ascii="Calibri" w:hAnsi="Calibri"/>
      <w:kern w:val="2"/>
      <w:sz w:val="21"/>
      <w:szCs w:val="22"/>
    </w:rPr>
  </w:style>
  <w:style w:type="paragraph" w:customStyle="1" w:styleId="3">
    <w:name w:val="BodyTextIndent"/>
    <w:basedOn w:val="1"/>
    <w:qFormat/>
    <w:uiPriority w:val="0"/>
    <w:pPr>
      <w:spacing w:line="480" w:lineRule="exact"/>
      <w:ind w:left="850" w:hanging="249"/>
    </w:pPr>
    <w:rPr>
      <w:rFonts w:ascii="仿宋_GB2312" w:eastAsia="仿宋_GB2312"/>
      <w:sz w:val="28"/>
      <w:szCs w:val="20"/>
    </w:rPr>
  </w:style>
  <w:style w:type="paragraph" w:styleId="10">
    <w:name w:val="Normal Indent"/>
    <w:basedOn w:val="1"/>
    <w:link w:val="80"/>
    <w:qFormat/>
    <w:uiPriority w:val="0"/>
    <w:pPr>
      <w:ind w:firstLine="420"/>
    </w:pPr>
    <w:rPr>
      <w:szCs w:val="20"/>
    </w:rPr>
  </w:style>
  <w:style w:type="paragraph" w:styleId="14">
    <w:name w:val="toc 7"/>
    <w:basedOn w:val="1"/>
    <w:next w:val="1"/>
    <w:unhideWhenUsed/>
    <w:qFormat/>
    <w:uiPriority w:val="0"/>
    <w:pPr>
      <w:ind w:left="1260"/>
      <w:jc w:val="left"/>
    </w:pPr>
    <w:rPr>
      <w:rFonts w:ascii="Calibri" w:hAnsi="Calibri"/>
      <w:sz w:val="18"/>
      <w:szCs w:val="18"/>
    </w:rPr>
  </w:style>
  <w:style w:type="paragraph" w:styleId="15">
    <w:name w:val="caption"/>
    <w:basedOn w:val="1"/>
    <w:next w:val="1"/>
    <w:link w:val="70"/>
    <w:qFormat/>
    <w:uiPriority w:val="0"/>
    <w:rPr>
      <w:rFonts w:ascii="Arial" w:hAnsi="Arial" w:eastAsia="黑体"/>
      <w:sz w:val="20"/>
      <w:szCs w:val="20"/>
    </w:rPr>
  </w:style>
  <w:style w:type="paragraph" w:styleId="16">
    <w:name w:val="Document Map"/>
    <w:basedOn w:val="1"/>
    <w:semiHidden/>
    <w:qFormat/>
    <w:uiPriority w:val="0"/>
    <w:pPr>
      <w:shd w:val="clear" w:color="auto" w:fill="000080"/>
    </w:pPr>
  </w:style>
  <w:style w:type="paragraph" w:styleId="17">
    <w:name w:val="toa heading"/>
    <w:basedOn w:val="1"/>
    <w:next w:val="1"/>
    <w:semiHidden/>
    <w:qFormat/>
    <w:uiPriority w:val="0"/>
    <w:pPr>
      <w:spacing w:before="120"/>
    </w:pPr>
    <w:rPr>
      <w:rFonts w:ascii="Arial" w:hAnsi="Arial"/>
      <w:sz w:val="24"/>
      <w:szCs w:val="20"/>
    </w:rPr>
  </w:style>
  <w:style w:type="paragraph" w:styleId="18">
    <w:name w:val="annotation text"/>
    <w:basedOn w:val="1"/>
    <w:link w:val="82"/>
    <w:semiHidden/>
    <w:qFormat/>
    <w:uiPriority w:val="0"/>
    <w:pPr>
      <w:jc w:val="left"/>
    </w:pPr>
  </w:style>
  <w:style w:type="paragraph" w:styleId="19">
    <w:name w:val="Body Text 3"/>
    <w:basedOn w:val="1"/>
    <w:qFormat/>
    <w:uiPriority w:val="0"/>
    <w:pPr>
      <w:spacing w:after="120"/>
    </w:pPr>
    <w:rPr>
      <w:sz w:val="16"/>
      <w:szCs w:val="16"/>
    </w:rPr>
  </w:style>
  <w:style w:type="paragraph" w:styleId="20">
    <w:name w:val="Body Text"/>
    <w:basedOn w:val="1"/>
    <w:qFormat/>
    <w:uiPriority w:val="0"/>
    <w:pPr>
      <w:spacing w:line="360" w:lineRule="auto"/>
    </w:pPr>
    <w:rPr>
      <w:szCs w:val="20"/>
    </w:rPr>
  </w:style>
  <w:style w:type="paragraph" w:styleId="21">
    <w:name w:val="Body Text Indent"/>
    <w:basedOn w:val="1"/>
    <w:link w:val="65"/>
    <w:qFormat/>
    <w:uiPriority w:val="0"/>
    <w:pPr>
      <w:ind w:firstLine="830" w:firstLineChars="352"/>
    </w:pPr>
    <w:rPr>
      <w:rFonts w:ascii="仿宋_GB2312" w:eastAsia="仿宋_GB2312"/>
      <w:sz w:val="32"/>
      <w:szCs w:val="20"/>
    </w:rPr>
  </w:style>
  <w:style w:type="paragraph" w:styleId="22">
    <w:name w:val="toc 5"/>
    <w:basedOn w:val="1"/>
    <w:next w:val="1"/>
    <w:unhideWhenUsed/>
    <w:qFormat/>
    <w:uiPriority w:val="0"/>
    <w:pPr>
      <w:ind w:left="840"/>
      <w:jc w:val="left"/>
    </w:pPr>
    <w:rPr>
      <w:rFonts w:ascii="Calibri" w:hAnsi="Calibri"/>
      <w:sz w:val="18"/>
      <w:szCs w:val="18"/>
    </w:rPr>
  </w:style>
  <w:style w:type="paragraph" w:styleId="23">
    <w:name w:val="toc 3"/>
    <w:basedOn w:val="1"/>
    <w:next w:val="1"/>
    <w:qFormat/>
    <w:uiPriority w:val="39"/>
    <w:pPr>
      <w:tabs>
        <w:tab w:val="left" w:pos="900"/>
        <w:tab w:val="left" w:pos="1080"/>
      </w:tabs>
      <w:ind w:left="100" w:leftChars="100"/>
    </w:pPr>
    <w:rPr>
      <w:rFonts w:ascii="宋体" w:hAnsi="宋体"/>
      <w:iCs/>
    </w:rPr>
  </w:style>
  <w:style w:type="paragraph" w:styleId="24">
    <w:name w:val="Plain Text"/>
    <w:basedOn w:val="1"/>
    <w:link w:val="69"/>
    <w:qFormat/>
    <w:uiPriority w:val="0"/>
    <w:rPr>
      <w:rFonts w:ascii="宋体" w:hAnsi="Courier New" w:cs="Courier New"/>
      <w:szCs w:val="21"/>
    </w:rPr>
  </w:style>
  <w:style w:type="paragraph" w:styleId="25">
    <w:name w:val="toc 8"/>
    <w:basedOn w:val="1"/>
    <w:next w:val="1"/>
    <w:qFormat/>
    <w:uiPriority w:val="0"/>
    <w:pPr>
      <w:ind w:left="1470"/>
      <w:jc w:val="left"/>
    </w:pPr>
    <w:rPr>
      <w:rFonts w:ascii="Calibri" w:hAnsi="Calibri"/>
      <w:sz w:val="18"/>
      <w:szCs w:val="18"/>
    </w:rPr>
  </w:style>
  <w:style w:type="paragraph" w:styleId="26">
    <w:name w:val="index 3"/>
    <w:basedOn w:val="1"/>
    <w:next w:val="1"/>
    <w:semiHidden/>
    <w:qFormat/>
    <w:uiPriority w:val="0"/>
    <w:pPr>
      <w:ind w:left="400" w:leftChars="400"/>
    </w:pPr>
  </w:style>
  <w:style w:type="paragraph" w:styleId="27">
    <w:name w:val="Date"/>
    <w:basedOn w:val="1"/>
    <w:next w:val="1"/>
    <w:qFormat/>
    <w:uiPriority w:val="0"/>
    <w:rPr>
      <w:rFonts w:ascii="宋体" w:hAnsi="Courier New"/>
      <w:b/>
      <w:sz w:val="48"/>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semiHidden/>
    <w:qFormat/>
    <w:uiPriority w:val="0"/>
    <w:rPr>
      <w:sz w:val="18"/>
      <w:szCs w:val="18"/>
    </w:rPr>
  </w:style>
  <w:style w:type="paragraph" w:styleId="30">
    <w:name w:val="footer"/>
    <w:basedOn w:val="1"/>
    <w:link w:val="68"/>
    <w:qFormat/>
    <w:uiPriority w:val="99"/>
    <w:pPr>
      <w:tabs>
        <w:tab w:val="center" w:pos="4153"/>
        <w:tab w:val="right" w:pos="8306"/>
      </w:tabs>
      <w:snapToGrid w:val="0"/>
      <w:jc w:val="left"/>
    </w:pPr>
    <w:rPr>
      <w:sz w:val="18"/>
      <w:szCs w:val="18"/>
    </w:rPr>
  </w:style>
  <w:style w:type="paragraph" w:styleId="31">
    <w:name w:val="header"/>
    <w:basedOn w:val="1"/>
    <w:link w:val="81"/>
    <w:qFormat/>
    <w:uiPriority w:val="99"/>
    <w:pPr>
      <w:pBdr>
        <w:bottom w:val="single" w:color="auto" w:sz="6" w:space="1"/>
      </w:pBdr>
      <w:tabs>
        <w:tab w:val="center" w:pos="4153"/>
        <w:tab w:val="right" w:pos="8306"/>
      </w:tabs>
      <w:snapToGrid w:val="0"/>
      <w:jc w:val="center"/>
    </w:pPr>
    <w:rPr>
      <w:strike/>
      <w:sz w:val="18"/>
      <w:szCs w:val="18"/>
    </w:rPr>
  </w:style>
  <w:style w:type="paragraph" w:styleId="32">
    <w:name w:val="toc 1"/>
    <w:basedOn w:val="1"/>
    <w:next w:val="1"/>
    <w:qFormat/>
    <w:uiPriority w:val="39"/>
    <w:pPr>
      <w:tabs>
        <w:tab w:val="right" w:leader="dot" w:pos="8280"/>
      </w:tabs>
      <w:spacing w:line="360" w:lineRule="auto"/>
    </w:pPr>
    <w:rPr>
      <w:rFonts w:ascii="宋体" w:hAnsi="宋体"/>
      <w:b/>
      <w:sz w:val="22"/>
      <w:szCs w:val="21"/>
    </w:rPr>
  </w:style>
  <w:style w:type="paragraph" w:styleId="33">
    <w:name w:val="toc 4"/>
    <w:basedOn w:val="1"/>
    <w:next w:val="1"/>
    <w:unhideWhenUsed/>
    <w:qFormat/>
    <w:uiPriority w:val="39"/>
    <w:pPr>
      <w:ind w:left="630"/>
      <w:jc w:val="left"/>
    </w:pPr>
    <w:rPr>
      <w:rFonts w:ascii="Calibri" w:hAnsi="Calibri"/>
      <w:sz w:val="18"/>
      <w:szCs w:val="18"/>
    </w:rPr>
  </w:style>
  <w:style w:type="paragraph" w:styleId="34">
    <w:name w:val="index heading"/>
    <w:basedOn w:val="1"/>
    <w:next w:val="35"/>
    <w:semiHidden/>
    <w:qFormat/>
    <w:uiPriority w:val="0"/>
    <w:rPr>
      <w:szCs w:val="20"/>
    </w:rPr>
  </w:style>
  <w:style w:type="paragraph" w:styleId="35">
    <w:name w:val="index 1"/>
    <w:basedOn w:val="1"/>
    <w:next w:val="1"/>
    <w:semiHidden/>
    <w:qFormat/>
    <w:uiPriority w:val="0"/>
    <w:pPr>
      <w:tabs>
        <w:tab w:val="left" w:pos="7740"/>
      </w:tabs>
      <w:jc w:val="center"/>
    </w:pPr>
    <w:rPr>
      <w:rFonts w:ascii="仿宋" w:hAnsi="仿宋" w:eastAsia="仿宋"/>
      <w:b/>
      <w:sz w:val="28"/>
      <w:szCs w:val="28"/>
    </w:rPr>
  </w:style>
  <w:style w:type="paragraph" w:styleId="36">
    <w:name w:val="toc 6"/>
    <w:basedOn w:val="1"/>
    <w:next w:val="1"/>
    <w:unhideWhenUsed/>
    <w:qFormat/>
    <w:uiPriority w:val="0"/>
    <w:pPr>
      <w:ind w:left="1050"/>
      <w:jc w:val="left"/>
    </w:pPr>
    <w:rPr>
      <w:rFonts w:ascii="Calibri" w:hAnsi="Calibri"/>
      <w:sz w:val="18"/>
      <w:szCs w:val="18"/>
    </w:rPr>
  </w:style>
  <w:style w:type="paragraph" w:styleId="37">
    <w:name w:val="Body Text Indent 3"/>
    <w:basedOn w:val="1"/>
    <w:qFormat/>
    <w:uiPriority w:val="0"/>
    <w:pPr>
      <w:spacing w:line="360" w:lineRule="auto"/>
      <w:ind w:firstLine="420" w:firstLineChars="200"/>
    </w:pPr>
    <w:rPr>
      <w:szCs w:val="20"/>
    </w:rPr>
  </w:style>
  <w:style w:type="paragraph" w:styleId="38">
    <w:name w:val="toc 2"/>
    <w:basedOn w:val="1"/>
    <w:next w:val="1"/>
    <w:qFormat/>
    <w:uiPriority w:val="39"/>
    <w:pPr>
      <w:tabs>
        <w:tab w:val="left" w:pos="840"/>
        <w:tab w:val="right" w:leader="dot" w:pos="8302"/>
      </w:tabs>
      <w:spacing w:line="360" w:lineRule="auto"/>
      <w:ind w:left="210" w:leftChars="100"/>
      <w:jc w:val="left"/>
    </w:pPr>
    <w:rPr>
      <w:rFonts w:ascii="黑体" w:hAnsi="宋体"/>
      <w:smallCaps/>
      <w:kern w:val="44"/>
      <w:szCs w:val="21"/>
    </w:rPr>
  </w:style>
  <w:style w:type="paragraph" w:styleId="39">
    <w:name w:val="toc 9"/>
    <w:basedOn w:val="1"/>
    <w:next w:val="1"/>
    <w:unhideWhenUsed/>
    <w:qFormat/>
    <w:uiPriority w:val="0"/>
    <w:pPr>
      <w:ind w:left="1680"/>
      <w:jc w:val="left"/>
    </w:pPr>
    <w:rPr>
      <w:rFonts w:ascii="Calibri" w:hAnsi="Calibri"/>
      <w:sz w:val="18"/>
      <w:szCs w:val="18"/>
    </w:rPr>
  </w:style>
  <w:style w:type="paragraph" w:styleId="40">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41">
    <w:name w:val="Title"/>
    <w:basedOn w:val="1"/>
    <w:qFormat/>
    <w:uiPriority w:val="0"/>
    <w:pPr>
      <w:spacing w:before="240" w:after="60"/>
      <w:jc w:val="center"/>
      <w:outlineLvl w:val="0"/>
    </w:pPr>
    <w:rPr>
      <w:rFonts w:ascii="Arial" w:hAnsi="Arial" w:cs="Arial"/>
      <w:b/>
      <w:bCs/>
      <w:sz w:val="32"/>
      <w:szCs w:val="32"/>
    </w:rPr>
  </w:style>
  <w:style w:type="paragraph" w:styleId="42">
    <w:name w:val="annotation subject"/>
    <w:basedOn w:val="18"/>
    <w:next w:val="18"/>
    <w:semiHidden/>
    <w:qFormat/>
    <w:uiPriority w:val="0"/>
    <w:rPr>
      <w:b/>
      <w:bCs/>
    </w:rPr>
  </w:style>
  <w:style w:type="paragraph" w:styleId="43">
    <w:name w:val="Body Text First Indent"/>
    <w:basedOn w:val="20"/>
    <w:qFormat/>
    <w:uiPriority w:val="0"/>
    <w:pPr>
      <w:spacing w:after="120" w:line="240" w:lineRule="auto"/>
      <w:ind w:firstLine="420" w:firstLineChars="100"/>
    </w:pPr>
    <w:rPr>
      <w:szCs w:val="24"/>
    </w:rPr>
  </w:style>
  <w:style w:type="paragraph" w:styleId="44">
    <w:name w:val="Body Text First Indent 2"/>
    <w:basedOn w:val="21"/>
    <w:unhideWhenUsed/>
    <w:qFormat/>
    <w:uiPriority w:val="99"/>
    <w:pPr>
      <w:ind w:firstLine="420" w:firstLineChars="200"/>
    </w:p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qFormat/>
    <w:uiPriority w:val="0"/>
    <w:rPr>
      <w:rFonts w:ascii="Tahoma" w:hAnsi="Tahoma" w:eastAsia="宋体"/>
      <w:b/>
      <w:bCs/>
      <w:spacing w:val="10"/>
      <w:sz w:val="24"/>
      <w:lang w:val="en-US" w:eastAsia="zh-CN" w:bidi="ar-SA"/>
    </w:rPr>
  </w:style>
  <w:style w:type="character" w:styleId="49">
    <w:name w:val="page number"/>
    <w:basedOn w:val="47"/>
    <w:qFormat/>
    <w:uiPriority w:val="0"/>
  </w:style>
  <w:style w:type="character" w:styleId="50">
    <w:name w:val="FollowedHyperlink"/>
    <w:basedOn w:val="47"/>
    <w:qFormat/>
    <w:uiPriority w:val="0"/>
    <w:rPr>
      <w:color w:val="800080"/>
      <w:u w:val="single"/>
    </w:rPr>
  </w:style>
  <w:style w:type="character" w:styleId="51">
    <w:name w:val="Emphasis"/>
    <w:basedOn w:val="47"/>
    <w:qFormat/>
    <w:uiPriority w:val="0"/>
  </w:style>
  <w:style w:type="character" w:styleId="52">
    <w:name w:val="HTML Definition"/>
    <w:basedOn w:val="47"/>
    <w:qFormat/>
    <w:uiPriority w:val="0"/>
  </w:style>
  <w:style w:type="character" w:styleId="53">
    <w:name w:val="HTML Acronym"/>
    <w:basedOn w:val="47"/>
    <w:qFormat/>
    <w:uiPriority w:val="0"/>
  </w:style>
  <w:style w:type="character" w:styleId="54">
    <w:name w:val="HTML Variable"/>
    <w:basedOn w:val="47"/>
    <w:qFormat/>
    <w:uiPriority w:val="0"/>
  </w:style>
  <w:style w:type="character" w:styleId="55">
    <w:name w:val="Hyperlink"/>
    <w:basedOn w:val="47"/>
    <w:qFormat/>
    <w:uiPriority w:val="99"/>
    <w:rPr>
      <w:color w:val="0000FF"/>
      <w:u w:val="single"/>
    </w:rPr>
  </w:style>
  <w:style w:type="character" w:styleId="56">
    <w:name w:val="HTML Code"/>
    <w:basedOn w:val="47"/>
    <w:qFormat/>
    <w:uiPriority w:val="0"/>
    <w:rPr>
      <w:rFonts w:ascii="Courier New" w:hAnsi="Courier New"/>
      <w:sz w:val="20"/>
    </w:rPr>
  </w:style>
  <w:style w:type="character" w:styleId="57">
    <w:name w:val="annotation reference"/>
    <w:basedOn w:val="47"/>
    <w:semiHidden/>
    <w:qFormat/>
    <w:uiPriority w:val="0"/>
    <w:rPr>
      <w:sz w:val="21"/>
      <w:szCs w:val="21"/>
    </w:rPr>
  </w:style>
  <w:style w:type="character" w:styleId="58">
    <w:name w:val="HTML Cite"/>
    <w:basedOn w:val="47"/>
    <w:qFormat/>
    <w:uiPriority w:val="0"/>
  </w:style>
  <w:style w:type="character" w:customStyle="1" w:styleId="59">
    <w:name w:val="标题 2 Char"/>
    <w:basedOn w:val="47"/>
    <w:qFormat/>
    <w:uiPriority w:val="0"/>
    <w:rPr>
      <w:rFonts w:ascii="Arial" w:hAnsi="Arial" w:eastAsia="黑体"/>
      <w:b/>
      <w:bCs/>
      <w:kern w:val="2"/>
      <w:sz w:val="32"/>
      <w:szCs w:val="32"/>
      <w:lang w:val="en-US" w:eastAsia="zh-CN" w:bidi="ar-SA"/>
    </w:rPr>
  </w:style>
  <w:style w:type="character" w:customStyle="1" w:styleId="60">
    <w:name w:val="font1"/>
    <w:basedOn w:val="47"/>
    <w:qFormat/>
    <w:uiPriority w:val="0"/>
    <w:rPr>
      <w:sz w:val="18"/>
      <w:szCs w:val="18"/>
      <w:u w:val="none"/>
    </w:rPr>
  </w:style>
  <w:style w:type="character" w:customStyle="1" w:styleId="61">
    <w:name w:val="nine-11"/>
    <w:basedOn w:val="47"/>
    <w:qFormat/>
    <w:uiPriority w:val="0"/>
    <w:rPr>
      <w:rFonts w:hint="default"/>
      <w:sz w:val="18"/>
      <w:szCs w:val="18"/>
    </w:rPr>
  </w:style>
  <w:style w:type="character" w:customStyle="1" w:styleId="62">
    <w:name w:val="mark8"/>
    <w:basedOn w:val="47"/>
    <w:qFormat/>
    <w:uiPriority w:val="0"/>
    <w:rPr>
      <w:b/>
      <w:bCs/>
      <w:sz w:val="21"/>
      <w:szCs w:val="21"/>
    </w:rPr>
  </w:style>
  <w:style w:type="character" w:customStyle="1" w:styleId="63">
    <w:name w:val="列出段落 Char"/>
    <w:link w:val="64"/>
    <w:qFormat/>
    <w:uiPriority w:val="0"/>
    <w:rPr>
      <w:rFonts w:ascii="Calibri" w:hAnsi="Calibri"/>
      <w:kern w:val="2"/>
      <w:sz w:val="21"/>
      <w:szCs w:val="22"/>
    </w:rPr>
  </w:style>
  <w:style w:type="paragraph" w:styleId="64">
    <w:name w:val="List Paragraph"/>
    <w:basedOn w:val="1"/>
    <w:link w:val="63"/>
    <w:qFormat/>
    <w:uiPriority w:val="0"/>
    <w:pPr>
      <w:ind w:firstLine="420" w:firstLineChars="200"/>
    </w:pPr>
    <w:rPr>
      <w:rFonts w:ascii="Calibri" w:hAnsi="Calibri"/>
      <w:szCs w:val="22"/>
    </w:rPr>
  </w:style>
  <w:style w:type="character" w:customStyle="1" w:styleId="65">
    <w:name w:val="正文文本缩进 Char"/>
    <w:basedOn w:val="47"/>
    <w:link w:val="21"/>
    <w:qFormat/>
    <w:uiPriority w:val="0"/>
    <w:rPr>
      <w:rFonts w:ascii="仿宋_GB2312" w:eastAsia="仿宋_GB2312"/>
      <w:kern w:val="2"/>
      <w:sz w:val="32"/>
    </w:rPr>
  </w:style>
  <w:style w:type="character" w:customStyle="1" w:styleId="66">
    <w:name w:val="xl25 Char"/>
    <w:basedOn w:val="47"/>
    <w:link w:val="67"/>
    <w:qFormat/>
    <w:uiPriority w:val="0"/>
    <w:rPr>
      <w:rFonts w:ascii="宋体" w:hAnsi="宋体" w:eastAsia="宋体"/>
      <w:sz w:val="21"/>
      <w:szCs w:val="21"/>
      <w:lang w:val="en-US" w:eastAsia="zh-CN" w:bidi="ar-SA"/>
    </w:rPr>
  </w:style>
  <w:style w:type="paragraph" w:customStyle="1" w:styleId="67">
    <w:name w:val="xl25"/>
    <w:basedOn w:val="1"/>
    <w:link w:val="66"/>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68">
    <w:name w:val="页脚 Char"/>
    <w:basedOn w:val="47"/>
    <w:link w:val="30"/>
    <w:qFormat/>
    <w:uiPriority w:val="99"/>
    <w:rPr>
      <w:rFonts w:eastAsia="宋体"/>
      <w:kern w:val="2"/>
      <w:sz w:val="18"/>
      <w:szCs w:val="18"/>
      <w:lang w:val="en-US" w:eastAsia="zh-CN" w:bidi="ar-SA"/>
    </w:rPr>
  </w:style>
  <w:style w:type="character" w:customStyle="1" w:styleId="69">
    <w:name w:val="纯文本 Char"/>
    <w:basedOn w:val="47"/>
    <w:link w:val="24"/>
    <w:qFormat/>
    <w:uiPriority w:val="0"/>
    <w:rPr>
      <w:rFonts w:ascii="宋体" w:hAnsi="Courier New" w:eastAsia="宋体" w:cs="Courier New"/>
      <w:kern w:val="2"/>
      <w:sz w:val="21"/>
      <w:szCs w:val="21"/>
      <w:lang w:val="en-US" w:eastAsia="zh-CN" w:bidi="ar-SA"/>
    </w:rPr>
  </w:style>
  <w:style w:type="character" w:customStyle="1" w:styleId="70">
    <w:name w:val="题注 Char"/>
    <w:link w:val="15"/>
    <w:qFormat/>
    <w:uiPriority w:val="0"/>
    <w:rPr>
      <w:rFonts w:ascii="Arial" w:hAnsi="Arial" w:eastAsia="黑体" w:cs="Arial"/>
      <w:kern w:val="2"/>
    </w:rPr>
  </w:style>
  <w:style w:type="character" w:customStyle="1" w:styleId="71">
    <w:name w:val="mark"/>
    <w:basedOn w:val="47"/>
    <w:qFormat/>
    <w:uiPriority w:val="0"/>
  </w:style>
  <w:style w:type="character" w:customStyle="1" w:styleId="72">
    <w:name w:val="标题 3 Char"/>
    <w:basedOn w:val="47"/>
    <w:link w:val="6"/>
    <w:qFormat/>
    <w:uiPriority w:val="0"/>
    <w:rPr>
      <w:rFonts w:eastAsia="宋体"/>
      <w:b/>
      <w:bCs/>
      <w:kern w:val="2"/>
      <w:sz w:val="32"/>
      <w:szCs w:val="32"/>
      <w:lang w:val="en-US" w:eastAsia="zh-CN" w:bidi="ar-SA"/>
    </w:rPr>
  </w:style>
  <w:style w:type="character" w:customStyle="1" w:styleId="73">
    <w:name w:val="正文 A Char Char"/>
    <w:link w:val="74"/>
    <w:qFormat/>
    <w:uiPriority w:val="0"/>
    <w:rPr>
      <w:rFonts w:ascii="仿宋_GB2312" w:hAnsi="Heiti SC Light" w:eastAsia="仿宋_GB2312"/>
      <w:kern w:val="2"/>
      <w:sz w:val="24"/>
      <w:lang w:val="en-US" w:eastAsia="zh-CN" w:bidi="ar-SA"/>
    </w:rPr>
  </w:style>
  <w:style w:type="paragraph" w:customStyle="1" w:styleId="74">
    <w:name w:val="正文 A"/>
    <w:link w:val="73"/>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75">
    <w:name w:val="Char Char3"/>
    <w:basedOn w:val="47"/>
    <w:qFormat/>
    <w:uiPriority w:val="0"/>
    <w:rPr>
      <w:rFonts w:eastAsia="宋体"/>
      <w:kern w:val="2"/>
      <w:sz w:val="18"/>
      <w:lang w:val="en-US" w:eastAsia="zh-CN" w:bidi="ar-SA"/>
    </w:rPr>
  </w:style>
  <w:style w:type="character" w:customStyle="1" w:styleId="76">
    <w:name w:val="正文缩进 Char2"/>
    <w:basedOn w:val="47"/>
    <w:link w:val="77"/>
    <w:qFormat/>
    <w:uiPriority w:val="0"/>
    <w:rPr>
      <w:rFonts w:eastAsia="宋体"/>
      <w:szCs w:val="24"/>
      <w:lang w:bidi="ar-SA"/>
    </w:rPr>
  </w:style>
  <w:style w:type="paragraph" w:customStyle="1" w:styleId="77">
    <w:name w:val="正文缩进1"/>
    <w:basedOn w:val="1"/>
    <w:link w:val="76"/>
    <w:qFormat/>
    <w:uiPriority w:val="0"/>
    <w:pPr>
      <w:ind w:firstLine="420" w:firstLineChars="200"/>
    </w:pPr>
    <w:rPr>
      <w:kern w:val="0"/>
      <w:sz w:val="20"/>
    </w:rPr>
  </w:style>
  <w:style w:type="character" w:customStyle="1" w:styleId="78">
    <w:name w:val="Char Char8"/>
    <w:basedOn w:val="47"/>
    <w:qFormat/>
    <w:uiPriority w:val="0"/>
    <w:rPr>
      <w:rFonts w:ascii="宋体" w:hAnsi="Courier New" w:eastAsia="宋体"/>
      <w:kern w:val="2"/>
      <w:sz w:val="21"/>
      <w:lang w:val="en-US" w:eastAsia="zh-CN" w:bidi="ar-SA"/>
    </w:rPr>
  </w:style>
  <w:style w:type="character" w:customStyle="1" w:styleId="79">
    <w:name w:val="Char Char10"/>
    <w:basedOn w:val="47"/>
    <w:qFormat/>
    <w:uiPriority w:val="0"/>
    <w:rPr>
      <w:rFonts w:eastAsia="宋体"/>
      <w:kern w:val="2"/>
      <w:sz w:val="18"/>
      <w:szCs w:val="18"/>
      <w:lang w:val="en-US" w:eastAsia="zh-CN" w:bidi="ar-SA"/>
    </w:rPr>
  </w:style>
  <w:style w:type="character" w:customStyle="1" w:styleId="80">
    <w:name w:val="正文缩进 Char"/>
    <w:basedOn w:val="47"/>
    <w:link w:val="10"/>
    <w:qFormat/>
    <w:uiPriority w:val="0"/>
    <w:rPr>
      <w:rFonts w:eastAsia="宋体"/>
      <w:kern w:val="2"/>
      <w:sz w:val="21"/>
      <w:lang w:val="en-US" w:eastAsia="zh-CN" w:bidi="ar-SA"/>
    </w:rPr>
  </w:style>
  <w:style w:type="character" w:customStyle="1" w:styleId="81">
    <w:name w:val="页眉 Char"/>
    <w:basedOn w:val="47"/>
    <w:link w:val="31"/>
    <w:qFormat/>
    <w:uiPriority w:val="99"/>
    <w:rPr>
      <w:strike/>
      <w:kern w:val="2"/>
      <w:sz w:val="18"/>
      <w:szCs w:val="18"/>
    </w:rPr>
  </w:style>
  <w:style w:type="character" w:customStyle="1" w:styleId="82">
    <w:name w:val="批注文字 Char"/>
    <w:basedOn w:val="47"/>
    <w:link w:val="18"/>
    <w:semiHidden/>
    <w:qFormat/>
    <w:uiPriority w:val="0"/>
    <w:rPr>
      <w:kern w:val="2"/>
      <w:sz w:val="21"/>
      <w:szCs w:val="24"/>
    </w:rPr>
  </w:style>
  <w:style w:type="paragraph" w:customStyle="1" w:styleId="83">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84">
    <w:name w:val="Char Char3 Char Char"/>
    <w:basedOn w:val="1"/>
    <w:qFormat/>
    <w:uiPriority w:val="0"/>
    <w:pPr>
      <w:spacing w:line="360" w:lineRule="auto"/>
      <w:ind w:firstLine="200" w:firstLineChars="200"/>
    </w:pPr>
    <w:rPr>
      <w:rFonts w:ascii="宋体" w:hAnsi="宋体" w:cs="宋体"/>
      <w:sz w:val="24"/>
    </w:rPr>
  </w:style>
  <w:style w:type="paragraph" w:customStyle="1" w:styleId="85">
    <w:name w:val="办公自动化专用标题"/>
    <w:basedOn w:val="41"/>
    <w:qFormat/>
    <w:uiPriority w:val="0"/>
    <w:pPr>
      <w:spacing w:line="560" w:lineRule="atLeast"/>
    </w:pPr>
    <w:rPr>
      <w:rFonts w:ascii="宋体" w:cs="Times New Roman"/>
      <w:bCs w:val="0"/>
      <w:sz w:val="44"/>
      <w:szCs w:val="20"/>
    </w:rPr>
  </w:style>
  <w:style w:type="paragraph" w:customStyle="1" w:styleId="86">
    <w:name w:val="列出段落1"/>
    <w:basedOn w:val="1"/>
    <w:qFormat/>
    <w:uiPriority w:val="0"/>
    <w:pPr>
      <w:ind w:firstLine="420" w:firstLineChars="200"/>
    </w:pPr>
    <w:rPr>
      <w:rFonts w:ascii="Calibri" w:hAnsi="Calibri"/>
      <w:szCs w:val="22"/>
    </w:rPr>
  </w:style>
  <w:style w:type="paragraph" w:customStyle="1" w:styleId="87">
    <w:name w:val="Char Char Char Char Char Char Char Char Char"/>
    <w:basedOn w:val="1"/>
    <w:qFormat/>
    <w:uiPriority w:val="0"/>
    <w:rPr>
      <w:sz w:val="28"/>
    </w:rPr>
  </w:style>
  <w:style w:type="paragraph" w:customStyle="1" w:styleId="88">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89">
    <w:name w:val="Char Char Char Char Char Char Char"/>
    <w:basedOn w:val="1"/>
    <w:qFormat/>
    <w:uiPriority w:val="0"/>
    <w:pPr>
      <w:tabs>
        <w:tab w:val="left" w:pos="425"/>
      </w:tabs>
      <w:ind w:left="425" w:hanging="425"/>
    </w:pPr>
    <w:rPr>
      <w:rFonts w:eastAsia="仿宋_GB2312"/>
      <w:kern w:val="24"/>
      <w:sz w:val="24"/>
    </w:rPr>
  </w:style>
  <w:style w:type="paragraph" w:customStyle="1" w:styleId="90">
    <w:name w:val="p0"/>
    <w:basedOn w:val="1"/>
    <w:qFormat/>
    <w:uiPriority w:val="0"/>
    <w:pPr>
      <w:widowControl/>
    </w:pPr>
    <w:rPr>
      <w:kern w:val="0"/>
      <w:szCs w:val="21"/>
    </w:rPr>
  </w:style>
  <w:style w:type="paragraph" w:customStyle="1" w:styleId="91">
    <w:name w:val="font11"/>
    <w:basedOn w:val="1"/>
    <w:qFormat/>
    <w:uiPriority w:val="0"/>
    <w:pPr>
      <w:widowControl/>
      <w:spacing w:before="100" w:beforeAutospacing="1" w:after="100" w:afterAutospacing="1"/>
      <w:jc w:val="left"/>
    </w:pPr>
    <w:rPr>
      <w:rFonts w:eastAsia="Arial Unicode MS"/>
      <w:color w:val="000000"/>
      <w:kern w:val="0"/>
      <w:szCs w:val="21"/>
    </w:rPr>
  </w:style>
  <w:style w:type="paragraph" w:customStyle="1" w:styleId="92">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93">
    <w:name w:val="Char3"/>
    <w:basedOn w:val="1"/>
    <w:qFormat/>
    <w:uiPriority w:val="0"/>
  </w:style>
  <w:style w:type="paragraph" w:customStyle="1" w:styleId="9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95">
    <w:name w:val="正文段落"/>
    <w:basedOn w:val="1"/>
    <w:qFormat/>
    <w:uiPriority w:val="0"/>
    <w:pPr>
      <w:widowControl/>
      <w:spacing w:after="40" w:line="360" w:lineRule="auto"/>
      <w:ind w:firstLine="200" w:firstLineChars="200"/>
    </w:pPr>
    <w:rPr>
      <w:kern w:val="0"/>
      <w:sz w:val="24"/>
    </w:rPr>
  </w:style>
  <w:style w:type="paragraph" w:customStyle="1" w:styleId="96">
    <w:name w:val="默认段落字体 Para Char"/>
    <w:basedOn w:val="1"/>
    <w:qFormat/>
    <w:uiPriority w:val="0"/>
    <w:rPr>
      <w:rFonts w:ascii="宋体" w:hAnsi="宋体"/>
      <w:b/>
      <w:sz w:val="28"/>
      <w:szCs w:val="28"/>
    </w:rPr>
  </w:style>
  <w:style w:type="paragraph" w:customStyle="1" w:styleId="97">
    <w:name w:val="题注5"/>
    <w:basedOn w:val="1"/>
    <w:next w:val="15"/>
    <w:qFormat/>
    <w:uiPriority w:val="0"/>
    <w:pPr>
      <w:jc w:val="center"/>
    </w:pPr>
    <w:rPr>
      <w:b/>
      <w:color w:val="000000"/>
      <w:sz w:val="24"/>
      <w:szCs w:val="21"/>
    </w:rPr>
  </w:style>
  <w:style w:type="paragraph" w:customStyle="1" w:styleId="98">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99">
    <w:name w:val="Char Char"/>
    <w:basedOn w:val="1"/>
    <w:qFormat/>
    <w:uiPriority w:val="0"/>
    <w:rPr>
      <w:rFonts w:ascii="宋体" w:hAnsi="宋体"/>
      <w:b/>
      <w:sz w:val="28"/>
      <w:szCs w:val="28"/>
    </w:rPr>
  </w:style>
  <w:style w:type="paragraph" w:customStyle="1" w:styleId="100">
    <w:name w:val="题注4"/>
    <w:basedOn w:val="1"/>
    <w:next w:val="15"/>
    <w:qFormat/>
    <w:uiPriority w:val="0"/>
    <w:pPr>
      <w:ind w:left="-132" w:leftChars="-64" w:right="-105" w:rightChars="-50" w:hanging="2"/>
      <w:jc w:val="center"/>
    </w:pPr>
    <w:rPr>
      <w:b/>
      <w:color w:val="FF0000"/>
      <w:szCs w:val="21"/>
      <w:lang w:val="en-GB"/>
    </w:rPr>
  </w:style>
  <w:style w:type="paragraph" w:customStyle="1" w:styleId="101">
    <w:name w:val="字元 字元"/>
    <w:basedOn w:val="1"/>
    <w:qFormat/>
    <w:uiPriority w:val="0"/>
    <w:pPr>
      <w:spacing w:line="360" w:lineRule="auto"/>
      <w:ind w:firstLine="200" w:firstLineChars="200"/>
    </w:pPr>
    <w:rPr>
      <w:rFonts w:ascii="宋体" w:hAnsi="宋体" w:cs="宋体"/>
      <w:sz w:val="24"/>
    </w:rPr>
  </w:style>
  <w:style w:type="paragraph" w:customStyle="1" w:styleId="10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0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04">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05">
    <w:name w:val="正文1"/>
    <w:qFormat/>
    <w:uiPriority w:val="0"/>
    <w:pPr>
      <w:widowControl w:val="0"/>
      <w:jc w:val="both"/>
    </w:pPr>
    <w:rPr>
      <w:rFonts w:ascii="Times New Roman" w:hAnsi="Times New Roman" w:eastAsia="宋体" w:cs="Times New Roman"/>
      <w:lang w:val="en-US" w:eastAsia="zh-CN" w:bidi="ar-SA"/>
    </w:rPr>
  </w:style>
  <w:style w:type="paragraph" w:customStyle="1" w:styleId="106">
    <w:name w:val="表格"/>
    <w:basedOn w:val="1"/>
    <w:qFormat/>
    <w:uiPriority w:val="0"/>
    <w:pPr>
      <w:jc w:val="center"/>
    </w:pPr>
    <w:rPr>
      <w:rFonts w:ascii="宋体"/>
      <w:b/>
      <w:szCs w:val="20"/>
    </w:rPr>
  </w:style>
  <w:style w:type="paragraph" w:customStyle="1" w:styleId="107">
    <w:name w:val="表格文字"/>
    <w:basedOn w:val="1"/>
    <w:qFormat/>
    <w:uiPriority w:val="0"/>
    <w:pPr>
      <w:spacing w:before="25" w:after="25"/>
      <w:jc w:val="left"/>
    </w:pPr>
    <w:rPr>
      <w:bCs/>
      <w:spacing w:val="10"/>
      <w:kern w:val="0"/>
      <w:sz w:val="24"/>
      <w:szCs w:val="20"/>
    </w:rPr>
  </w:style>
  <w:style w:type="paragraph" w:customStyle="1" w:styleId="108">
    <w:name w:val="font7"/>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09">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11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112">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13">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11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15">
    <w:name w:val="Char Char2 Char"/>
    <w:basedOn w:val="1"/>
    <w:qFormat/>
    <w:uiPriority w:val="0"/>
    <w:rPr>
      <w:rFonts w:ascii="宋体" w:hAnsi="宋体"/>
      <w:b/>
      <w:sz w:val="28"/>
      <w:szCs w:val="28"/>
    </w:rPr>
  </w:style>
  <w:style w:type="paragraph" w:customStyle="1" w:styleId="116">
    <w:name w:val="List Paragraph1"/>
    <w:basedOn w:val="1"/>
    <w:qFormat/>
    <w:uiPriority w:val="0"/>
    <w:pPr>
      <w:ind w:firstLine="420" w:firstLineChars="200"/>
    </w:pPr>
    <w:rPr>
      <w:rFonts w:ascii="Calibri" w:hAnsi="Calibri" w:cs="黑体"/>
      <w:szCs w:val="22"/>
    </w:rPr>
  </w:style>
  <w:style w:type="paragraph" w:customStyle="1" w:styleId="11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118">
    <w:name w:val="Char1 Char Char Char"/>
    <w:basedOn w:val="1"/>
    <w:qFormat/>
    <w:uiPriority w:val="0"/>
    <w:pPr>
      <w:numPr>
        <w:ilvl w:val="0"/>
        <w:numId w:val="2"/>
      </w:numPr>
    </w:pPr>
    <w:rPr>
      <w:sz w:val="24"/>
    </w:rPr>
  </w:style>
  <w:style w:type="paragraph" w:customStyle="1" w:styleId="11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20">
    <w:name w:val="font12"/>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121">
    <w:name w:val="图框内的文字"/>
    <w:basedOn w:val="1"/>
    <w:qFormat/>
    <w:uiPriority w:val="0"/>
    <w:pPr>
      <w:jc w:val="center"/>
    </w:pPr>
    <w:rPr>
      <w:position w:val="6"/>
      <w:szCs w:val="20"/>
    </w:rPr>
  </w:style>
  <w:style w:type="paragraph" w:customStyle="1" w:styleId="12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24"/>
    </w:rPr>
  </w:style>
  <w:style w:type="paragraph" w:customStyle="1" w:styleId="123">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124">
    <w:name w:val="_Style 4"/>
    <w:basedOn w:val="1"/>
    <w:qFormat/>
    <w:uiPriority w:val="0"/>
    <w:pPr>
      <w:spacing w:beforeLines="50" w:afterLines="50"/>
    </w:pPr>
  </w:style>
  <w:style w:type="paragraph" w:customStyle="1" w:styleId="12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126">
    <w:name w:val="font8"/>
    <w:basedOn w:val="1"/>
    <w:qFormat/>
    <w:uiPriority w:val="0"/>
    <w:pPr>
      <w:widowControl/>
      <w:spacing w:before="100" w:beforeAutospacing="1" w:after="100" w:afterAutospacing="1"/>
      <w:jc w:val="left"/>
    </w:pPr>
    <w:rPr>
      <w:rFonts w:hint="eastAsia" w:ascii="宋体" w:hAnsi="宋体" w:cs="Arial Unicode MS"/>
      <w:kern w:val="0"/>
      <w:sz w:val="28"/>
      <w:szCs w:val="28"/>
    </w:rPr>
  </w:style>
  <w:style w:type="paragraph" w:customStyle="1" w:styleId="12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28">
    <w:name w:val="列出段落11"/>
    <w:basedOn w:val="1"/>
    <w:qFormat/>
    <w:uiPriority w:val="0"/>
    <w:pPr>
      <w:widowControl/>
      <w:spacing w:after="200" w:line="276" w:lineRule="auto"/>
      <w:ind w:left="720"/>
      <w:contextualSpacing/>
      <w:jc w:val="left"/>
    </w:pPr>
    <w:rPr>
      <w:rFonts w:ascii="Calibri" w:hAnsi="Calibri"/>
      <w:kern w:val="0"/>
      <w:sz w:val="22"/>
      <w:szCs w:val="22"/>
    </w:rPr>
  </w:style>
  <w:style w:type="paragraph" w:customStyle="1" w:styleId="129">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130">
    <w:name w:val="样式1"/>
    <w:basedOn w:val="7"/>
    <w:qFormat/>
    <w:uiPriority w:val="0"/>
    <w:pPr>
      <w:spacing w:line="416" w:lineRule="auto"/>
      <w:ind w:left="560" w:leftChars="200"/>
    </w:pPr>
    <w:rPr>
      <w:rFonts w:ascii="宋体"/>
      <w:bCs w:val="0"/>
      <w:color w:val="FF0000"/>
    </w:rPr>
  </w:style>
  <w:style w:type="paragraph" w:customStyle="1" w:styleId="131">
    <w:name w:val="font10"/>
    <w:basedOn w:val="1"/>
    <w:qFormat/>
    <w:uiPriority w:val="0"/>
    <w:pPr>
      <w:widowControl/>
      <w:spacing w:before="100" w:beforeAutospacing="1" w:after="100" w:afterAutospacing="1"/>
      <w:jc w:val="left"/>
    </w:pPr>
    <w:rPr>
      <w:rFonts w:eastAsia="Arial Unicode MS"/>
      <w:color w:val="000000"/>
      <w:kern w:val="0"/>
      <w:sz w:val="24"/>
    </w:rPr>
  </w:style>
  <w:style w:type="paragraph" w:customStyle="1" w:styleId="132">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Arial Unicode MS" w:hAnsi="Arial Unicode MS" w:eastAsia="Arial Unicode MS" w:cs="Arial Unicode MS"/>
      <w:kern w:val="0"/>
      <w:sz w:val="24"/>
    </w:rPr>
  </w:style>
  <w:style w:type="table" w:customStyle="1" w:styleId="133">
    <w:name w:val="网格型1"/>
    <w:basedOn w:val="4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34">
    <w:name w:val="标题 2 Char1"/>
    <w:link w:val="5"/>
    <w:qFormat/>
    <w:locked/>
    <w:uiPriority w:val="0"/>
    <w:rPr>
      <w:rFonts w:ascii="Arial" w:hAnsi="Arial" w:eastAsia="黑体"/>
      <w:b/>
      <w:bCs/>
      <w:kern w:val="2"/>
      <w:sz w:val="32"/>
      <w:szCs w:val="32"/>
    </w:rPr>
  </w:style>
  <w:style w:type="character" w:customStyle="1" w:styleId="135">
    <w:name w:val="Font Style17"/>
    <w:qFormat/>
    <w:uiPriority w:val="0"/>
    <w:rPr>
      <w:rFonts w:ascii="黑体" w:eastAsia="黑体" w:cs="黑体"/>
      <w:sz w:val="28"/>
      <w:szCs w:val="28"/>
    </w:rPr>
  </w:style>
  <w:style w:type="character" w:customStyle="1" w:styleId="136">
    <w:name w:val="纯文本 Char1"/>
    <w:qFormat/>
    <w:uiPriority w:val="0"/>
    <w:rPr>
      <w:rFonts w:ascii="宋体" w:hAnsi="Courier New" w:eastAsia="宋体" w:cs="Courier New"/>
      <w:kern w:val="2"/>
      <w:sz w:val="21"/>
      <w:szCs w:val="21"/>
      <w:lang w:val="en-US" w:eastAsia="zh-CN" w:bidi="ar-SA"/>
    </w:rPr>
  </w:style>
  <w:style w:type="character" w:customStyle="1" w:styleId="137">
    <w:name w:val="方案正文 Char"/>
    <w:link w:val="138"/>
    <w:qFormat/>
    <w:uiPriority w:val="0"/>
    <w:rPr>
      <w:rFonts w:ascii="宋体" w:hAnsi="宋体"/>
      <w:b/>
      <w:kern w:val="2"/>
      <w:sz w:val="28"/>
      <w:szCs w:val="24"/>
    </w:rPr>
  </w:style>
  <w:style w:type="paragraph" w:customStyle="1" w:styleId="138">
    <w:name w:val="方案正文"/>
    <w:link w:val="137"/>
    <w:qFormat/>
    <w:uiPriority w:val="0"/>
    <w:pPr>
      <w:spacing w:beforeLines="50" w:line="560" w:lineRule="exact"/>
      <w:ind w:firstLine="200" w:firstLineChars="200"/>
      <w:jc w:val="both"/>
    </w:pPr>
    <w:rPr>
      <w:rFonts w:ascii="宋体" w:hAnsi="宋体" w:eastAsia="宋体" w:cs="Times New Roman"/>
      <w:b/>
      <w:kern w:val="2"/>
      <w:sz w:val="28"/>
      <w:szCs w:val="24"/>
      <w:lang w:val="en-US" w:eastAsia="zh-CN" w:bidi="ar-SA"/>
    </w:rPr>
  </w:style>
  <w:style w:type="character" w:customStyle="1" w:styleId="139">
    <w:name w:val="标题 1 Char"/>
    <w:link w:val="4"/>
    <w:qFormat/>
    <w:locked/>
    <w:uiPriority w:val="0"/>
    <w:rPr>
      <w:b/>
      <w:bCs/>
      <w:kern w:val="44"/>
      <w:sz w:val="44"/>
      <w:szCs w:val="44"/>
    </w:rPr>
  </w:style>
  <w:style w:type="paragraph" w:customStyle="1" w:styleId="140">
    <w:name w:val="样式 样式 标题 4Alt+41.1.1.1 Heading 4bulletblbbH44h4H41h41H42... + 自动..."/>
    <w:basedOn w:val="1"/>
    <w:qFormat/>
    <w:uiPriority w:val="0"/>
    <w:pPr>
      <w:keepNext/>
      <w:keepLines/>
      <w:numPr>
        <w:ilvl w:val="3"/>
        <w:numId w:val="3"/>
      </w:numPr>
      <w:spacing w:before="120" w:after="120" w:line="376" w:lineRule="auto"/>
      <w:outlineLvl w:val="3"/>
    </w:pPr>
    <w:rPr>
      <w:rFonts w:ascii="宋体" w:hAnsi="宋体" w:eastAsia="黑体"/>
      <w:b/>
      <w:bCs/>
      <w:sz w:val="28"/>
      <w:szCs w:val="28"/>
    </w:rPr>
  </w:style>
  <w:style w:type="paragraph" w:styleId="141">
    <w:name w:val="No Spacing"/>
    <w:link w:val="142"/>
    <w:qFormat/>
    <w:uiPriority w:val="1"/>
    <w:rPr>
      <w:rFonts w:asciiTheme="minorHAnsi" w:hAnsiTheme="minorHAnsi" w:eastAsiaTheme="minorEastAsia" w:cstheme="minorBidi"/>
      <w:sz w:val="22"/>
      <w:szCs w:val="22"/>
      <w:lang w:val="en-US" w:eastAsia="zh-CN" w:bidi="ar-SA"/>
    </w:rPr>
  </w:style>
  <w:style w:type="character" w:customStyle="1" w:styleId="142">
    <w:name w:val="无间隔 Char"/>
    <w:basedOn w:val="47"/>
    <w:link w:val="141"/>
    <w:qFormat/>
    <w:uiPriority w:val="1"/>
    <w:rPr>
      <w:rFonts w:asciiTheme="minorHAnsi" w:hAnsiTheme="minorHAnsi" w:eastAsiaTheme="minorEastAsia" w:cstheme="minorBidi"/>
      <w:sz w:val="22"/>
      <w:szCs w:val="22"/>
    </w:rPr>
  </w:style>
  <w:style w:type="paragraph" w:customStyle="1" w:styleId="143">
    <w:name w:val="正文格式"/>
    <w:basedOn w:val="1"/>
    <w:qFormat/>
    <w:uiPriority w:val="0"/>
    <w:pPr>
      <w:spacing w:beforeLines="50" w:afterLines="50" w:line="360" w:lineRule="auto"/>
      <w:ind w:firstLine="480" w:firstLineChars="200"/>
    </w:pPr>
    <w:rPr>
      <w:rFonts w:ascii="宋体" w:hAnsi="宋体"/>
      <w:lang w:val="en-GB"/>
    </w:rPr>
  </w:style>
  <w:style w:type="character" w:customStyle="1" w:styleId="144">
    <w:name w:val="nth-child(1)"/>
    <w:basedOn w:val="47"/>
    <w:qFormat/>
    <w:uiPriority w:val="0"/>
  </w:style>
  <w:style w:type="character" w:customStyle="1" w:styleId="145">
    <w:name w:val="hover24"/>
    <w:basedOn w:val="47"/>
    <w:qFormat/>
    <w:uiPriority w:val="0"/>
  </w:style>
  <w:style w:type="character" w:customStyle="1" w:styleId="146">
    <w:name w:val="hover25"/>
    <w:basedOn w:val="47"/>
    <w:qFormat/>
    <w:uiPriority w:val="0"/>
    <w:rPr>
      <w:shd w:val="clear" w:color="auto" w:fill="F6F6F6"/>
    </w:rPr>
  </w:style>
  <w:style w:type="character" w:customStyle="1" w:styleId="147">
    <w:name w:val="hover26"/>
    <w:basedOn w:val="47"/>
    <w:qFormat/>
    <w:uiPriority w:val="0"/>
    <w:rPr>
      <w:color w:val="3C88FF"/>
    </w:rPr>
  </w:style>
  <w:style w:type="character" w:customStyle="1" w:styleId="148">
    <w:name w:val="first-child"/>
    <w:basedOn w:val="47"/>
    <w:qFormat/>
    <w:uiPriority w:val="0"/>
    <w:rPr>
      <w:color w:val="FFA800"/>
    </w:rPr>
  </w:style>
  <w:style w:type="character" w:customStyle="1" w:styleId="149">
    <w:name w:val="index-name-935ff1"/>
    <w:basedOn w:val="47"/>
    <w:qFormat/>
    <w:uiPriority w:val="0"/>
    <w:rPr>
      <w:sz w:val="24"/>
      <w:szCs w:val="24"/>
    </w:rPr>
  </w:style>
  <w:style w:type="character" w:customStyle="1" w:styleId="150">
    <w:name w:val="index-disable-b2173"/>
    <w:basedOn w:val="47"/>
    <w:qFormat/>
    <w:uiPriority w:val="0"/>
  </w:style>
  <w:style w:type="character" w:customStyle="1" w:styleId="151">
    <w:name w:val="nth-child(2)"/>
    <w:basedOn w:val="47"/>
    <w:qFormat/>
    <w:uiPriority w:val="0"/>
  </w:style>
  <w:style w:type="character" w:customStyle="1" w:styleId="152">
    <w:name w:val="text"/>
    <w:basedOn w:val="47"/>
    <w:qFormat/>
    <w:uiPriority w:val="0"/>
    <w:rPr>
      <w:color w:val="666666"/>
    </w:rPr>
  </w:style>
  <w:style w:type="character" w:customStyle="1" w:styleId="153">
    <w:name w:val="text1"/>
    <w:basedOn w:val="47"/>
    <w:qFormat/>
    <w:uiPriority w:val="0"/>
    <w:rPr>
      <w:color w:val="666666"/>
    </w:rPr>
  </w:style>
  <w:style w:type="character" w:customStyle="1" w:styleId="154">
    <w:name w:val="back"/>
    <w:basedOn w:val="47"/>
    <w:qFormat/>
    <w:uiPriority w:val="0"/>
    <w:rPr>
      <w:shd w:val="clear" w:color="auto" w:fill="111111"/>
    </w:rPr>
  </w:style>
  <w:style w:type="character" w:customStyle="1" w:styleId="155">
    <w:name w:val="back1"/>
    <w:basedOn w:val="47"/>
    <w:qFormat/>
    <w:uiPriority w:val="0"/>
    <w:rPr>
      <w:shd w:val="clear" w:color="auto" w:fill="111111"/>
    </w:rPr>
  </w:style>
  <w:style w:type="character" w:customStyle="1" w:styleId="156">
    <w:name w:val="nth-child(1)1"/>
    <w:basedOn w:val="47"/>
    <w:qFormat/>
    <w:uiPriority w:val="0"/>
  </w:style>
  <w:style w:type="character" w:customStyle="1" w:styleId="157">
    <w:name w:val="index-name-935ff"/>
    <w:basedOn w:val="47"/>
    <w:qFormat/>
    <w:uiPriority w:val="0"/>
    <w:rPr>
      <w:sz w:val="24"/>
      <w:szCs w:val="24"/>
    </w:rPr>
  </w:style>
  <w:style w:type="character" w:customStyle="1" w:styleId="158">
    <w:name w:val="rili11"/>
    <w:qFormat/>
    <w:uiPriority w:val="99"/>
    <w:rPr>
      <w:sz w:val="21"/>
    </w:rPr>
  </w:style>
  <w:style w:type="paragraph" w:customStyle="1" w:styleId="159">
    <w:name w:val="Table Paragraph"/>
    <w:basedOn w:val="1"/>
    <w:qFormat/>
    <w:uiPriority w:val="1"/>
  </w:style>
  <w:style w:type="paragraph" w:customStyle="1" w:styleId="160">
    <w:name w:val="Heading 3"/>
    <w:basedOn w:val="1"/>
    <w:qFormat/>
    <w:uiPriority w:val="1"/>
    <w:pPr>
      <w:ind w:left="280"/>
      <w:outlineLvl w:val="3"/>
    </w:pPr>
    <w:rPr>
      <w:b/>
      <w:bCs/>
      <w:sz w:val="21"/>
      <w:szCs w:val="21"/>
    </w:rPr>
  </w:style>
  <w:style w:type="character" w:customStyle="1" w:styleId="161">
    <w:name w:val="NormalCharacter"/>
    <w:qFormat/>
    <w:uiPriority w:val="0"/>
  </w:style>
  <w:style w:type="paragraph" w:customStyle="1" w:styleId="162">
    <w:name w:val="BodyText"/>
    <w:basedOn w:val="1"/>
    <w:qFormat/>
    <w:uiPriority w:val="0"/>
    <w:rPr>
      <w:sz w:val="21"/>
      <w:szCs w:val="21"/>
    </w:rPr>
  </w:style>
  <w:style w:type="paragraph" w:customStyle="1" w:styleId="163">
    <w:name w:val="UserStyle_6"/>
    <w:basedOn w:val="1"/>
    <w:qFormat/>
    <w:uiPriority w:val="0"/>
  </w:style>
  <w:style w:type="paragraph" w:customStyle="1" w:styleId="164">
    <w:name w:val="UserStyle_4"/>
    <w:basedOn w:val="1"/>
    <w:qFormat/>
    <w:uiPriority w:val="0"/>
    <w:pPr>
      <w:ind w:left="280"/>
    </w:pPr>
    <w:rPr>
      <w:rFonts w:cs="宋体"/>
      <w:b/>
      <w:bCs/>
      <w:sz w:val="21"/>
      <w:szCs w:val="21"/>
    </w:rPr>
  </w:style>
  <w:style w:type="paragraph" w:customStyle="1" w:styleId="165">
    <w:name w:val="179"/>
    <w:basedOn w:val="1"/>
    <w:qFormat/>
    <w:uiPriority w:val="0"/>
    <w:pPr>
      <w:ind w:left="846" w:hanging="567"/>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1217"/>
    <customShpInfo spid="_x0000_s121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686E59-AF63-4CCC-9F04-A0091273083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3605</Words>
  <Characters>20550</Characters>
  <Lines>171</Lines>
  <Paragraphs>48</Paragraphs>
  <TotalTime>3</TotalTime>
  <ScaleCrop>false</ScaleCrop>
  <LinksUpToDate>false</LinksUpToDate>
  <CharactersWithSpaces>24107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2016-11-05T10:23:00Z</dcterms:created>
  <dc:creator>ibm</dc:creator>
  <cp:lastModifiedBy>锁锁</cp:lastModifiedBy>
  <cp:lastPrinted>2021-07-02T03:20:00Z</cp:lastPrinted>
  <dcterms:modified xsi:type="dcterms:W3CDTF">2022-03-09T07:59:39Z</dcterms:modified>
  <dc:title>第三部分  政府采购规范文本</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627329B4981F4C0DBFE80258EC864D34</vt:lpwstr>
  </property>
</Properties>
</file>