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YXZB-20211203</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阳江市疾病预防控制中心-新冠防护物资采购项目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阳江市疾病预防控制中心</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w:t>
      </w:r>
      <w:r>
        <w:rPr>
          <w:rFonts w:hint="eastAsia" w:ascii="黑体" w:eastAsia="黑体"/>
          <w:bCs/>
          <w:color w:val="000000" w:themeColor="text1"/>
          <w:sz w:val="24"/>
          <w:szCs w:val="24"/>
          <w:highlight w:val="none"/>
          <w14:textFill>
            <w14:solidFill>
              <w14:schemeClr w14:val="tx1"/>
            </w14:solidFill>
          </w14:textFill>
        </w:rPr>
        <w:t>一年</w:t>
      </w:r>
      <w:r>
        <w:rPr>
          <w:rFonts w:hint="eastAsia" w:ascii="黑体" w:eastAsia="黑体"/>
          <w:bCs/>
          <w:color w:val="000000" w:themeColor="text1"/>
          <w:sz w:val="24"/>
          <w:szCs w:val="24"/>
          <w:highlight w:val="none"/>
          <w:lang w:val="en-US" w:eastAsia="zh-CN"/>
          <w14:textFill>
            <w14:solidFill>
              <w14:schemeClr w14:val="tx1"/>
            </w14:solidFill>
          </w14:textFill>
        </w:rPr>
        <w:t>十二</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_Toc20859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_Toc21721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YXZB-20211203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_Toc31294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阳江市疾病预防控制中心-新冠防护物资采购项目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_Toc17284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_Toc32360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_Toc29001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_Toc14061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_Toc12377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_Toc8345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_Toc29070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_Toc758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_Toc15279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_Toc10036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_Toc10760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_Toc32275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_Toc26576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_Toc32114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_Toc4682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_Toc5048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_Toc19456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_Toc14367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_Toc15319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_Toc28401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_Toc32414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_Toc12185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_Toc11219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_Toc15383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_Toc9506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_Toc12179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_Toc11911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_Toc27531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_Toc19511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_Toc14006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_Toc31696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_Toc13412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_Toc11652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_Toc14144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_Toc24997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_Toc22235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_Toc30841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_Toc13452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_Toc28543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_Toc15185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_Toc17230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_Toc1197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_Toc8572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_Toc8571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_Toc20015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_Toc17991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_Toc5736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_Toc13375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_Toc18873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_Toc12092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_Toc29715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_Toc20445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7958"/>
      <w:bookmarkStart w:id="1" w:name="_Toc351987762"/>
      <w:bookmarkStart w:id="2" w:name="_Toc351990139"/>
      <w:bookmarkStart w:id="3" w:name="_Toc351986012"/>
      <w:bookmarkStart w:id="4" w:name="_Toc357151162"/>
      <w:bookmarkStart w:id="5" w:name="_Toc353522386"/>
      <w:bookmarkStart w:id="6" w:name="_Toc369180016"/>
      <w:bookmarkStart w:id="7" w:name="_Toc351986192"/>
      <w:bookmarkStart w:id="8" w:name="_Toc351988703"/>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0859"/>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阳江市疾病预防控制中心</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阳江市疾病预防控制中心-新冠防护物资采购项目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YXZB-20211203</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阳江市疾病预防控制中心-新冠防护物资采购项目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eastAsia="宋体" w:cs="宋体"/>
          <w:bCs/>
          <w:color w:val="000000" w:themeColor="text1"/>
          <w:szCs w:val="21"/>
          <w:highlight w:val="none"/>
          <w:lang w:val="en-US"/>
          <w14:textFill>
            <w14:solidFill>
              <w14:schemeClr w14:val="tx1"/>
            </w14:solidFill>
          </w14:textFill>
        </w:rPr>
        <w:t>24</w:t>
      </w:r>
      <w:r>
        <w:rPr>
          <w:rFonts w:hint="eastAsia" w:ascii="宋体" w:hAnsi="宋体" w:eastAsia="宋体" w:cs="宋体"/>
          <w:bCs/>
          <w:color w:val="000000" w:themeColor="text1"/>
          <w:szCs w:val="21"/>
          <w:highlight w:val="none"/>
          <w14:textFill>
            <w14:solidFill>
              <w14:schemeClr w14:val="tx1"/>
            </w14:solidFill>
          </w14:textFill>
        </w:rPr>
        <w:t>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阳江市疾病预防控制中心-新冠防护物资采购项目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2787"/>
      <w:bookmarkStart w:id="13" w:name="_Toc437261943"/>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w:t>
      </w:r>
      <w:bookmarkEnd w:id="10"/>
      <w:bookmarkEnd w:id="11"/>
      <w:bookmarkEnd w:id="12"/>
      <w:bookmarkEnd w:id="13"/>
      <w:r>
        <w:rPr>
          <w:rFonts w:hint="eastAsia" w:ascii="宋体" w:hAnsi="宋体" w:eastAsia="宋体" w:cs="宋体"/>
          <w:b w:val="0"/>
          <w:bCs w:val="0"/>
          <w:color w:val="000000" w:themeColor="text1"/>
          <w:highlight w:val="none"/>
          <w14:textFill>
            <w14:solidFill>
              <w14:schemeClr w14:val="tx1"/>
            </w14:solidFill>
          </w14:textFill>
        </w:rPr>
        <w:t>签订合同后15个工作日</w:t>
      </w:r>
      <w:r>
        <w:rPr>
          <w:rFonts w:hint="eastAsia" w:ascii="宋体" w:hAnsi="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作为无效投标处理）。</w:t>
      </w:r>
    </w:p>
    <w:p>
      <w:pPr>
        <w:widowControl/>
        <w:adjustRightInd w:val="0"/>
        <w:snapToGrid w:val="0"/>
        <w:spacing w:line="360" w:lineRule="auto"/>
        <w:ind w:left="540"/>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lang w:val="en-US" w:eastAsia="zh-CN"/>
          <w14:textFill>
            <w14:solidFill>
              <w14:schemeClr w14:val="tx1"/>
            </w14:solidFill>
          </w14:textFill>
        </w:rPr>
        <w:t>本项目允许采购进口产品。</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8.</w:t>
      </w:r>
      <w:r>
        <w:rPr>
          <w:rFonts w:hint="eastAsia" w:ascii="宋体" w:hAnsi="宋体"/>
          <w:bCs/>
          <w:color w:val="000000" w:themeColor="text1"/>
          <w:szCs w:val="21"/>
          <w:highlight w:val="none"/>
          <w14:textFill>
            <w14:solidFill>
              <w14:schemeClr w14:val="tx1"/>
            </w14:solidFill>
          </w14:textFill>
        </w:rPr>
        <w:t>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left="735" w:leftChars="300" w:hanging="105" w:hanging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须是中华人民共和国境内合法注册，能独立承担民事责任并具有相关经营范围的法人或组织；</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文件时间及下载：2021年12月6日至2021年12月9日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w:t>
      </w:r>
      <w:bookmarkStart w:id="544" w:name="_GoBack"/>
      <w:bookmarkEnd w:id="544"/>
      <w:r>
        <w:rPr>
          <w:rFonts w:hint="eastAsia"/>
          <w:b/>
          <w:bCs/>
          <w:color w:val="000000" w:themeColor="text1"/>
          <w:highlight w:val="none"/>
          <w14:textFill>
            <w14:solidFill>
              <w14:schemeClr w14:val="tx1"/>
            </w14:solidFill>
          </w14:textFill>
        </w:rPr>
        <w:t>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文件时间：2021年12月14日</w:t>
      </w:r>
      <w:r>
        <w:rPr>
          <w:rFonts w:hint="eastAsia" w:ascii="宋体" w:hAnsi="宋体"/>
          <w:bCs/>
          <w:color w:val="000000" w:themeColor="text1"/>
          <w:szCs w:val="21"/>
          <w:highlight w:val="none"/>
          <w14:textFill>
            <w14:solidFill>
              <w14:schemeClr w14:val="tx1"/>
            </w14:solidFill>
          </w14:textFill>
        </w:rPr>
        <w:t>9:30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截止时间：2021年12月14日</w:t>
      </w:r>
      <w:r>
        <w:rPr>
          <w:rFonts w:hint="eastAsia" w:ascii="宋体" w:hAnsi="宋体"/>
          <w:bCs/>
          <w:color w:val="000000" w:themeColor="text1"/>
          <w:szCs w:val="21"/>
          <w:highlight w:val="none"/>
          <w14:textFill>
            <w14:solidFill>
              <w14:schemeClr w14:val="tx1"/>
            </w14:solidFill>
          </w14:textFill>
        </w:rPr>
        <w:t xml:space="preserve"> 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时间：2021年12月14日</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阳江市疾病预防控制中心</w:t>
      </w:r>
    </w:p>
    <w:p>
      <w:pPr>
        <w:widowControl/>
        <w:tabs>
          <w:tab w:val="left" w:pos="502"/>
        </w:tabs>
        <w:adjustRightInd w:val="0"/>
        <w:snapToGrid w:val="0"/>
        <w:spacing w:line="360" w:lineRule="auto"/>
        <w:ind w:left="2" w:leftChars="1"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地址：阳江市江城区高凉路市疾控中心大楼  </w:t>
      </w:r>
    </w:p>
    <w:p>
      <w:pPr>
        <w:widowControl/>
        <w:tabs>
          <w:tab w:val="left" w:pos="502"/>
        </w:tabs>
        <w:adjustRightInd w:val="0"/>
        <w:snapToGrid w:val="0"/>
        <w:spacing w:line="360" w:lineRule="auto"/>
        <w:ind w:left="2" w:leftChars="1" w:firstLine="735" w:firstLineChars="3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联 系 人： 陈永敏</w:t>
      </w:r>
    </w:p>
    <w:p>
      <w:pPr>
        <w:widowControl/>
        <w:tabs>
          <w:tab w:val="left" w:pos="502"/>
        </w:tabs>
        <w:adjustRightInd w:val="0"/>
        <w:snapToGrid w:val="0"/>
        <w:spacing w:line="360" w:lineRule="auto"/>
        <w:ind w:left="2" w:leftChars="1" w:firstLine="735" w:firstLineChars="3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联系电话：0662-2238505</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2021年12月</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7959"/>
      <w:bookmarkStart w:id="15" w:name="_Toc353522387"/>
      <w:bookmarkStart w:id="16" w:name="_Toc351986013"/>
      <w:bookmarkStart w:id="17" w:name="_Toc351986193"/>
      <w:bookmarkStart w:id="18" w:name="_Toc351988704"/>
      <w:bookmarkStart w:id="19" w:name="_Toc357151163"/>
      <w:bookmarkStart w:id="20" w:name="_Toc329242667"/>
      <w:bookmarkStart w:id="21" w:name="_Toc351987763"/>
      <w:bookmarkStart w:id="22" w:name="_Toc351990140"/>
      <w:bookmarkStart w:id="23" w:name="_Toc351985908"/>
      <w:bookmarkStart w:id="24" w:name="_Toc369180017"/>
      <w:bookmarkStart w:id="25" w:name="_Toc21721"/>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6014"/>
      <w:bookmarkStart w:id="30" w:name="_Toc351990141"/>
      <w:bookmarkStart w:id="31" w:name="_Toc351987960"/>
      <w:bookmarkStart w:id="32" w:name="_Toc369180018"/>
      <w:bookmarkStart w:id="33" w:name="_Toc353522388"/>
      <w:bookmarkStart w:id="34" w:name="_Toc357151164"/>
      <w:bookmarkStart w:id="35" w:name="_Toc351988705"/>
      <w:bookmarkStart w:id="36" w:name="_Toc351987764"/>
      <w:bookmarkStart w:id="37" w:name="_Toc351986194"/>
      <w:bookmarkStart w:id="38" w:name="_Toc351985909"/>
      <w:bookmarkStart w:id="39" w:name="_Toc946"/>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YXZB-20211203</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7151165"/>
      <w:bookmarkStart w:id="41" w:name="_Toc353522389"/>
      <w:bookmarkStart w:id="42" w:name="_Toc351987765"/>
      <w:bookmarkStart w:id="43" w:name="_Toc351986015"/>
      <w:bookmarkStart w:id="44" w:name="_Toc351988706"/>
      <w:bookmarkStart w:id="45" w:name="_Toc351987961"/>
      <w:bookmarkStart w:id="46" w:name="_Toc351990142"/>
      <w:bookmarkStart w:id="47" w:name="_Toc329242669"/>
      <w:bookmarkStart w:id="48" w:name="_Toc351985910"/>
      <w:bookmarkStart w:id="49" w:name="_Toc351986195"/>
      <w:bookmarkStart w:id="50" w:name="_Toc369180019"/>
      <w:bookmarkStart w:id="51" w:name="_Toc31294"/>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阳江市疾病预防控制中心-新冠防护物资采购项目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196"/>
      <w:bookmarkStart w:id="53" w:name="_Toc369180020"/>
      <w:bookmarkStart w:id="54" w:name="_Toc353522390"/>
      <w:bookmarkStart w:id="55" w:name="_Toc357151166"/>
      <w:bookmarkStart w:id="56" w:name="_Toc17284"/>
      <w:bookmarkStart w:id="57" w:name="_Toc351988707"/>
      <w:bookmarkStart w:id="58" w:name="_Toc351986016"/>
      <w:bookmarkStart w:id="59" w:name="_Toc329242670"/>
      <w:bookmarkStart w:id="60" w:name="_Toc351987962"/>
      <w:bookmarkStart w:id="61" w:name="_Toc351990143"/>
      <w:bookmarkStart w:id="62" w:name="_Toc351985911"/>
      <w:bookmarkStart w:id="63" w:name="_Toc3519877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1.供应商必须承诺提供厂商原装、全新的、符合采购人提出的有关质量标准的货物。</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2.所有货物在开箱检验时必须完好，无破损，配置与装箱单相符。货物外观清洁，标记编号以及盘面显示等字体清晰，明确。数量、质量及性能不低于文件中提出的要求。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完成该项目的一切费用，</w:t>
            </w:r>
            <w:r>
              <w:rPr>
                <w:rFonts w:hint="eastAsia" w:ascii="宋体" w:hAnsi="宋体" w:eastAsia="宋体" w:cs="宋体"/>
                <w:color w:val="000000" w:themeColor="text1"/>
                <w:highlight w:val="none"/>
                <w14:textFill>
                  <w14:solidFill>
                    <w14:schemeClr w14:val="tx1"/>
                  </w14:solidFill>
                </w14:textFill>
              </w:rPr>
              <w:t>采购人不再支付其他任何费用</w:t>
            </w:r>
            <w:r>
              <w:rPr>
                <w:rFonts w:hint="eastAsia" w:ascii="宋体" w:hAnsi="宋体" w:eastAsia="宋体" w:cs="宋体"/>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供应商与采购人双方签订，签订时间为《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交货</w:t>
            </w:r>
            <w:r>
              <w:rPr>
                <w:rFonts w:hint="eastAsia"/>
                <w:b/>
                <w:color w:val="000000" w:themeColor="text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合同款由采购</w:t>
            </w:r>
            <w:r>
              <w:rPr>
                <w:rFonts w:hint="eastAsia"/>
                <w:color w:val="000000" w:themeColor="text1"/>
                <w:highlight w:val="none"/>
                <w:lang w:val="zh-CN"/>
                <w14:textFill>
                  <w14:solidFill>
                    <w14:schemeClr w14:val="tx1"/>
                  </w14:solidFill>
                </w14:textFill>
              </w:rPr>
              <w:t>人通过银行转账的方式支</w:t>
            </w:r>
            <w:r>
              <w:rPr>
                <w:rFonts w:hint="eastAsia"/>
                <w:color w:val="000000" w:themeColor="text1"/>
                <w:highlight w:val="none"/>
                <w14:textFill>
                  <w14:solidFill>
                    <w14:schemeClr w14:val="tx1"/>
                  </w14:solidFill>
                </w14:textFill>
              </w:rPr>
              <w:t>付给</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供应商。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2.成交</w:t>
            </w:r>
            <w:r>
              <w:rPr>
                <w:rFonts w:hint="eastAsia"/>
                <w:color w:val="000000" w:themeColor="text1"/>
                <w:highlight w:val="none"/>
                <w14:textFill>
                  <w14:solidFill>
                    <w14:schemeClr w14:val="tx1"/>
                  </w14:solidFill>
                </w14:textFill>
              </w:rPr>
              <w:t>供应商在项目设备验收合格后向采购人提供中标通知书、合法发票，15个工作日内采购人向</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供应商支付全额货款。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30</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叁</w:t>
            </w:r>
            <w:r>
              <w:rPr>
                <w:rFonts w:hint="eastAsia" w:ascii="宋体" w:hAnsi="宋体"/>
                <w:b/>
                <w:color w:val="000000" w:themeColor="text1"/>
                <w:szCs w:val="21"/>
                <w:highlight w:val="none"/>
                <w14:textFill>
                  <w14:solidFill>
                    <w14:schemeClr w14:val="tx1"/>
                  </w14:solidFill>
                </w14:textFill>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64" w:name="_Toc369180021"/>
      <w:bookmarkStart w:id="65" w:name="_Toc351986017"/>
      <w:bookmarkStart w:id="66" w:name="_Toc351987963"/>
      <w:bookmarkStart w:id="67" w:name="_Toc357151167"/>
      <w:bookmarkStart w:id="68" w:name="_Toc351986197"/>
      <w:bookmarkStart w:id="69" w:name="_Toc32360"/>
      <w:bookmarkStart w:id="70" w:name="_Toc329242671"/>
      <w:bookmarkStart w:id="71" w:name="_Toc351985912"/>
      <w:bookmarkStart w:id="72" w:name="_Toc351987767"/>
      <w:bookmarkStart w:id="73" w:name="_Toc351988708"/>
      <w:bookmarkStart w:id="74" w:name="_Toc353522391"/>
      <w:bookmarkStart w:id="75" w:name="_Toc351990144"/>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spacing w:line="360" w:lineRule="auto"/>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一、项目</w:t>
      </w:r>
      <w:r>
        <w:rPr>
          <w:rFonts w:hint="eastAsia" w:ascii="宋体" w:hAnsi="宋体" w:eastAsia="宋体" w:cs="宋体"/>
          <w:b/>
          <w:bCs/>
          <w:color w:val="000000" w:themeColor="text1"/>
          <w:highlight w:val="none"/>
          <w:lang w:val="en-US" w:eastAsia="zh-CN"/>
          <w14:textFill>
            <w14:solidFill>
              <w14:schemeClr w14:val="tx1"/>
            </w14:solidFill>
          </w14:textFill>
        </w:rPr>
        <w:t>采购</w:t>
      </w:r>
      <w:r>
        <w:rPr>
          <w:rFonts w:hint="eastAsia" w:ascii="宋体" w:hAnsi="宋体" w:eastAsia="宋体" w:cs="宋体"/>
          <w:b/>
          <w:bCs/>
          <w:color w:val="000000" w:themeColor="text1"/>
          <w:highlight w:val="none"/>
          <w14:textFill>
            <w14:solidFill>
              <w14:schemeClr w14:val="tx1"/>
            </w14:solidFill>
          </w14:textFill>
        </w:rPr>
        <w:t>内容</w:t>
      </w:r>
    </w:p>
    <w:tbl>
      <w:tblPr>
        <w:tblStyle w:val="36"/>
        <w:tblW w:w="10354" w:type="dxa"/>
        <w:jc w:val="center"/>
        <w:tblLayout w:type="fixed"/>
        <w:tblCellMar>
          <w:top w:w="0" w:type="dxa"/>
          <w:left w:w="108" w:type="dxa"/>
          <w:bottom w:w="0" w:type="dxa"/>
          <w:right w:w="108" w:type="dxa"/>
        </w:tblCellMar>
      </w:tblPr>
      <w:tblGrid>
        <w:gridCol w:w="727"/>
        <w:gridCol w:w="983"/>
        <w:gridCol w:w="1867"/>
        <w:gridCol w:w="4650"/>
        <w:gridCol w:w="1433"/>
        <w:gridCol w:w="694"/>
      </w:tblGrid>
      <w:tr>
        <w:tblPrEx>
          <w:tblCellMar>
            <w:top w:w="0" w:type="dxa"/>
            <w:left w:w="108" w:type="dxa"/>
            <w:bottom w:w="0" w:type="dxa"/>
            <w:right w:w="108" w:type="dxa"/>
          </w:tblCellMar>
        </w:tblPrEx>
        <w:trPr>
          <w:trHeight w:val="907"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序号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名称</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型号</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配置要求</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单位</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数量</w:t>
            </w:r>
          </w:p>
        </w:tc>
      </w:tr>
      <w:tr>
        <w:tblPrEx>
          <w:tblCellMar>
            <w:top w:w="0" w:type="dxa"/>
            <w:left w:w="108" w:type="dxa"/>
            <w:bottom w:w="0" w:type="dxa"/>
            <w:right w:w="108" w:type="dxa"/>
          </w:tblCellMar>
        </w:tblPrEx>
        <w:trPr>
          <w:trHeight w:val="1984" w:hRule="atLeast"/>
          <w:jc w:val="center"/>
        </w:trPr>
        <w:tc>
          <w:tcPr>
            <w:tcW w:w="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w:t>
            </w:r>
          </w:p>
        </w:tc>
        <w:tc>
          <w:tcPr>
            <w:tcW w:w="9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医用一次性防护服</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165（非灭菌）</w:t>
            </w:r>
          </w:p>
        </w:tc>
        <w:tc>
          <w:tcPr>
            <w:tcW w:w="46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产品名称:</w:t>
            </w:r>
            <w:r>
              <w:rPr>
                <w:rFonts w:hint="eastAsia" w:ascii="宋体" w:hAnsi="宋体" w:eastAsia="宋体" w:cs="宋体"/>
                <w:color w:val="000000" w:themeColor="text1"/>
                <w:sz w:val="21"/>
                <w:szCs w:val="21"/>
                <w:highlight w:val="none"/>
                <w14:textFill>
                  <w14:solidFill>
                    <w14:schemeClr w14:val="tx1"/>
                  </w14:solidFill>
                </w14:textFill>
              </w:rPr>
              <w:t>医用一次性防护服</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产品型号:</w:t>
            </w:r>
            <w:r>
              <w:rPr>
                <w:rFonts w:hint="eastAsia" w:ascii="宋体" w:hAnsi="宋体" w:eastAsia="宋体" w:cs="宋体"/>
                <w:color w:val="000000" w:themeColor="text1"/>
                <w:sz w:val="21"/>
                <w:szCs w:val="21"/>
                <w:highlight w:val="none"/>
                <w14:textFill>
                  <w14:solidFill>
                    <w14:schemeClr w14:val="tx1"/>
                  </w14:solidFill>
                </w14:textFill>
              </w:rPr>
              <w:t>医用非灭菌型</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产品包装</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产品采用压缩密封包装，1件/袋，40袋/箱</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有效期限</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本产品为非灭菌产品，储存有效期为5年</w:t>
            </w:r>
          </w:p>
          <w:p>
            <w:pPr>
              <w:widowControl/>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产品执行标准:</w:t>
            </w:r>
            <w:r>
              <w:rPr>
                <w:rFonts w:hint="eastAsia" w:ascii="宋体" w:hAnsi="宋体" w:eastAsia="宋体" w:cs="宋体"/>
                <w:b w:val="0"/>
                <w:bCs w:val="0"/>
                <w:color w:val="000000" w:themeColor="text1"/>
                <w:sz w:val="21"/>
                <w:szCs w:val="21"/>
                <w:highlight w:val="none"/>
                <w14:textFill>
                  <w14:solidFill>
                    <w14:schemeClr w14:val="tx1"/>
                  </w14:solidFill>
                </w14:textFill>
              </w:rPr>
              <w:t>GB19082-2009《医用一次性防护服》标准</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产品特点:</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采用聚乙烯微孔膜复合聚丙烯无纺布材料制成，有效防护固体颗粒物、液体飞溅及气溶胶;</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可良好防护空气、液体及接触性传播的细菌及病毒;</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服装接缝采用胶条热熔密封;</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成衣通过欧标Type4类、5类、6类认证，适合液体喷溅和有害颗粒物防护:</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通过欧标EN14126传染性病原微生物防护认证，且所有测试项目都达到最高等级:</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面料通过美标ASTMF1670抵抗合成血液穿透测试ASTMF1671抵抗血源性病原体Phi-X174噬菌体的穿透测试;</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连体带帽结构，双向拉链，腰部、袖口和脚踝部橡筋收口。采用三片式帽子、插裆、插袖结构、穿戴舒适且方便。</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适用范围:</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医用一次性防护服主要适用于防护颗粒物及轻度液体飞溅，对临床医用人员可能接触到的血液、体液、血液传播病原体、传染性悬浮微粒、干性或湿性微生物/细菌的渗透提供防护。针对疫情时期，可适用于:</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疑似、确诊病例诊疗</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疑似和确诊病例样本采样、检测</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病人转运、陪护</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疫情外围作业，如环境消毒、排查等</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600</w:t>
            </w:r>
          </w:p>
        </w:tc>
      </w:tr>
      <w:tr>
        <w:tblPrEx>
          <w:tblCellMar>
            <w:top w:w="0" w:type="dxa"/>
            <w:left w:w="108" w:type="dxa"/>
            <w:bottom w:w="0" w:type="dxa"/>
            <w:right w:w="108" w:type="dxa"/>
          </w:tblCellMar>
        </w:tblPrEx>
        <w:trPr>
          <w:trHeight w:val="1984" w:hRule="atLeast"/>
          <w:jc w:val="center"/>
        </w:trPr>
        <w:tc>
          <w:tcPr>
            <w:tcW w:w="72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170（非灭菌）</w:t>
            </w:r>
          </w:p>
        </w:tc>
        <w:tc>
          <w:tcPr>
            <w:tcW w:w="4650"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600</w:t>
            </w:r>
          </w:p>
        </w:tc>
      </w:tr>
      <w:tr>
        <w:tblPrEx>
          <w:tblCellMar>
            <w:top w:w="0" w:type="dxa"/>
            <w:left w:w="108" w:type="dxa"/>
            <w:bottom w:w="0" w:type="dxa"/>
            <w:right w:w="108" w:type="dxa"/>
          </w:tblCellMar>
        </w:tblPrEx>
        <w:trPr>
          <w:trHeight w:val="1984" w:hRule="atLeast"/>
          <w:jc w:val="center"/>
        </w:trPr>
        <w:tc>
          <w:tcPr>
            <w:tcW w:w="72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175（非灭菌）</w:t>
            </w:r>
          </w:p>
        </w:tc>
        <w:tc>
          <w:tcPr>
            <w:tcW w:w="4650"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600</w:t>
            </w:r>
          </w:p>
        </w:tc>
      </w:tr>
      <w:tr>
        <w:tblPrEx>
          <w:tblCellMar>
            <w:top w:w="0" w:type="dxa"/>
            <w:left w:w="108" w:type="dxa"/>
            <w:bottom w:w="0" w:type="dxa"/>
            <w:right w:w="108" w:type="dxa"/>
          </w:tblCellMar>
        </w:tblPrEx>
        <w:trPr>
          <w:trHeight w:val="1984" w:hRule="atLeast"/>
          <w:jc w:val="center"/>
        </w:trPr>
        <w:tc>
          <w:tcPr>
            <w:tcW w:w="7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p>
        </w:tc>
        <w:tc>
          <w:tcPr>
            <w:tcW w:w="9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180（非灭菌）</w:t>
            </w:r>
          </w:p>
        </w:tc>
        <w:tc>
          <w:tcPr>
            <w:tcW w:w="465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200</w:t>
            </w:r>
          </w:p>
        </w:tc>
      </w:tr>
      <w:tr>
        <w:tblPrEx>
          <w:tblCellMar>
            <w:top w:w="0" w:type="dxa"/>
            <w:left w:w="108" w:type="dxa"/>
            <w:bottom w:w="0" w:type="dxa"/>
            <w:right w:w="108" w:type="dxa"/>
          </w:tblCellMar>
        </w:tblPrEx>
        <w:trPr>
          <w:trHeight w:val="82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鞋套</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均码</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产品款式:</w:t>
            </w:r>
            <w:r>
              <w:rPr>
                <w:rFonts w:hint="eastAsia" w:ascii="宋体" w:hAnsi="宋体" w:eastAsia="宋体" w:cs="宋体"/>
                <w:color w:val="000000" w:themeColor="text1"/>
                <w:sz w:val="21"/>
                <w:szCs w:val="21"/>
                <w:highlight w:val="none"/>
                <w14:textFill>
                  <w14:solidFill>
                    <w14:schemeClr w14:val="tx1"/>
                  </w14:solidFill>
                </w14:textFill>
              </w:rPr>
              <w:t>防滑圆靴底;脚踝橡筋收口</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颜色</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白色、橘色、绿色</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边缝结构</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平缝</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尺码</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均码</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包装</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100副/箱</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NS面料具有轻便、透气性良好等特点，能够高效防尘、防液体飞溅，为消费者提供安全保护。面料通过 ASTMF1670/1671和EN14126抗合成血液和噬菌体穿透测试:通过GB/T29511中耐静水压测试，5级。</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产品特点</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面料为粘聚丙烯元纺布+多微孔聚乙烯膜材质:</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提供极佳的血液及液体飞溅;</w:t>
            </w:r>
          </w:p>
          <w:p>
            <w:pPr>
              <w:pStyle w:val="69"/>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防护防滑靴底，脚踝和靴筒口橡筋收口;</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主要应用</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医疗卫生防疫，动物检疫，洁净室/实验室环境应用，一般保洁维修与维护作业。</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2500</w:t>
            </w:r>
          </w:p>
        </w:tc>
      </w:tr>
      <w:tr>
        <w:tblPrEx>
          <w:tblCellMar>
            <w:top w:w="0" w:type="dxa"/>
            <w:left w:w="108" w:type="dxa"/>
            <w:bottom w:w="0" w:type="dxa"/>
            <w:right w:w="108" w:type="dxa"/>
          </w:tblCellMar>
        </w:tblPrEx>
        <w:trPr>
          <w:trHeight w:val="567" w:hRule="atLeast"/>
          <w:jc w:val="center"/>
        </w:trPr>
        <w:tc>
          <w:tcPr>
            <w:tcW w:w="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3</w:t>
            </w:r>
          </w:p>
        </w:tc>
        <w:tc>
          <w:tcPr>
            <w:tcW w:w="9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手套</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S(6.5)：&lt;80mm</w:t>
            </w:r>
          </w:p>
        </w:tc>
        <w:tc>
          <w:tcPr>
            <w:tcW w:w="46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型号:</w:t>
            </w:r>
            <w:r>
              <w:rPr>
                <w:rFonts w:hint="eastAsia" w:ascii="宋体" w:hAnsi="宋体" w:eastAsia="宋体" w:cs="宋体"/>
                <w:color w:val="000000" w:themeColor="text1"/>
                <w:sz w:val="21"/>
                <w:szCs w:val="21"/>
                <w:highlight w:val="none"/>
                <w14:textFill>
                  <w14:solidFill>
                    <w14:schemeClr w14:val="tx1"/>
                  </w14:solidFill>
                </w14:textFill>
              </w:rPr>
              <w:t>弯型麻面TPU覆层有粉</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材质:</w:t>
            </w:r>
            <w:r>
              <w:rPr>
                <w:rFonts w:hint="eastAsia" w:ascii="宋体" w:hAnsi="宋体" w:eastAsia="宋体" w:cs="宋体"/>
                <w:color w:val="000000" w:themeColor="text1"/>
                <w:sz w:val="21"/>
                <w:szCs w:val="21"/>
                <w:highlight w:val="none"/>
                <w14:textFill>
                  <w14:solidFill>
                    <w14:schemeClr w14:val="tx1"/>
                  </w14:solidFill>
                </w14:textFill>
              </w:rPr>
              <w:t>天然橡胶胶乳</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包装:</w:t>
            </w:r>
            <w:r>
              <w:rPr>
                <w:rFonts w:hint="eastAsia" w:ascii="宋体" w:hAnsi="宋体" w:eastAsia="宋体" w:cs="宋体"/>
                <w:color w:val="000000" w:themeColor="text1"/>
                <w:sz w:val="21"/>
                <w:szCs w:val="21"/>
                <w:highlight w:val="none"/>
                <w14:textFill>
                  <w14:solidFill>
                    <w14:schemeClr w14:val="tx1"/>
                  </w14:solidFill>
                </w14:textFill>
              </w:rPr>
              <w:t>1双/袋50双/盒有效期:3年</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灭菌方式:</w:t>
            </w:r>
            <w:r>
              <w:rPr>
                <w:rFonts w:hint="eastAsia" w:ascii="宋体" w:hAnsi="宋体" w:eastAsia="宋体" w:cs="宋体"/>
                <w:color w:val="000000" w:themeColor="text1"/>
                <w:sz w:val="21"/>
                <w:szCs w:val="21"/>
                <w:highlight w:val="none"/>
                <w14:textFill>
                  <w14:solidFill>
                    <w14:schemeClr w14:val="tx1"/>
                  </w14:solidFill>
                </w14:textFill>
              </w:rPr>
              <w:t>伽马射线或环氧乙烷</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产品结构:</w:t>
            </w:r>
            <w:r>
              <w:rPr>
                <w:rFonts w:hint="eastAsia" w:ascii="宋体" w:hAnsi="宋体" w:eastAsia="宋体" w:cs="宋体"/>
                <w:color w:val="000000" w:themeColor="text1"/>
                <w:sz w:val="21"/>
                <w:szCs w:val="21"/>
                <w:highlight w:val="none"/>
                <w14:textFill>
                  <w14:solidFill>
                    <w14:schemeClr w14:val="tx1"/>
                  </w14:solidFill>
                </w14:textFill>
              </w:rPr>
              <w:t>由指部,掌部各腕部构成,手套符合人肢体生理结构,大拇指位于食指前方</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盒</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（50双/盒）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40</w:t>
            </w:r>
          </w:p>
        </w:tc>
      </w:tr>
      <w:tr>
        <w:tblPrEx>
          <w:tblCellMar>
            <w:top w:w="0" w:type="dxa"/>
            <w:left w:w="108" w:type="dxa"/>
            <w:bottom w:w="0" w:type="dxa"/>
            <w:right w:w="108" w:type="dxa"/>
          </w:tblCellMar>
        </w:tblPrEx>
        <w:trPr>
          <w:trHeight w:val="567" w:hRule="atLeast"/>
          <w:jc w:val="center"/>
        </w:trPr>
        <w:tc>
          <w:tcPr>
            <w:tcW w:w="72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M(7)：80mm±10mm</w:t>
            </w:r>
          </w:p>
        </w:tc>
        <w:tc>
          <w:tcPr>
            <w:tcW w:w="4650"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盒</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（50双/盒）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40</w:t>
            </w:r>
          </w:p>
        </w:tc>
      </w:tr>
      <w:tr>
        <w:tblPrEx>
          <w:tblCellMar>
            <w:top w:w="0" w:type="dxa"/>
            <w:left w:w="108" w:type="dxa"/>
            <w:bottom w:w="0" w:type="dxa"/>
            <w:right w:w="108" w:type="dxa"/>
          </w:tblCellMar>
        </w:tblPrEx>
        <w:trPr>
          <w:trHeight w:val="567" w:hRule="atLeast"/>
          <w:jc w:val="center"/>
        </w:trPr>
        <w:tc>
          <w:tcPr>
            <w:tcW w:w="7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9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 xml:space="preserve">L(7.5)：95mm±10mm </w:t>
            </w:r>
          </w:p>
        </w:tc>
        <w:tc>
          <w:tcPr>
            <w:tcW w:w="465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盒</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（50双/盒）</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40</w:t>
            </w:r>
          </w:p>
        </w:tc>
      </w:tr>
      <w:tr>
        <w:tblPrEx>
          <w:tblCellMar>
            <w:top w:w="0" w:type="dxa"/>
            <w:left w:w="108" w:type="dxa"/>
            <w:bottom w:w="0" w:type="dxa"/>
            <w:right w:w="108" w:type="dxa"/>
          </w:tblCellMar>
        </w:tblPrEx>
        <w:trPr>
          <w:trHeight w:val="842"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4</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N95口罩</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9132</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主要原料：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进口</w:t>
            </w:r>
            <w:r>
              <w:rPr>
                <w:rFonts w:hint="eastAsia" w:ascii="宋体" w:hAnsi="宋体" w:eastAsia="宋体" w:cs="宋体"/>
                <w:b w:val="0"/>
                <w:bCs w:val="0"/>
                <w:color w:val="000000" w:themeColor="text1"/>
                <w:sz w:val="21"/>
                <w:szCs w:val="21"/>
                <w:highlight w:val="none"/>
                <w14:textFill>
                  <w14:solidFill>
                    <w14:schemeClr w14:val="tx1"/>
                  </w14:solidFill>
                </w14:textFill>
              </w:rPr>
              <w:t>高</w:t>
            </w:r>
            <w:r>
              <w:rPr>
                <w:rFonts w:hint="eastAsia" w:ascii="宋体" w:hAnsi="宋体" w:eastAsia="宋体" w:cs="宋体"/>
                <w:color w:val="000000" w:themeColor="text1"/>
                <w:sz w:val="21"/>
                <w:szCs w:val="21"/>
                <w:highlight w:val="none"/>
                <w14:textFill>
                  <w14:solidFill>
                    <w14:schemeClr w14:val="tx1"/>
                  </w14:solidFill>
                </w14:textFill>
              </w:rPr>
              <w:t>效静电滤材、无纺布</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防护级别：</w:t>
            </w:r>
            <w:r>
              <w:rPr>
                <w:rFonts w:hint="eastAsia" w:ascii="宋体" w:hAnsi="宋体" w:eastAsia="宋体" w:cs="宋体"/>
                <w:color w:val="000000" w:themeColor="text1"/>
                <w:sz w:val="21"/>
                <w:szCs w:val="21"/>
                <w:highlight w:val="none"/>
                <w14:textFill>
                  <w14:solidFill>
                    <w14:schemeClr w14:val="tx1"/>
                  </w14:solidFill>
                </w14:textFill>
              </w:rPr>
              <w:t>N95</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产品功能:</w:t>
            </w:r>
            <w:r>
              <w:rPr>
                <w:rFonts w:hint="eastAsia" w:ascii="宋体" w:hAnsi="宋体" w:eastAsia="宋体" w:cs="宋体"/>
                <w:color w:val="000000" w:themeColor="text1"/>
                <w:sz w:val="21"/>
                <w:szCs w:val="21"/>
                <w:highlight w:val="none"/>
                <w14:textFill>
                  <w14:solidFill>
                    <w14:schemeClr w14:val="tx1"/>
                  </w14:solidFill>
                </w14:textFill>
              </w:rPr>
              <w:t>用于在职性医护人员的呼吸防护，防护某些致病微生物颗粒(如病毒细菌、霉菌、碳疽杆菌、结核杆菌等)</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产品用途:</w:t>
            </w:r>
            <w:r>
              <w:rPr>
                <w:rFonts w:hint="eastAsia" w:ascii="宋体" w:hAnsi="宋体" w:eastAsia="宋体" w:cs="宋体"/>
                <w:color w:val="000000" w:themeColor="text1"/>
                <w:sz w:val="21"/>
                <w:szCs w:val="21"/>
                <w:highlight w:val="none"/>
                <w14:textFill>
                  <w14:solidFill>
                    <w14:schemeClr w14:val="tx1"/>
                  </w14:solidFill>
                </w14:textFill>
              </w:rPr>
              <w:t>本产品用于降低使用者对某些空气中悬浮颗粒的暴露，包括微生物颗粒物及电焊手术，激光手术及其它电动医疗设备使用中产生的颗粒物等。设计还具有阻隔血液和其它传染性液飞溅物的功能。过滤材料对非油性颗粒物过滤效果≥95%</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产品特点:</w:t>
            </w:r>
            <w:r>
              <w:rPr>
                <w:rFonts w:hint="eastAsia" w:ascii="宋体" w:hAnsi="宋体" w:eastAsia="宋体" w:cs="宋体"/>
                <w:color w:val="000000" w:themeColor="text1"/>
                <w:sz w:val="21"/>
                <w:szCs w:val="21"/>
                <w:highlight w:val="none"/>
                <w14:textFill>
                  <w14:solidFill>
                    <w14:schemeClr w14:val="tx1"/>
                  </w14:solidFill>
                </w14:textFill>
              </w:rPr>
              <w:t>多层过滤结构防护到位，可调铝制鼻夹口罩贴合仿人脸部轮廓贴合脸部，弹性头戴佩戴舒适贴合，9132口罩采用密封包装。</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 装:</w:t>
            </w:r>
            <w:r>
              <w:rPr>
                <w:rFonts w:hint="eastAsia" w:ascii="宋体" w:hAnsi="宋体" w:eastAsia="宋体" w:cs="宋体"/>
                <w:color w:val="000000" w:themeColor="text1"/>
                <w:sz w:val="21"/>
                <w:szCs w:val="21"/>
                <w:highlight w:val="none"/>
                <w14:textFill>
                  <w14:solidFill>
                    <w14:schemeClr w14:val="tx1"/>
                  </w14:solidFill>
                </w14:textFill>
              </w:rPr>
              <w:t xml:space="preserve">30个/盒，有效期:自生产之日起五年 </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执行标准:</w:t>
            </w:r>
            <w:r>
              <w:rPr>
                <w:rFonts w:hint="eastAsia" w:ascii="宋体" w:hAnsi="宋体" w:eastAsia="宋体" w:cs="宋体"/>
                <w:color w:val="000000" w:themeColor="text1"/>
                <w:sz w:val="21"/>
                <w:szCs w:val="21"/>
                <w:highlight w:val="none"/>
                <w14:textFill>
                  <w14:solidFill>
                    <w14:schemeClr w14:val="tx1"/>
                  </w14:solidFill>
                </w14:textFill>
              </w:rPr>
              <w:t>美国NIOSHN95认证和中国药监局CFDA认证</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3000</w:t>
            </w:r>
          </w:p>
        </w:tc>
      </w:tr>
    </w:tbl>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2"/>
        <w:numPr>
          <w:ilvl w:val="0"/>
          <w:numId w:val="0"/>
        </w:numPr>
        <w:jc w:val="center"/>
        <w:rPr>
          <w:color w:val="000000" w:themeColor="text1"/>
          <w:sz w:val="24"/>
          <w:szCs w:val="24"/>
          <w:highlight w:val="none"/>
          <w14:textFill>
            <w14:solidFill>
              <w14:schemeClr w14:val="tx1"/>
            </w14:solidFill>
          </w14:textFill>
        </w:rPr>
      </w:pPr>
      <w:bookmarkStart w:id="76" w:name="_Toc29001"/>
      <w:r>
        <w:rPr>
          <w:rFonts w:hint="eastAsia"/>
          <w:b w:val="0"/>
          <w:color w:val="000000" w:themeColor="text1"/>
          <w:sz w:val="24"/>
          <w:szCs w:val="24"/>
          <w:highlight w:val="none"/>
          <w14:textFill>
            <w14:solidFill>
              <w14:schemeClr w14:val="tx1"/>
            </w14:solidFill>
          </w14:textFill>
        </w:rPr>
        <w:t>第三部分报价须知</w:t>
      </w:r>
      <w:bookmarkEnd w:id="76"/>
    </w:p>
    <w:p>
      <w:pPr>
        <w:pStyle w:val="2"/>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434832495"/>
      <w:bookmarkStart w:id="79" w:name="_Toc14061"/>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12377"/>
      <w:bookmarkStart w:id="81" w:name="_Toc383439827"/>
      <w:bookmarkStart w:id="82" w:name="_Toc369180023"/>
      <w:bookmarkStart w:id="83" w:name="_Toc351988710"/>
      <w:bookmarkStart w:id="84" w:name="_Toc351987769"/>
      <w:bookmarkStart w:id="85" w:name="_Toc351987965"/>
      <w:bookmarkStart w:id="86" w:name="_Toc357151176"/>
      <w:bookmarkStart w:id="87" w:name="_Toc351990146"/>
      <w:bookmarkStart w:id="88" w:name="_Toc353522393"/>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13691"/>
      <w:bookmarkStart w:id="90" w:name="_Toc383439828"/>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5"/>
      <w:bookmarkStart w:id="93" w:name="_Toc8345"/>
      <w:bookmarkStart w:id="94"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阳江市疾病预防控制中心</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17313"/>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7151177"/>
      <w:bookmarkStart w:id="99" w:name="_Toc353522394"/>
      <w:bookmarkStart w:id="100" w:name="_Toc351987770"/>
      <w:bookmarkStart w:id="101" w:name="_Toc351988711"/>
      <w:bookmarkStart w:id="102" w:name="_Toc351987966"/>
      <w:bookmarkStart w:id="103" w:name="_Toc351990147"/>
      <w:bookmarkStart w:id="104" w:name="_Toc29070"/>
      <w:bookmarkStart w:id="105" w:name="_Toc369180028"/>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5670"/>
      <w:bookmarkStart w:id="108" w:name="_Toc383439832"/>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3522395"/>
      <w:bookmarkStart w:id="111" w:name="_Toc351990148"/>
      <w:bookmarkStart w:id="112" w:name="_Toc383439833"/>
      <w:bookmarkStart w:id="113" w:name="_Toc357151178"/>
      <w:bookmarkStart w:id="114" w:name="_Toc369180031"/>
      <w:bookmarkStart w:id="115" w:name="_Toc351988712"/>
      <w:bookmarkStart w:id="116" w:name="_Toc758"/>
      <w:bookmarkStart w:id="117" w:name="_Toc351987967"/>
      <w:bookmarkStart w:id="118" w:name="_Toc35198777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2"/>
      <w:bookmarkStart w:id="120" w:name="_Toc383439834"/>
      <w:bookmarkStart w:id="121" w:name="_Toc15279"/>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83439835"/>
      <w:bookmarkStart w:id="123" w:name="_Toc10036"/>
      <w:bookmarkStart w:id="124" w:name="_Toc369180033"/>
      <w:bookmarkStart w:id="125" w:name="_Toc497224214"/>
      <w:bookmarkStart w:id="126" w:name="_Toc503785416"/>
      <w:bookmarkStart w:id="127"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10760"/>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9180035"/>
      <w:bookmarkStart w:id="132" w:name="_Toc32275"/>
      <w:bookmarkStart w:id="133" w:name="_Toc383439837"/>
      <w:bookmarkStart w:id="134"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367780317"/>
      <w:bookmarkStart w:id="137" w:name="_Toc369180036"/>
      <w:bookmarkStart w:id="138" w:name="_Toc9808"/>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83439839"/>
      <w:bookmarkStart w:id="140" w:name="_Toc367780318"/>
      <w:bookmarkStart w:id="141" w:name="_Toc21163"/>
      <w:bookmarkStart w:id="142" w:name="_Toc36918003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26576"/>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3522397"/>
      <w:bookmarkStart w:id="147" w:name="_Toc351988714"/>
      <w:bookmarkStart w:id="148" w:name="_Toc369180039"/>
      <w:bookmarkStart w:id="149" w:name="_Toc357151180"/>
      <w:bookmarkStart w:id="150" w:name="_Toc351987969"/>
      <w:bookmarkStart w:id="151" w:name="_Toc351987773"/>
      <w:bookmarkStart w:id="152" w:name="_Toc383439841"/>
      <w:bookmarkStart w:id="153" w:name="_Toc32114"/>
      <w:bookmarkStart w:id="154" w:name="_Toc351990150"/>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4682"/>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5048"/>
      <w:bookmarkStart w:id="159"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19456"/>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14367"/>
      <w:bookmarkStart w:id="163" w:name="_Toc351987775"/>
      <w:bookmarkStart w:id="164" w:name="_Toc351987971"/>
      <w:bookmarkStart w:id="165" w:name="_Toc357151182"/>
      <w:bookmarkStart w:id="166" w:name="_Toc351988716"/>
      <w:bookmarkStart w:id="167" w:name="_Toc383439845"/>
      <w:bookmarkStart w:id="168" w:name="_Toc351990152"/>
      <w:bookmarkStart w:id="169" w:name="_Toc353522399"/>
      <w:bookmarkStart w:id="170" w:name="_Toc36918004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5324"/>
      <w:bookmarkStart w:id="172" w:name="_Toc383439846"/>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3"/>
      <w:bookmarkStart w:id="175" w:name="_Toc383439847"/>
      <w:bookmarkStart w:id="176" w:name="_Toc15319"/>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69180044"/>
      <w:bookmarkStart w:id="178" w:name="_Toc28401"/>
      <w:bookmarkStart w:id="179"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39020007"/>
      <w:bookmarkStart w:id="183" w:name="_Toc332206700"/>
      <w:bookmarkStart w:id="184" w:name="_Toc340677062"/>
      <w:bookmarkStart w:id="185" w:name="_Toc32414"/>
      <w:bookmarkStart w:id="186" w:name="_Toc336681572"/>
      <w:bookmarkStart w:id="187" w:name="_Toc340672861"/>
      <w:bookmarkStart w:id="188" w:name="_Toc345513859"/>
      <w:bookmarkStart w:id="189" w:name="_Toc331512890"/>
      <w:bookmarkStart w:id="190" w:name="_Toc350438741"/>
      <w:bookmarkStart w:id="191" w:name="_Toc339020087"/>
      <w:bookmarkStart w:id="192" w:name="_Toc333237669"/>
      <w:bookmarkStart w:id="193" w:name="_Toc367095366"/>
      <w:bookmarkStart w:id="194" w:name="_Toc339441079"/>
      <w:bookmarkStart w:id="195" w:name="_Toc369180045"/>
      <w:bookmarkStart w:id="196" w:name="_Toc340507434"/>
      <w:bookmarkStart w:id="197" w:name="_Toc331684030"/>
      <w:bookmarkStart w:id="198" w:name="_Toc383439849"/>
      <w:bookmarkStart w:id="199" w:name="_Toc332270338"/>
      <w:bookmarkStart w:id="200" w:name="_Toc339020225"/>
      <w:bookmarkStart w:id="201" w:name="_Toc366072520"/>
      <w:bookmarkStart w:id="202" w:name="_Toc365967065"/>
      <w:bookmarkStart w:id="203" w:name="_Toc336681927"/>
      <w:bookmarkStart w:id="204" w:name="_Toc339019881"/>
      <w:bookmarkStart w:id="205" w:name="_Toc333935338"/>
      <w:bookmarkStart w:id="206" w:name="_Toc342296752"/>
      <w:bookmarkStart w:id="207" w:name="_Toc337632350"/>
      <w:bookmarkStart w:id="208" w:name="_Toc341348330"/>
      <w:bookmarkStart w:id="209" w:name="_Toc350756442"/>
      <w:bookmarkStart w:id="210" w:name="_Toc365985171"/>
      <w:bookmarkStart w:id="211" w:name="_Toc333237780"/>
      <w:bookmarkStart w:id="212" w:name="_Toc333238625"/>
      <w:bookmarkStart w:id="213" w:name="_Toc349143581"/>
      <w:bookmarkStart w:id="214" w:name="_Toc342060366"/>
      <w:bookmarkStart w:id="215" w:name="_Toc333935679"/>
      <w:bookmarkStart w:id="216" w:name="_Toc349127618"/>
      <w:bookmarkStart w:id="217" w:name="_Toc330459977"/>
      <w:bookmarkStart w:id="218" w:name="_Toc339362292"/>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12185"/>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24949684"/>
      <w:bookmarkStart w:id="223" w:name="_Toc324949788"/>
      <w:bookmarkStart w:id="224" w:name="_Toc327427072"/>
      <w:bookmarkStart w:id="225" w:name="_Toc334450205"/>
      <w:bookmarkStart w:id="226" w:name="_Toc325124271"/>
      <w:bookmarkStart w:id="227" w:name="_Toc124828884"/>
      <w:bookmarkStart w:id="228" w:name="_Toc329242979"/>
      <w:bookmarkStart w:id="229" w:name="_Toc329617508"/>
      <w:bookmarkStart w:id="230" w:name="_Toc341344773"/>
      <w:bookmarkStart w:id="231" w:name="_Toc327427129"/>
      <w:bookmarkStart w:id="232" w:name="_Toc341344848"/>
      <w:bookmarkStart w:id="233" w:name="_Toc327427186"/>
      <w:bookmarkStart w:id="234" w:name="_Toc503785403"/>
      <w:bookmarkStart w:id="235" w:name="_Toc66509198"/>
      <w:bookmarkStart w:id="236" w:name="_Toc497224201"/>
      <w:bookmarkStart w:id="237" w:name="_Toc327449379"/>
      <w:bookmarkStart w:id="238" w:name="_Toc365621772"/>
      <w:bookmarkStart w:id="239" w:name="_Toc367198758"/>
      <w:bookmarkStart w:id="240" w:name="_Toc324949844"/>
      <w:bookmarkStart w:id="241" w:name="_Toc349296349"/>
      <w:bookmarkStart w:id="242" w:name="_Toc365966637"/>
      <w:bookmarkStart w:id="243" w:name="_Toc326343891"/>
      <w:bookmarkStart w:id="244" w:name="_Toc369180030"/>
      <w:bookmarkStart w:id="245" w:name="_Toc11219"/>
      <w:bookmarkStart w:id="246"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15383"/>
      <w:bookmarkStart w:id="249"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9"/>
      <w:bookmarkStart w:id="251" w:name="_Toc383439853"/>
      <w:bookmarkStart w:id="252" w:name="_Toc9506"/>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383439854"/>
      <w:bookmarkStart w:id="255" w:name="_Toc25192"/>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12179"/>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11911"/>
      <w:bookmarkStart w:id="260" w:name="_Toc383439856"/>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83439857"/>
      <w:bookmarkStart w:id="263" w:name="_Toc369180053"/>
      <w:bookmarkStart w:id="264" w:name="_Toc24064"/>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7151185"/>
      <w:bookmarkEnd w:id="265"/>
      <w:bookmarkStart w:id="266" w:name="_Toc351987974"/>
      <w:bookmarkEnd w:id="266"/>
      <w:bookmarkStart w:id="267" w:name="_Toc351988719"/>
      <w:bookmarkEnd w:id="267"/>
      <w:bookmarkStart w:id="268" w:name="_Toc353522402"/>
      <w:bookmarkEnd w:id="268"/>
      <w:bookmarkStart w:id="269" w:name="_Toc351987778"/>
      <w:bookmarkEnd w:id="269"/>
      <w:bookmarkStart w:id="270" w:name="_Toc351990155"/>
      <w:bookmarkEnd w:id="270"/>
      <w:bookmarkStart w:id="271" w:name="_Toc27531"/>
      <w:bookmarkStart w:id="272" w:name="_Toc369180054"/>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19511"/>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7975"/>
      <w:bookmarkStart w:id="277" w:name="_Toc351990156"/>
      <w:bookmarkStart w:id="278" w:name="_Toc353522403"/>
      <w:bookmarkStart w:id="279" w:name="_Toc351988720"/>
      <w:bookmarkStart w:id="280" w:name="_Toc357151186"/>
      <w:bookmarkStart w:id="281" w:name="_Toc351987779"/>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14006"/>
      <w:bookmarkStart w:id="283" w:name="_Toc383439860"/>
      <w:bookmarkStart w:id="284"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369180056"/>
      <w:bookmarkStart w:id="287" w:name="_Toc6242"/>
      <w:bookmarkStart w:id="288" w:name="_Toc366072536"/>
      <w:bookmarkStart w:id="289" w:name="_Toc367095382"/>
      <w:bookmarkStart w:id="290"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8721"/>
      <w:bookmarkStart w:id="292" w:name="_Toc353522404"/>
      <w:bookmarkStart w:id="293" w:name="_Toc357151187"/>
      <w:bookmarkStart w:id="294" w:name="_Toc383439862"/>
      <w:bookmarkStart w:id="295" w:name="_Toc369180057"/>
      <w:bookmarkStart w:id="296" w:name="_Toc351987976"/>
      <w:bookmarkStart w:id="297" w:name="_Toc351990157"/>
      <w:bookmarkStart w:id="298" w:name="_Toc31696"/>
      <w:bookmarkStart w:id="299" w:name="_Toc351987780"/>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13412"/>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3" w:name="_Toc432682726"/>
      <w:bookmarkStart w:id="304" w:name="_Toc11652"/>
      <w:bookmarkStart w:id="305" w:name="_Toc500843104"/>
      <w:bookmarkStart w:id="306" w:name="_Toc430771059"/>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771062"/>
      <w:bookmarkStart w:id="313"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185806"/>
      <w:bookmarkStart w:id="315"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3522405"/>
      <w:bookmarkStart w:id="317" w:name="_Toc357151188"/>
      <w:bookmarkStart w:id="318" w:name="_Toc383439864"/>
      <w:bookmarkStart w:id="319" w:name="_Toc14144"/>
      <w:bookmarkStart w:id="320" w:name="_Toc351987977"/>
      <w:bookmarkStart w:id="321" w:name="_Toc351990158"/>
      <w:bookmarkStart w:id="322" w:name="_Toc369180059"/>
      <w:bookmarkStart w:id="323" w:name="_Toc351987781"/>
      <w:bookmarkStart w:id="324" w:name="_Toc351988722"/>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5913"/>
      <w:bookmarkStart w:id="326" w:name="_Toc369180060"/>
      <w:bookmarkStart w:id="327" w:name="_Toc353522406"/>
      <w:bookmarkStart w:id="328" w:name="_Toc351988723"/>
      <w:bookmarkStart w:id="329" w:name="_Toc351987782"/>
      <w:bookmarkStart w:id="330" w:name="_Toc357151189"/>
      <w:bookmarkStart w:id="331" w:name="_Toc351986198"/>
      <w:bookmarkStart w:id="332" w:name="_Toc351987978"/>
      <w:bookmarkStart w:id="333" w:name="_Toc351986018"/>
      <w:bookmarkStart w:id="334" w:name="_Toc329242721"/>
      <w:bookmarkStart w:id="335" w:name="_Toc383439865"/>
      <w:bookmarkStart w:id="336" w:name="_Toc351990159"/>
      <w:bookmarkStart w:id="337" w:name="_Toc491658678"/>
      <w:bookmarkStart w:id="338" w:name="_Toc24997"/>
      <w:bookmarkStart w:id="339" w:name="_Toc500861025"/>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YXZB-20211203</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阳江市疾病预防控制中心-新冠防护物资采购项目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22235"/>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888" w:type="dxa"/>
            <w:vMerge w:val="continue"/>
            <w:vAlign w:val="center"/>
          </w:tcPr>
          <w:p>
            <w:pPr>
              <w:rPr>
                <w:color w:val="000000" w:themeColor="text1"/>
                <w:highlight w:val="none"/>
                <w14:textFill>
                  <w14:solidFill>
                    <w14:schemeClr w14:val="tx1"/>
                  </w14:solidFill>
                </w14:textFill>
              </w:rPr>
            </w:pPr>
          </w:p>
        </w:tc>
        <w:tc>
          <w:tcPr>
            <w:tcW w:w="1684" w:type="dxa"/>
            <w:vMerge w:val="continue"/>
            <w:vAlign w:val="center"/>
          </w:tcPr>
          <w:p>
            <w:pPr>
              <w:rPr>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供应商</w:t>
            </w:r>
            <w:r>
              <w:rPr>
                <w:rFonts w:hint="eastAsia" w:ascii="宋体" w:hAnsi="宋体"/>
                <w:b w:val="0"/>
                <w:bCs w:val="0"/>
                <w:color w:val="000000" w:themeColor="text1"/>
                <w:szCs w:val="21"/>
                <w:highlight w:val="none"/>
                <w14:textFill>
                  <w14:solidFill>
                    <w14:schemeClr w14:val="tx1"/>
                  </w14:solidFill>
                </w14:textFill>
              </w:rPr>
              <w:t>须是中华人民共和国境内合法注册，能独立承担民事责任并具有相关经营范围的法人或组织</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交货期</w:t>
            </w:r>
            <w:r>
              <w:rPr>
                <w:rFonts w:hint="eastAsia"/>
                <w:color w:val="000000" w:themeColor="text1"/>
                <w:highlight w:val="none"/>
                <w14:textFill>
                  <w14:solidFill>
                    <w14:schemeClr w14:val="tx1"/>
                  </w14:solidFill>
                </w14:textFill>
              </w:rPr>
              <w:t>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0841"/>
      <w:bookmarkStart w:id="347" w:name="_Toc383439867"/>
      <w:bookmarkStart w:id="348" w:name="_Toc342060388"/>
      <w:bookmarkStart w:id="349" w:name="_Toc339019902"/>
      <w:bookmarkStart w:id="350" w:name="_Toc336681948"/>
      <w:bookmarkStart w:id="351" w:name="_Toc339362313"/>
      <w:bookmarkStart w:id="352" w:name="_Toc350438762"/>
      <w:bookmarkStart w:id="353" w:name="_Toc333935700"/>
      <w:bookmarkStart w:id="354" w:name="_Toc333935359"/>
      <w:bookmarkStart w:id="355" w:name="_Toc332206722"/>
      <w:bookmarkStart w:id="356" w:name="_Toc330459999"/>
      <w:bookmarkStart w:id="357" w:name="_Toc350756463"/>
      <w:bookmarkStart w:id="358" w:name="_Toc365985191"/>
      <w:bookmarkStart w:id="359" w:name="_Toc343612933"/>
      <w:bookmarkStart w:id="360" w:name="_Toc333237802"/>
      <w:bookmarkStart w:id="361" w:name="_Toc339441100"/>
      <w:bookmarkStart w:id="362" w:name="_Toc339020028"/>
      <w:bookmarkStart w:id="363" w:name="_Toc340677083"/>
      <w:bookmarkStart w:id="364" w:name="_Toc340672882"/>
      <w:bookmarkStart w:id="365" w:name="_Toc343247113"/>
      <w:bookmarkStart w:id="366" w:name="_Toc343248431"/>
      <w:bookmarkStart w:id="367" w:name="_Toc342296774"/>
      <w:bookmarkStart w:id="368" w:name="_Toc342312456"/>
      <w:bookmarkStart w:id="369" w:name="_Toc336681593"/>
      <w:bookmarkStart w:id="370" w:name="_Toc333237691"/>
      <w:bookmarkStart w:id="371" w:name="_Toc337632371"/>
      <w:bookmarkStart w:id="372" w:name="_Toc366072542"/>
      <w:bookmarkStart w:id="373" w:name="_Toc345312610"/>
      <w:bookmarkStart w:id="374" w:name="_Toc365967085"/>
      <w:bookmarkStart w:id="375" w:name="_Toc331684055"/>
      <w:bookmarkStart w:id="376" w:name="_Toc340507455"/>
      <w:bookmarkStart w:id="377" w:name="_Toc380764125"/>
      <w:bookmarkStart w:id="378" w:name="_Toc332270360"/>
      <w:bookmarkStart w:id="379" w:name="_Toc341348353"/>
      <w:bookmarkStart w:id="380" w:name="_Toc339020108"/>
      <w:bookmarkStart w:id="381" w:name="_Toc339020246"/>
      <w:bookmarkStart w:id="382" w:name="_Toc333238647"/>
      <w:bookmarkStart w:id="383" w:name="_Toc342398143"/>
      <w:bookmarkStart w:id="384" w:name="_Toc331512914"/>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13452"/>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3237692"/>
      <w:bookmarkStart w:id="388" w:name="_Toc340507456"/>
      <w:bookmarkStart w:id="389" w:name="_Toc331684056"/>
      <w:bookmarkStart w:id="390" w:name="_Toc342296775"/>
      <w:bookmarkStart w:id="391" w:name="_Toc332270361"/>
      <w:bookmarkStart w:id="392" w:name="_Toc339020247"/>
      <w:bookmarkStart w:id="393" w:name="_Toc342312457"/>
      <w:bookmarkStart w:id="394" w:name="_Toc340672883"/>
      <w:bookmarkStart w:id="395" w:name="_Toc336681594"/>
      <w:bookmarkStart w:id="396" w:name="_Toc343612934"/>
      <w:bookmarkStart w:id="397" w:name="_Toc336681949"/>
      <w:bookmarkStart w:id="398" w:name="_Toc333238648"/>
      <w:bookmarkStart w:id="399" w:name="_Toc339441101"/>
      <w:bookmarkStart w:id="400" w:name="_Toc333237803"/>
      <w:bookmarkStart w:id="401" w:name="_Toc342398144"/>
      <w:bookmarkStart w:id="402" w:name="_Toc343247114"/>
      <w:bookmarkStart w:id="403" w:name="_Toc345312611"/>
      <w:bookmarkStart w:id="404" w:name="_Toc365967086"/>
      <w:bookmarkStart w:id="405" w:name="_Toc350438763"/>
      <w:bookmarkStart w:id="406" w:name="_Toc330460000"/>
      <w:bookmarkStart w:id="407" w:name="_Toc332206723"/>
      <w:bookmarkStart w:id="408" w:name="_Toc366072543"/>
      <w:bookmarkStart w:id="409" w:name="_Toc341348354"/>
      <w:bookmarkStart w:id="410" w:name="_Toc365985192"/>
      <w:bookmarkStart w:id="411" w:name="_Toc380764126"/>
      <w:bookmarkStart w:id="412" w:name="_Toc339019903"/>
      <w:bookmarkStart w:id="413" w:name="_Toc383439869"/>
      <w:bookmarkStart w:id="414" w:name="_Toc342060389"/>
      <w:bookmarkStart w:id="415" w:name="_Toc333935360"/>
      <w:bookmarkStart w:id="416" w:name="_Toc331512915"/>
      <w:bookmarkStart w:id="417" w:name="_Toc339020109"/>
      <w:bookmarkStart w:id="418" w:name="_Toc28543"/>
      <w:bookmarkStart w:id="419" w:name="_Toc337632372"/>
      <w:bookmarkStart w:id="420" w:name="_Toc333935701"/>
      <w:bookmarkStart w:id="421" w:name="_Toc343248432"/>
      <w:bookmarkStart w:id="422" w:name="_Toc339362314"/>
      <w:bookmarkStart w:id="423" w:name="_Toc340677084"/>
      <w:bookmarkStart w:id="424" w:name="_Toc339020029"/>
      <w:bookmarkStart w:id="425" w:name="_Toc35075646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YXZB-20211203</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2296780"/>
      <w:bookmarkStart w:id="427" w:name="_Toc15185"/>
      <w:bookmarkStart w:id="428" w:name="_Toc339020034"/>
      <w:bookmarkStart w:id="429" w:name="_Toc333935706"/>
      <w:bookmarkStart w:id="430" w:name="_Toc330460005"/>
      <w:bookmarkStart w:id="431" w:name="_Toc336681954"/>
      <w:bookmarkStart w:id="432" w:name="_Toc333935365"/>
      <w:bookmarkStart w:id="433" w:name="_Toc342312462"/>
      <w:bookmarkStart w:id="434" w:name="_Toc342060394"/>
      <w:bookmarkStart w:id="435" w:name="_Toc337632377"/>
      <w:bookmarkStart w:id="436" w:name="_Toc339019908"/>
      <w:bookmarkStart w:id="437" w:name="_Toc333237808"/>
      <w:bookmarkStart w:id="438" w:name="_Toc365985197"/>
      <w:bookmarkStart w:id="439" w:name="_Toc339362319"/>
      <w:bookmarkStart w:id="440" w:name="_Toc343612939"/>
      <w:bookmarkStart w:id="441" w:name="_Toc331512920"/>
      <w:bookmarkStart w:id="442" w:name="_Toc339441106"/>
      <w:bookmarkStart w:id="443" w:name="_Toc383439875"/>
      <w:bookmarkStart w:id="444" w:name="_Toc332270366"/>
      <w:bookmarkStart w:id="445" w:name="_Toc340677089"/>
      <w:bookmarkStart w:id="446" w:name="_Toc343248437"/>
      <w:bookmarkStart w:id="447" w:name="_Toc366072548"/>
      <w:bookmarkStart w:id="448" w:name="_Toc331684061"/>
      <w:bookmarkStart w:id="449" w:name="_Toc340672888"/>
      <w:bookmarkStart w:id="450" w:name="_Toc333237697"/>
      <w:bookmarkStart w:id="451" w:name="_Toc340507461"/>
      <w:bookmarkStart w:id="452" w:name="_Toc365967091"/>
      <w:bookmarkStart w:id="453" w:name="_Toc380764131"/>
      <w:bookmarkStart w:id="454" w:name="_Toc350438768"/>
      <w:bookmarkStart w:id="455" w:name="_Toc341348359"/>
      <w:bookmarkStart w:id="456" w:name="_Toc339020114"/>
      <w:bookmarkStart w:id="457" w:name="_Toc345312616"/>
      <w:bookmarkStart w:id="458" w:name="_Toc339020252"/>
      <w:bookmarkStart w:id="459" w:name="_Toc343247119"/>
      <w:bookmarkStart w:id="460" w:name="_Toc333238653"/>
      <w:bookmarkStart w:id="461" w:name="_Toc350756469"/>
      <w:bookmarkStart w:id="462" w:name="_Toc342398149"/>
      <w:bookmarkStart w:id="463" w:name="_Toc336681599"/>
      <w:bookmarkStart w:id="464" w:name="_Toc332206728"/>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69180069"/>
      <w:bookmarkStart w:id="466" w:name="_Toc357151198"/>
      <w:bookmarkStart w:id="467" w:name="_Toc17230"/>
      <w:bookmarkStart w:id="468" w:name="_Toc353522415"/>
      <w:bookmarkStart w:id="469" w:name="_Toc383439876"/>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69180070"/>
      <w:bookmarkStart w:id="471" w:name="_Toc357151199"/>
      <w:bookmarkStart w:id="472" w:name="_Toc383439877"/>
      <w:bookmarkStart w:id="473" w:name="_Toc1197"/>
      <w:bookmarkStart w:id="474"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YXZB-20211203</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7151200"/>
      <w:bookmarkStart w:id="476" w:name="_Toc8572"/>
      <w:bookmarkStart w:id="477" w:name="_Toc369180071"/>
      <w:bookmarkStart w:id="478" w:name="_Toc383439878"/>
      <w:bookmarkStart w:id="479" w:name="_Toc35352241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69180072"/>
      <w:bookmarkStart w:id="481" w:name="_Toc8571"/>
      <w:bookmarkStart w:id="482" w:name="_Toc353522418"/>
      <w:bookmarkStart w:id="483" w:name="_Toc383439879"/>
      <w:bookmarkStart w:id="484" w:name="_Toc357151201"/>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29359"/>
      <w:bookmarkStart w:id="486" w:name="_Toc369180074"/>
      <w:bookmarkStart w:id="487" w:name="_Toc353522420"/>
      <w:bookmarkStart w:id="488" w:name="_Toc357151203"/>
      <w:bookmarkStart w:id="489" w:name="_Toc383439881"/>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69180075"/>
      <w:bookmarkStart w:id="491" w:name="_Toc353522421"/>
      <w:bookmarkStart w:id="492" w:name="_Toc357151204"/>
      <w:bookmarkStart w:id="493" w:name="_Toc20015"/>
      <w:bookmarkStart w:id="494"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17991"/>
      <w:bookmarkStart w:id="496" w:name="_Toc351987995"/>
      <w:bookmarkStart w:id="497" w:name="_Toc351988740"/>
      <w:bookmarkStart w:id="498" w:name="_Toc329242741"/>
      <w:bookmarkStart w:id="499" w:name="_Toc351990176"/>
      <w:bookmarkStart w:id="500" w:name="_Toc357151206"/>
      <w:bookmarkStart w:id="501" w:name="_Toc353522423"/>
      <w:bookmarkStart w:id="502" w:name="_Toc351985925"/>
      <w:bookmarkStart w:id="503" w:name="_Toc351986210"/>
      <w:bookmarkStart w:id="504" w:name="_Toc351987799"/>
      <w:bookmarkStart w:id="505" w:name="_Toc351986030"/>
      <w:bookmarkStart w:id="506" w:name="_Toc383439884"/>
      <w:bookmarkStart w:id="507" w:name="_Toc369180077"/>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5736"/>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3375"/>
      <w:bookmarkStart w:id="510" w:name="_Toc17700"/>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1987996"/>
      <w:bookmarkStart w:id="513" w:name="_Toc353522424"/>
      <w:bookmarkStart w:id="514" w:name="_Toc102451601"/>
      <w:bookmarkStart w:id="515" w:name="_Toc351985926"/>
      <w:bookmarkStart w:id="516" w:name="_Toc18873"/>
      <w:bookmarkStart w:id="517" w:name="_Toc383439885"/>
      <w:bookmarkStart w:id="518" w:name="_Toc351990177"/>
      <w:bookmarkStart w:id="519" w:name="_Toc351987800"/>
      <w:bookmarkStart w:id="520" w:name="_Toc329242742"/>
      <w:bookmarkStart w:id="521" w:name="_Toc357151207"/>
      <w:bookmarkStart w:id="522" w:name="_Toc351986031"/>
      <w:bookmarkStart w:id="523" w:name="_Toc351988741"/>
      <w:bookmarkStart w:id="524" w:name="_Toc351986211"/>
      <w:bookmarkStart w:id="525" w:name="_Toc369180078"/>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阳江市疾病预防控制中心-新冠防护物资采购项目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YXZB-20211203</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69180079"/>
      <w:bookmarkStart w:id="527" w:name="_Toc351987801"/>
      <w:bookmarkStart w:id="528" w:name="_Toc351986212"/>
      <w:bookmarkStart w:id="529" w:name="_Toc383439886"/>
      <w:bookmarkStart w:id="530" w:name="_Toc351988742"/>
      <w:bookmarkStart w:id="531" w:name="_Toc351987997"/>
      <w:bookmarkStart w:id="532" w:name="_Toc353522425"/>
      <w:bookmarkStart w:id="533" w:name="_Toc357151208"/>
      <w:bookmarkStart w:id="534" w:name="_Toc351985927"/>
      <w:bookmarkStart w:id="535" w:name="_Toc329242743"/>
      <w:bookmarkStart w:id="536" w:name="_Toc351986032"/>
      <w:bookmarkStart w:id="537" w:name="_Toc351990178"/>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2092"/>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29715"/>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41" w:name="_Toc20445"/>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阳江市疾病预防控制中心-新冠防护物资采购项目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YXZB-20211203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45E2FC7"/>
    <w:rsid w:val="055E58F6"/>
    <w:rsid w:val="08143229"/>
    <w:rsid w:val="0AF60C37"/>
    <w:rsid w:val="0B397740"/>
    <w:rsid w:val="0BA927DA"/>
    <w:rsid w:val="0C406A96"/>
    <w:rsid w:val="0F88246C"/>
    <w:rsid w:val="118A41AA"/>
    <w:rsid w:val="138324CA"/>
    <w:rsid w:val="15A84FD3"/>
    <w:rsid w:val="16D61027"/>
    <w:rsid w:val="17530521"/>
    <w:rsid w:val="18373585"/>
    <w:rsid w:val="1A992C60"/>
    <w:rsid w:val="1BB22B60"/>
    <w:rsid w:val="1BC04408"/>
    <w:rsid w:val="1BD3794B"/>
    <w:rsid w:val="1EE951E4"/>
    <w:rsid w:val="1FD96772"/>
    <w:rsid w:val="20F4357C"/>
    <w:rsid w:val="210F4436"/>
    <w:rsid w:val="224D51C1"/>
    <w:rsid w:val="23AA3836"/>
    <w:rsid w:val="24C30857"/>
    <w:rsid w:val="25FD05B0"/>
    <w:rsid w:val="29D75F66"/>
    <w:rsid w:val="2B10784F"/>
    <w:rsid w:val="2BA45E92"/>
    <w:rsid w:val="2C924183"/>
    <w:rsid w:val="2C9F35EF"/>
    <w:rsid w:val="2DD642ED"/>
    <w:rsid w:val="2E462FA4"/>
    <w:rsid w:val="2EAA076E"/>
    <w:rsid w:val="305635E2"/>
    <w:rsid w:val="31944449"/>
    <w:rsid w:val="3256670A"/>
    <w:rsid w:val="335E0F66"/>
    <w:rsid w:val="36474BC8"/>
    <w:rsid w:val="365C0B35"/>
    <w:rsid w:val="3C7B7557"/>
    <w:rsid w:val="3D1A2E2A"/>
    <w:rsid w:val="4379667D"/>
    <w:rsid w:val="440E443B"/>
    <w:rsid w:val="458D15F6"/>
    <w:rsid w:val="46150F1F"/>
    <w:rsid w:val="496E5966"/>
    <w:rsid w:val="4995328C"/>
    <w:rsid w:val="4A632B04"/>
    <w:rsid w:val="4B383EAC"/>
    <w:rsid w:val="4CE85F77"/>
    <w:rsid w:val="4D0F7725"/>
    <w:rsid w:val="4D323794"/>
    <w:rsid w:val="4DB424B7"/>
    <w:rsid w:val="4E957097"/>
    <w:rsid w:val="504453CA"/>
    <w:rsid w:val="5245282C"/>
    <w:rsid w:val="592D12D6"/>
    <w:rsid w:val="5A9A04EA"/>
    <w:rsid w:val="5BD0099F"/>
    <w:rsid w:val="6259440E"/>
    <w:rsid w:val="65DC2F5F"/>
    <w:rsid w:val="661E482A"/>
    <w:rsid w:val="67841197"/>
    <w:rsid w:val="69921B96"/>
    <w:rsid w:val="69AE5FCE"/>
    <w:rsid w:val="6A2452D1"/>
    <w:rsid w:val="6A341C5E"/>
    <w:rsid w:val="6A444DE7"/>
    <w:rsid w:val="6BA23D3B"/>
    <w:rsid w:val="6C9908B1"/>
    <w:rsid w:val="6F8D4EB3"/>
    <w:rsid w:val="74AB019D"/>
    <w:rsid w:val="782E672E"/>
    <w:rsid w:val="7AD522B6"/>
    <w:rsid w:val="7B095F0A"/>
    <w:rsid w:val="7D7D4E61"/>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4</TotalTime>
  <ScaleCrop>false</ScaleCrop>
  <LinksUpToDate>false</LinksUpToDate>
  <CharactersWithSpaces>26918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2021-12-06T09:40:28Z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F4C4D0FADF0B4FC1A23F7296194E70F8</vt:lpwstr>
  </property>
</Properties>
</file>