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7963" w:type="dxa"/>
        <w:jc w:val="center"/>
        <w:tblLayout w:type="fixed"/>
        <w:tblCellMar>
          <w:top w:w="0" w:type="dxa"/>
          <w:left w:w="108" w:type="dxa"/>
          <w:bottom w:w="0" w:type="dxa"/>
          <w:right w:w="108" w:type="dxa"/>
        </w:tblCellMar>
      </w:tblPr>
      <w:tblGrid>
        <w:gridCol w:w="1951"/>
        <w:gridCol w:w="284"/>
        <w:gridCol w:w="5728"/>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28"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YXZB-20211029</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28"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阳江市财政业务数据存储系统维保服务项目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28"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阳江市财政局信息中心</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728"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w:t>
      </w:r>
      <w:r>
        <w:rPr>
          <w:rFonts w:hint="eastAsia" w:hAnsi="宋体"/>
          <w:b/>
          <w:bCs/>
          <w:color w:val="000000" w:themeColor="text1"/>
          <w:sz w:val="24"/>
          <w:szCs w:val="24"/>
          <w:highlight w:val="none"/>
          <w14:textFill>
            <w14:solidFill>
              <w14:schemeClr w14:val="tx1"/>
            </w14:solidFill>
          </w14:textFill>
        </w:rPr>
        <w:t>一年</w:t>
      </w:r>
      <w:r>
        <w:rPr>
          <w:rFonts w:hint="eastAsia" w:hAnsi="宋体"/>
          <w:b/>
          <w:bCs/>
          <w:color w:val="000000" w:themeColor="text1"/>
          <w:sz w:val="24"/>
          <w:szCs w:val="24"/>
          <w:highlight w:val="none"/>
          <w:lang w:val="en-US" w:eastAsia="zh-CN"/>
          <w14:textFill>
            <w14:solidFill>
              <w14:schemeClr w14:val="tx1"/>
            </w14:solidFill>
          </w14:textFill>
        </w:rPr>
        <w:t>十</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hint="eastAsia" w:ascii="宋体" w:hAnsi="宋体"/>
          <w:b/>
          <w:color w:val="000000" w:themeColor="text1"/>
          <w:sz w:val="36"/>
          <w:highlight w:val="none"/>
          <w14:textFill>
            <w14:solidFill>
              <w14:schemeClr w14:val="tx1"/>
            </w14:solidFill>
          </w14:textFill>
        </w:rPr>
      </w:pP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YXZB-20211029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阳江市财政业务数据存储系统维保服务项目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_Toc5885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_Toc8210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_Toc21922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_Toc20544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_Toc32471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_Toc20768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_Toc6108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_Toc30556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_Toc9879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_Toc27233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_Toc30857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_Toc9346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_Toc24684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_Toc28796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_Toc12831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_Toc3690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_Toc4734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_Toc21436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452826425"/>
      <w:bookmarkStart w:id="1" w:name="_Toc4904"/>
      <w:bookmarkStart w:id="2" w:name="_Toc351990145"/>
      <w:bookmarkStart w:id="3" w:name="_Toc351987964"/>
      <w:bookmarkStart w:id="4" w:name="_Toc369180022"/>
      <w:bookmarkStart w:id="5" w:name="_Toc351988709"/>
      <w:bookmarkStart w:id="6" w:name="_Toc353522392"/>
      <w:bookmarkStart w:id="7" w:name="_Toc357151175"/>
      <w:bookmarkStart w:id="8" w:name="_Toc351987768"/>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阳江市财政局信息中心</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阳江市财政业务数据存储系统维保服务项目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投标人须是中华人民共和国境内合法注册，能独立承担民事责任并具相关经营范围的企业法人</w:t>
      </w:r>
      <w:r>
        <w:rPr>
          <w:rFonts w:hint="eastAsia" w:ascii="宋体" w:hAnsi="宋体" w:cs="宋体"/>
          <w:color w:val="000000" w:themeColor="text1"/>
          <w:kern w:val="0"/>
          <w:szCs w:val="21"/>
          <w:highlight w:val="none"/>
          <w14:textFill>
            <w14:solidFill>
              <w14:schemeClr w14:val="tx1"/>
            </w14:solidFill>
          </w14:textFill>
        </w:rPr>
        <w:t>；</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YXZB-20211029</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阳江市财政业务数据存储系统维保服务项目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w:t>
      </w:r>
      <w:r>
        <w:rPr>
          <w:rFonts w:hint="eastAsia" w:ascii="宋体" w:hAnsi="宋体" w:cs="宋体"/>
          <w:bCs/>
          <w:color w:val="000000" w:themeColor="text1"/>
          <w:kern w:val="0"/>
          <w:szCs w:val="21"/>
          <w:highlight w:val="none"/>
          <w:lang w:val="en-US" w:eastAsia="zh-CN"/>
          <w14:textFill>
            <w14:solidFill>
              <w14:schemeClr w14:val="tx1"/>
            </w14:solidFill>
          </w14:textFill>
        </w:rPr>
        <w:t>300000.</w:t>
      </w:r>
      <w:r>
        <w:rPr>
          <w:rFonts w:hint="eastAsia" w:ascii="宋体" w:hAnsi="宋体" w:cs="宋体"/>
          <w:bCs/>
          <w:color w:val="000000" w:themeColor="text1"/>
          <w:kern w:val="0"/>
          <w:szCs w:val="21"/>
          <w:highlight w:val="none"/>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5．服务期：</w:t>
      </w:r>
      <w:r>
        <w:rPr>
          <w:rFonts w:hint="eastAsia" w:ascii="宋体" w:hAnsi="宋体" w:eastAsia="宋体" w:cs="宋体"/>
          <w:color w:val="000000" w:themeColor="text1"/>
          <w:highlight w:val="none"/>
          <w:lang w:val="en-US" w:eastAsia="zh-CN"/>
          <w14:textFill>
            <w14:solidFill>
              <w14:schemeClr w14:val="tx1"/>
            </w14:solidFill>
          </w14:textFill>
        </w:rPr>
        <w:t>合同签订生效之日起2年</w:t>
      </w:r>
      <w:r>
        <w:rPr>
          <w:rFonts w:hint="eastAsia" w:ascii="宋体" w:hAnsi="宋体"/>
          <w:color w:val="000000" w:themeColor="text1"/>
          <w:highlight w:val="none"/>
          <w14:textFill>
            <w14:solidFill>
              <w14:schemeClr w14:val="tx1"/>
            </w14:solidFill>
          </w14:textFill>
        </w:rPr>
        <w:t>（超出该</w:t>
      </w:r>
      <w:r>
        <w:rPr>
          <w:rFonts w:hint="eastAsia" w:ascii="宋体" w:hAnsi="宋体"/>
          <w:color w:val="000000" w:themeColor="text1"/>
          <w:szCs w:val="21"/>
          <w:highlight w:val="none"/>
          <w14:textFill>
            <w14:solidFill>
              <w14:schemeClr w14:val="tx1"/>
            </w14:solidFill>
          </w14:textFill>
        </w:rPr>
        <w:t>服务期</w:t>
      </w:r>
      <w:r>
        <w:rPr>
          <w:rFonts w:hint="eastAsia" w:ascii="宋体" w:hAnsi="宋体"/>
          <w:color w:val="000000" w:themeColor="text1"/>
          <w:highlight w:val="none"/>
          <w14:textFill>
            <w14:solidFill>
              <w14:schemeClr w14:val="tx1"/>
            </w14:solidFill>
          </w14:textFill>
        </w:rPr>
        <w:t>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22</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2021年12月27日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2021年12月22日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2021年12月27日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bookmarkStart w:id="251" w:name="_GoBack"/>
      <w:bookmarkEnd w:id="251"/>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47"/>
          <w:color w:val="000000" w:themeColor="text1"/>
          <w:highlight w:val="none"/>
          <w14:textFill>
            <w14:solidFill>
              <w14:schemeClr w14:val="tx1"/>
            </w14:solidFill>
          </w14:textFill>
        </w:rPr>
        <w:t>http://www.yjcg.cc</w:t>
      </w:r>
      <w:r>
        <w:rPr>
          <w:rStyle w:val="47"/>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7"/>
          <w:rFonts w:hint="eastAsia" w:ascii="宋体" w:hAnsi="宋体"/>
          <w:bCs/>
          <w:color w:val="000000" w:themeColor="text1"/>
          <w:szCs w:val="21"/>
          <w:highlight w:val="none"/>
          <w14:textFill>
            <w14:solidFill>
              <w14:schemeClr w14:val="tx1"/>
            </w14:solidFill>
          </w14:textFill>
        </w:rPr>
        <w:t>政府采购资料</w:t>
      </w:r>
      <w:r>
        <w:rPr>
          <w:rStyle w:val="47"/>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2021年12月29日</w:t>
      </w:r>
      <w:r>
        <w:rPr>
          <w:rFonts w:hint="eastAsia" w:ascii="宋体" w:hAnsi="宋体" w:cs="宋体"/>
          <w:color w:val="000000" w:themeColor="text1"/>
          <w:kern w:val="0"/>
          <w:szCs w:val="21"/>
          <w:highlight w:val="none"/>
          <w14:textFill>
            <w14:solidFill>
              <w14:schemeClr w14:val="tx1"/>
            </w14:solidFill>
          </w14:textFill>
        </w:rPr>
        <w:t>14:30-15:00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2021年12月29日</w:t>
      </w:r>
      <w:r>
        <w:rPr>
          <w:rFonts w:hint="eastAsia" w:ascii="宋体" w:hAnsi="宋体" w:cs="宋体"/>
          <w:color w:val="000000" w:themeColor="text1"/>
          <w:kern w:val="0"/>
          <w:szCs w:val="21"/>
          <w:highlight w:val="none"/>
          <w14:textFill>
            <w14:solidFill>
              <w14:schemeClr w14:val="tx1"/>
            </w14:solidFill>
          </w14:textFill>
        </w:rPr>
        <w:t xml:space="preserve">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2021年12月29日</w:t>
      </w:r>
      <w:r>
        <w:rPr>
          <w:rFonts w:hint="eastAsia" w:ascii="宋体" w:hAnsi="宋体" w:cs="宋体"/>
          <w:color w:val="000000" w:themeColor="text1"/>
          <w:kern w:val="0"/>
          <w:szCs w:val="21"/>
          <w:highlight w:val="none"/>
          <w14:textFill>
            <w14:solidFill>
              <w14:schemeClr w14:val="tx1"/>
            </w14:solidFill>
          </w14:textFill>
        </w:rPr>
        <w:t>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阳江市财政局信息中心</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黄理番</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联系电话：0662</w:t>
      </w:r>
      <w:r>
        <w:rPr>
          <w:rFonts w:hint="default" w:ascii="宋体" w:hAnsi="宋体"/>
          <w:color w:val="000000" w:themeColor="text1"/>
          <w:szCs w:val="21"/>
          <w:highlight w:val="none"/>
          <w:lang w:val="en-US"/>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3419066</w:t>
      </w:r>
    </w:p>
    <w:p>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阳江市江城区石湾北路225号</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7151163"/>
      <w:bookmarkStart w:id="10" w:name="_Toc351990140"/>
      <w:bookmarkStart w:id="11" w:name="_Toc351986193"/>
      <w:bookmarkStart w:id="12" w:name="_Toc369180017"/>
      <w:bookmarkStart w:id="13" w:name="_Toc351987763"/>
      <w:bookmarkStart w:id="14" w:name="_Toc329242667"/>
      <w:bookmarkStart w:id="15" w:name="_Toc353522387"/>
      <w:bookmarkStart w:id="16" w:name="_Toc351987959"/>
      <w:bookmarkStart w:id="17" w:name="_Toc351988704"/>
      <w:bookmarkStart w:id="18" w:name="_Toc351985908"/>
      <w:bookmarkStart w:id="19" w:name="_Toc351986013"/>
    </w:p>
    <w:p>
      <w:pPr>
        <w:spacing w:line="360" w:lineRule="auto"/>
        <w:ind w:firstLine="3255" w:firstLineChars="15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3255" w:firstLineChars="15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22</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452826426"/>
      <w:bookmarkStart w:id="21" w:name="_Toc25868"/>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452826427"/>
      <w:bookmarkStart w:id="24" w:name="_Toc353522388"/>
      <w:bookmarkStart w:id="25" w:name="_Toc329242668"/>
      <w:bookmarkStart w:id="26" w:name="_Toc351990141"/>
      <w:bookmarkStart w:id="27" w:name="_Toc369180018"/>
      <w:bookmarkStart w:id="28" w:name="_Toc351987764"/>
      <w:bookmarkStart w:id="29" w:name="_Toc357151164"/>
      <w:bookmarkStart w:id="30" w:name="_Toc351986194"/>
      <w:bookmarkStart w:id="31" w:name="_Toc351988705"/>
      <w:bookmarkStart w:id="32" w:name="_Toc351986014"/>
      <w:bookmarkStart w:id="33" w:name="_Toc351985909"/>
      <w:bookmarkStart w:id="34" w:name="_Toc351987960"/>
      <w:bookmarkStart w:id="35" w:name="_Toc19254"/>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YXZB-20211029</w:t>
      </w:r>
      <w:bookmarkEnd w:id="35"/>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87765"/>
      <w:bookmarkStart w:id="37" w:name="_Toc369180019"/>
      <w:bookmarkStart w:id="38" w:name="_Toc351985910"/>
      <w:bookmarkStart w:id="39" w:name="_Toc351987961"/>
      <w:bookmarkStart w:id="40" w:name="_Toc351986195"/>
      <w:bookmarkStart w:id="41" w:name="_Toc351988706"/>
      <w:bookmarkStart w:id="42" w:name="_Toc353522389"/>
      <w:bookmarkStart w:id="43" w:name="_Toc329242669"/>
      <w:bookmarkStart w:id="44" w:name="_Toc351990142"/>
      <w:bookmarkStart w:id="45" w:name="_Toc357151165"/>
      <w:bookmarkStart w:id="46" w:name="_Toc351986015"/>
      <w:bookmarkStart w:id="47" w:name="_Toc452826428"/>
      <w:bookmarkStart w:id="48" w:name="_Toc5099"/>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阳江市财政业务数据存储系统维保服务项目</w:t>
      </w:r>
      <w:bookmarkEnd w:id="48"/>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452826429"/>
      <w:bookmarkStart w:id="50" w:name="_Toc353522390"/>
      <w:bookmarkStart w:id="51" w:name="_Toc351986016"/>
      <w:bookmarkStart w:id="52" w:name="_Toc369180020"/>
      <w:bookmarkStart w:id="53" w:name="_Toc329242670"/>
      <w:bookmarkStart w:id="54" w:name="_Toc351987766"/>
      <w:bookmarkStart w:id="55" w:name="_Toc351990143"/>
      <w:bookmarkStart w:id="56" w:name="_Toc351988707"/>
      <w:bookmarkStart w:id="57" w:name="_Toc357151166"/>
      <w:bookmarkStart w:id="58" w:name="_Toc351986196"/>
      <w:bookmarkStart w:id="59" w:name="_Toc23583"/>
      <w:bookmarkStart w:id="60" w:name="_Toc351987962"/>
      <w:bookmarkStart w:id="61" w:name="_Toc351985911"/>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w:t>
            </w:r>
            <w:r>
              <w:rPr>
                <w:rFonts w:hint="eastAsia"/>
                <w:color w:val="000000" w:themeColor="text1"/>
                <w:highlight w:val="none"/>
                <w:lang w:val="en-US" w:eastAsia="zh-CN"/>
                <w14:textFill>
                  <w14:solidFill>
                    <w14:schemeClr w14:val="tx1"/>
                  </w14:solidFill>
                </w14:textFill>
              </w:rPr>
              <w:t>分</w:t>
            </w:r>
            <w:r>
              <w:rPr>
                <w:rFonts w:hint="eastAsia"/>
                <w:color w:val="000000" w:themeColor="text1"/>
                <w:highlight w:val="none"/>
                <w14:textFill>
                  <w14:solidFill>
                    <w14:schemeClr w14:val="tx1"/>
                  </w14:solidFill>
                </w14:textFill>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w:t>
            </w:r>
            <w:r>
              <w:rPr>
                <w:rFonts w:hint="eastAsia"/>
                <w:color w:val="000000" w:themeColor="text1"/>
                <w:highlight w:val="none"/>
                <w:lang w:val="en-US" w:eastAsia="zh-CN"/>
                <w14:textFill>
                  <w14:solidFill>
                    <w14:schemeClr w14:val="tx1"/>
                  </w14:solidFill>
                </w14:textFill>
              </w:rPr>
              <w:t>分</w:t>
            </w:r>
            <w:r>
              <w:rPr>
                <w:rFonts w:hint="eastAsia"/>
                <w:color w:val="000000" w:themeColor="text1"/>
                <w:highlight w:val="none"/>
                <w14:textFill>
                  <w14:solidFill>
                    <w14:schemeClr w14:val="tx1"/>
                  </w14:solidFill>
                </w14:textFill>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报价应当包括但不限制于价格、标准附件、运输、缴税、售后服务、调试验收合格等所需的各种费用。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采购合同由成交供应商与采购人双方签订，签订时间为《成交通知书》发出之日起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历日</w:t>
            </w:r>
            <w:r>
              <w:rPr>
                <w:rFonts w:hint="eastAsia" w:ascii="宋体" w:hAnsi="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合同签订后20个工作日内支付合同总金额的80%，维保服务期满后20个工作日内支付合同总金额20%。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叁</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w:t>
            </w:r>
            <w:r>
              <w:rPr>
                <w:rFonts w:hint="eastAsia" w:ascii="宋体" w:hAnsi="宋体"/>
                <w:color w:val="000000" w:themeColor="text1"/>
                <w:szCs w:val="21"/>
                <w:highlight w:val="none"/>
                <w:lang w:val="en-US" w:eastAsia="zh-CN"/>
                <w14:textFill>
                  <w14:solidFill>
                    <w14:schemeClr w14:val="tx1"/>
                  </w14:solidFill>
                </w14:textFill>
              </w:rPr>
              <w:t>伍</w:t>
            </w:r>
            <w:r>
              <w:rPr>
                <w:rFonts w:hint="eastAsia" w:ascii="宋体" w:hAnsi="宋体"/>
                <w:color w:val="000000" w:themeColor="text1"/>
                <w:szCs w:val="21"/>
                <w:highlight w:val="none"/>
                <w14:textFill>
                  <w14:solidFill>
                    <w14:schemeClr w14:val="tx1"/>
                  </w14:solidFill>
                </w14:textFill>
              </w:rPr>
              <w:t>仟</w:t>
            </w:r>
            <w:r>
              <w:rPr>
                <w:rFonts w:hint="eastAsia" w:ascii="宋体" w:hAnsi="宋体"/>
                <w:color w:val="000000" w:themeColor="text1"/>
                <w:szCs w:val="21"/>
                <w:highlight w:val="none"/>
                <w:lang w:val="en-US" w:eastAsia="zh-CN"/>
                <w14:textFill>
                  <w14:solidFill>
                    <w14:schemeClr w14:val="tx1"/>
                  </w14:solidFill>
                </w14:textFill>
              </w:rPr>
              <w:t>伍佰</w:t>
            </w:r>
            <w:r>
              <w:rPr>
                <w:rFonts w:hint="eastAsia" w:ascii="宋体" w:hAnsi="宋体"/>
                <w:color w:val="000000" w:themeColor="text1"/>
                <w:szCs w:val="21"/>
                <w:highlight w:val="none"/>
                <w14:textFill>
                  <w14:solidFill>
                    <w14:schemeClr w14:val="tx1"/>
                  </w14:solidFill>
                </w14:textFill>
              </w:rPr>
              <w:t>元整（￥</w:t>
            </w:r>
            <w:r>
              <w:rPr>
                <w:rFonts w:hint="eastAsia" w:ascii="宋体" w:hAnsi="宋体"/>
                <w:color w:val="000000" w:themeColor="text1"/>
                <w:szCs w:val="21"/>
                <w:highlight w:val="none"/>
                <w:lang w:val="en-US" w:eastAsia="zh-CN"/>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1987963"/>
      <w:bookmarkStart w:id="63" w:name="_Toc357151167"/>
      <w:bookmarkStart w:id="64" w:name="_Toc351987767"/>
      <w:bookmarkStart w:id="65" w:name="_Toc351988708"/>
      <w:bookmarkStart w:id="66" w:name="_Toc353522391"/>
      <w:bookmarkStart w:id="67" w:name="_Toc351985912"/>
      <w:bookmarkStart w:id="68" w:name="_Toc369180021"/>
      <w:bookmarkStart w:id="69" w:name="_Toc452826430"/>
      <w:bookmarkStart w:id="70" w:name="_Toc351986197"/>
      <w:bookmarkStart w:id="71" w:name="_Toc329242671"/>
      <w:bookmarkStart w:id="72" w:name="_Toc351986017"/>
      <w:bookmarkStart w:id="73" w:name="_Toc351990144"/>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8377"/>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pStyle w:val="2"/>
        <w:numPr>
          <w:ilvl w:val="0"/>
          <w:numId w:val="0"/>
        </w:numPr>
        <w:spacing w:line="360" w:lineRule="auto"/>
        <w:ind w:leftChars="0"/>
        <w:rPr>
          <w:rFonts w:hint="eastAsia" w:ascii="宋体" w:hAnsi="宋体" w:eastAsia="宋体" w:cs="宋体"/>
          <w:b/>
          <w:bCs/>
          <w:i w:val="0"/>
          <w:iCs w:val="0"/>
          <w:color w:val="000000" w:themeColor="text1"/>
          <w:kern w:val="2"/>
          <w:sz w:val="21"/>
          <w:szCs w:val="21"/>
          <w:highlight w:val="none"/>
          <w14:textFill>
            <w14:solidFill>
              <w14:schemeClr w14:val="tx1"/>
            </w14:solidFill>
          </w14:textFill>
        </w:rPr>
      </w:pPr>
      <w:r>
        <w:rPr>
          <w:rFonts w:hint="eastAsia" w:hAnsi="宋体" w:eastAsia="宋体" w:cs="宋体"/>
          <w:b/>
          <w:bCs/>
          <w:i w:val="0"/>
          <w:iCs w:val="0"/>
          <w:color w:val="000000" w:themeColor="text1"/>
          <w:kern w:val="2"/>
          <w:sz w:val="21"/>
          <w:szCs w:val="21"/>
          <w:highlight w:val="none"/>
          <w:lang w:val="en-US" w:eastAsia="zh-CN"/>
          <w14:textFill>
            <w14:solidFill>
              <w14:schemeClr w14:val="tx1"/>
            </w14:solidFill>
          </w14:textFill>
        </w:rPr>
        <w:t>一、</w:t>
      </w:r>
      <w:r>
        <w:rPr>
          <w:rFonts w:hint="eastAsia" w:ascii="宋体" w:hAnsi="宋体" w:eastAsia="宋体" w:cs="宋体"/>
          <w:b/>
          <w:bCs/>
          <w:i w:val="0"/>
          <w:iCs w:val="0"/>
          <w:color w:val="000000" w:themeColor="text1"/>
          <w:kern w:val="2"/>
          <w:sz w:val="21"/>
          <w:szCs w:val="21"/>
          <w:highlight w:val="none"/>
          <w14:textFill>
            <w14:solidFill>
              <w14:schemeClr w14:val="tx1"/>
            </w14:solidFill>
          </w14:textFill>
        </w:rPr>
        <w:t>运维服务设备及系统一览表</w:t>
      </w:r>
    </w:p>
    <w:tbl>
      <w:tblPr>
        <w:tblStyle w:val="42"/>
        <w:tblW w:w="9226" w:type="dxa"/>
        <w:tblInd w:w="113" w:type="dxa"/>
        <w:tblLayout w:type="autofit"/>
        <w:tblCellMar>
          <w:top w:w="0" w:type="dxa"/>
          <w:left w:w="108" w:type="dxa"/>
          <w:bottom w:w="0" w:type="dxa"/>
          <w:right w:w="108" w:type="dxa"/>
        </w:tblCellMar>
      </w:tblPr>
      <w:tblGrid>
        <w:gridCol w:w="960"/>
        <w:gridCol w:w="5690"/>
        <w:gridCol w:w="1190"/>
        <w:gridCol w:w="1386"/>
      </w:tblGrid>
      <w:tr>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序号</w:t>
            </w:r>
          </w:p>
        </w:tc>
        <w:tc>
          <w:tcPr>
            <w:tcW w:w="56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项目名称</w:t>
            </w:r>
          </w:p>
        </w:tc>
        <w:tc>
          <w:tcPr>
            <w:tcW w:w="11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数量</w:t>
            </w:r>
          </w:p>
        </w:tc>
        <w:tc>
          <w:tcPr>
            <w:tcW w:w="13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维保期</w:t>
            </w:r>
          </w:p>
        </w:tc>
      </w:tr>
      <w:tr>
        <w:tblPrEx>
          <w:tblCellMar>
            <w:top w:w="0" w:type="dxa"/>
            <w:left w:w="108" w:type="dxa"/>
            <w:bottom w:w="0" w:type="dxa"/>
            <w:right w:w="108" w:type="dxa"/>
          </w:tblCellMar>
        </w:tblPrEx>
        <w:trPr>
          <w:trHeight w:val="62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IBM  P740小型机及操作系统AIX</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2台</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62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HP rx2660小型机及操作系统HPUnix</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2台</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936"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3</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联想ThinkServer SR650服务器及操作系统Linux</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2台</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4</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Aix-ORACLE 10G</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2套</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5</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HPUnix-ORACLE 10G</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2套</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6</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Linux-ORACLE 11G</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2套</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62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7</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HP P2000存储设备软硬件维保服务</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1套</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62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8</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IBM System Storage DS5020 1814-20A</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1套</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62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9</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宏杉存储MS3000软硬件维保服务</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1套</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426"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10</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宏杉DSU2625磁盘阵列</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1套</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708"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11</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本存储系统其他辅助性零部件（光纤链路，光纤模块等）</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1批</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659"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12</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备件储备</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1批</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2年</w:t>
            </w:r>
          </w:p>
        </w:tc>
      </w:tr>
      <w:tr>
        <w:tblPrEx>
          <w:tblCellMar>
            <w:top w:w="0" w:type="dxa"/>
            <w:left w:w="108" w:type="dxa"/>
            <w:bottom w:w="0" w:type="dxa"/>
            <w:right w:w="108" w:type="dxa"/>
          </w:tblCellMar>
        </w:tblPrEx>
        <w:trPr>
          <w:trHeight w:val="76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13</w:t>
            </w:r>
          </w:p>
        </w:tc>
        <w:tc>
          <w:tcPr>
            <w:tcW w:w="56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培训服务</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　</w:t>
            </w:r>
          </w:p>
        </w:tc>
        <w:tc>
          <w:tcPr>
            <w:tcW w:w="138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14:textFill>
                  <w14:solidFill>
                    <w14:schemeClr w14:val="tx1"/>
                  </w14:solidFill>
                </w14:textFill>
              </w:rPr>
              <w:t>每年2人8天技术培训</w:t>
            </w:r>
          </w:p>
        </w:tc>
      </w:tr>
    </w:tbl>
    <w:p>
      <w:pPr>
        <w:spacing w:line="360" w:lineRule="auto"/>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i w:val="0"/>
          <w:iCs w:val="0"/>
          <w:color w:val="000000" w:themeColor="text1"/>
          <w:sz w:val="21"/>
          <w:szCs w:val="21"/>
          <w:highlight w:val="none"/>
          <w14:textFill>
            <w14:solidFill>
              <w14:schemeClr w14:val="tx1"/>
            </w14:solidFill>
          </w14:textFill>
        </w:rPr>
        <w:t>数据库运维服务</w:t>
      </w:r>
    </w:p>
    <w:p>
      <w:pPr>
        <w:spacing w:line="360" w:lineRule="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提供每月一次的健康巡检，包括：系统和数据库的可用性、完整性的检查；系统、数据库和应用性能的检查；系统的结构、恢复步骤、安装、安全扫描等相关问题的检查；对系统错误日志检查与分析，根据Oracle的报错信息，发现系统潜在问题，尽早采取措施，排除故障隐患和安全漏洞。要求巡检人员必须是拥有OCM或OCP资质认证人员，巡检后提交完整的检查报告。</w:t>
      </w:r>
    </w:p>
    <w:p>
      <w:pPr>
        <w:spacing w:line="360" w:lineRule="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针对数据库文件分布的变化情况提出建议，以及根据应用压力的变化，评测应用的性能，评估系统中存在或潜在的问题，并及时提交系统性能优化调整建议方案，保证数据库的高效运行。通过合理分配计算机的资源(如内存、CPU、磁盘等)、调整系统运行参数来改进性能的过程,包括调整CPU参数、服务器内存分配、硬盘I/O、操作系统参数等几个部分。CPU使用率出现异常时要迅速找出原因,及时调整系统参数或提出优化SQL语句建议;内存参数的调整包括库缓冲区、数据字典缓冲区和缓冲区高速缓存的调整;使所有可用的磁盘均匀地平衡I/O,以减少磁盘存取的时间影响磁盘I/O性能;操作系统的调整要尽可能使ORACLE服务器使用资源最大化。</w:t>
      </w:r>
    </w:p>
    <w:p>
      <w:pPr>
        <w:spacing w:line="360" w:lineRule="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现场技术支持，包括Oracle数据库紧急救援服务。如出现故障，导致数据库不能正常工作，服务方须尽快安排工程师到现场解决问题并保证问题完全解决。服务方在接到现场系统维护请求后应即时响应，对宕机或紧急恢复等严重问题，应在4小时内到达现场。服务期内提供不限次的紧急救援服务。</w:t>
      </w:r>
    </w:p>
    <w:p>
      <w:pPr>
        <w:spacing w:line="360" w:lineRule="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为了保证数据库系统的7×24不间断安全运行，除了加强数据库系统本身的安全外，服务方还须对业务系统数据进行保护,并且有详细的维护方案。保障Oracle数据库在各种紧急情况下，如数据库错误、数据丢失、数据库系统崩溃之后的灾难恢复，在充分利用目前的软硬件资源的情况下，制定数据库备份、恢复和测试方案，提供数据备份、恢复操作及校验工作，在出现数据故障时用最合理的方式、最短的时间恢复系统数据，保证业务数据完整性和安全性。</w:t>
      </w:r>
    </w:p>
    <w:p>
      <w:pPr>
        <w:spacing w:line="360" w:lineRule="auto"/>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cs="宋体"/>
          <w:b/>
          <w:i w:val="0"/>
          <w:i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i w:val="0"/>
          <w:iCs w:val="0"/>
          <w:color w:val="000000" w:themeColor="text1"/>
          <w:sz w:val="21"/>
          <w:szCs w:val="21"/>
          <w:highlight w:val="none"/>
          <w14:textFill>
            <w14:solidFill>
              <w14:schemeClr w14:val="tx1"/>
            </w14:solidFill>
          </w14:textFill>
        </w:rPr>
        <w:t>、服务器及存储设备维护</w:t>
      </w:r>
    </w:p>
    <w:p>
      <w:pPr>
        <w:spacing w:line="360" w:lineRule="auto"/>
        <w:ind w:firstLine="57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健康巡检：制定年度预防性维护计划，提供每月一次的预防性维护，对小型机系统及存储设备的运行状况、安全性等进行健康检查。包括硬件设备的检查、清尘、调整和坏件更换，运行环境、网络环境、硬件配置的检查，以及对操作系统日志的检查和分析，根据系统的报错信息，发现系统潜在问题，尽早采取措施，排除故障隐患和安全漏洞，操作系统的优化和系统数据备份，漏洞扫描、检测和修复，双机系统模拟故障测试等。针对不合理部分进行整改，并做好巡检详细记录。对服务器原厂商提供的升级包和补丁，要给出处理意见，既要保证系统的安全运行，又不可以影响数据库管理系统和其他应用系统的正常运行，确实需要打补丁的，服务提供方负责安装，安装前后需要做系统全备。要求巡检人员必须是拥有相关服务器厂商认证，巡检后提交完整的检查报告。</w:t>
      </w:r>
    </w:p>
    <w:p>
      <w:pPr>
        <w:spacing w:line="360" w:lineRule="auto"/>
        <w:ind w:firstLine="57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系统规划：提供系统运行期间的系统扩充及功能更新服务。针对系统运行的实际情况，通过合理的分析，提出系统扩充和升级计划，保证系统能够满足不断增长的业务应用需求。</w:t>
      </w:r>
    </w:p>
    <w:p>
      <w:pPr>
        <w:spacing w:line="360" w:lineRule="auto"/>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cs="宋体"/>
          <w:b/>
          <w:i w:val="0"/>
          <w:iCs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i w:val="0"/>
          <w:iCs w:val="0"/>
          <w:color w:val="000000" w:themeColor="text1"/>
          <w:sz w:val="21"/>
          <w:szCs w:val="21"/>
          <w:highlight w:val="none"/>
          <w14:textFill>
            <w14:solidFill>
              <w14:schemeClr w14:val="tx1"/>
            </w14:solidFill>
          </w14:textFill>
        </w:rPr>
        <w:t>、SAN交换机的日常维护</w:t>
      </w:r>
    </w:p>
    <w:p>
      <w:pPr>
        <w:spacing w:line="360" w:lineRule="auto"/>
        <w:ind w:firstLine="57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1、定时检查SAN系统的运行情况，消除可能出现问题的隐患，并形成检查报告，发现问题及时解决；</w:t>
      </w:r>
    </w:p>
    <w:p>
      <w:pPr>
        <w:spacing w:line="360" w:lineRule="auto"/>
        <w:ind w:firstLine="57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2、系统出现重大问题的时候，要及时处理，关键时期，故障响应时间不能超过1小时，系统非正常的停机时间不能超过2小时；其他时候故障响应时间不超过4小时，系统非正常的停机时间不能超过8小时；</w:t>
      </w:r>
    </w:p>
    <w:p>
      <w:pPr>
        <w:spacing w:line="360" w:lineRule="auto"/>
        <w:ind w:firstLine="57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3、协助采购人管理设备，包括端口使用分配、参数配置等。</w:t>
      </w:r>
    </w:p>
    <w:p>
      <w:pPr>
        <w:spacing w:line="360" w:lineRule="auto"/>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cs="宋体"/>
          <w:b/>
          <w:i w:val="0"/>
          <w:iCs w:val="0"/>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i w:val="0"/>
          <w:iCs w:val="0"/>
          <w:color w:val="000000" w:themeColor="text1"/>
          <w:sz w:val="21"/>
          <w:szCs w:val="21"/>
          <w:highlight w:val="none"/>
          <w14:textFill>
            <w14:solidFill>
              <w14:schemeClr w14:val="tx1"/>
            </w14:solidFill>
          </w14:textFill>
        </w:rPr>
        <w:t>、故障处理</w:t>
      </w:r>
    </w:p>
    <w:p>
      <w:pPr>
        <w:spacing w:line="360" w:lineRule="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w:t>
      </w:r>
      <w:r>
        <w:rPr>
          <w:rFonts w:hint="eastAsia" w:ascii="宋体" w:hAnsi="宋体" w:eastAsia="宋体" w:cs="宋体"/>
          <w:b/>
          <w:i w:val="0"/>
          <w:iCs w:val="0"/>
          <w:color w:val="000000" w:themeColor="text1"/>
          <w:sz w:val="21"/>
          <w:szCs w:val="21"/>
          <w:highlight w:val="none"/>
          <w14:textFill>
            <w14:solidFill>
              <w14:schemeClr w14:val="tx1"/>
            </w14:solidFill>
          </w14:textFill>
        </w:rPr>
        <w:t>系统故障诊断及检修：</w:t>
      </w:r>
      <w:r>
        <w:rPr>
          <w:rFonts w:hint="eastAsia" w:ascii="宋体" w:hAnsi="宋体" w:eastAsia="宋体" w:cs="宋体"/>
          <w:i w:val="0"/>
          <w:iCs w:val="0"/>
          <w:color w:val="000000" w:themeColor="text1"/>
          <w:sz w:val="21"/>
          <w:szCs w:val="21"/>
          <w:highlight w:val="none"/>
          <w14:textFill>
            <w14:solidFill>
              <w14:schemeClr w14:val="tx1"/>
            </w14:solidFill>
          </w14:textFill>
        </w:rPr>
        <w:t>当系统出现问题时，服务方必须及时对问题进行诊断、分析、修复及灾难恢复，并解决问题。如果是紧急故障，导致系统无法工作，业务停止运行的情况下，要求服务方技术人员在4小时内到故障现场，设备故障解决时限为6小时。</w:t>
      </w:r>
    </w:p>
    <w:p>
      <w:pPr>
        <w:spacing w:line="360" w:lineRule="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w:t>
      </w:r>
      <w:r>
        <w:rPr>
          <w:rFonts w:hint="eastAsia" w:ascii="宋体" w:hAnsi="宋体" w:eastAsia="宋体" w:cs="宋体"/>
          <w:b/>
          <w:i w:val="0"/>
          <w:iCs w:val="0"/>
          <w:color w:val="000000" w:themeColor="text1"/>
          <w:sz w:val="21"/>
          <w:szCs w:val="21"/>
          <w:highlight w:val="none"/>
          <w14:textFill>
            <w14:solidFill>
              <w14:schemeClr w14:val="tx1"/>
            </w14:solidFill>
          </w14:textFill>
        </w:rPr>
        <w:t>备件保修和更换：</w:t>
      </w:r>
      <w:r>
        <w:rPr>
          <w:rFonts w:hint="eastAsia" w:ascii="宋体" w:hAnsi="宋体" w:eastAsia="宋体" w:cs="宋体"/>
          <w:i w:val="0"/>
          <w:iCs w:val="0"/>
          <w:color w:val="000000" w:themeColor="text1"/>
          <w:sz w:val="21"/>
          <w:szCs w:val="21"/>
          <w:highlight w:val="none"/>
          <w14:textFill>
            <w14:solidFill>
              <w14:schemeClr w14:val="tx1"/>
            </w14:solidFill>
          </w14:textFill>
        </w:rPr>
        <w:t>服务方要具有充足的备件（尤其是CPU、内存、主板、电源、硬盘等），对维护范围内所有硬件设备的故障部件均给予无条件免费更换，所提供的更换备件必须原厂原件，且是相对应主机型号备件。若故障发生后，经确定二十四小时内不能恢复故障设备，必须提供性能不低于故障设备的备机替换使用，并且备机系统能够正常接管生产机的工作，恢复业务系统运行。</w:t>
      </w:r>
    </w:p>
    <w:p>
      <w:pPr>
        <w:spacing w:line="360" w:lineRule="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w:t>
      </w:r>
      <w:r>
        <w:rPr>
          <w:rFonts w:hint="eastAsia" w:ascii="宋体" w:hAnsi="宋体" w:eastAsia="宋体" w:cs="宋体"/>
          <w:b/>
          <w:i w:val="0"/>
          <w:iCs w:val="0"/>
          <w:color w:val="000000" w:themeColor="text1"/>
          <w:sz w:val="21"/>
          <w:szCs w:val="21"/>
          <w:highlight w:val="none"/>
          <w14:textFill>
            <w14:solidFill>
              <w14:schemeClr w14:val="tx1"/>
            </w14:solidFill>
          </w14:textFill>
        </w:rPr>
        <w:t>现场值守服务：</w:t>
      </w:r>
      <w:r>
        <w:rPr>
          <w:rFonts w:hint="eastAsia" w:ascii="宋体" w:hAnsi="宋体" w:eastAsia="宋体" w:cs="宋体"/>
          <w:i w:val="0"/>
          <w:iCs w:val="0"/>
          <w:color w:val="000000" w:themeColor="text1"/>
          <w:sz w:val="21"/>
          <w:szCs w:val="21"/>
          <w:highlight w:val="none"/>
          <w14:textFill>
            <w14:solidFill>
              <w14:schemeClr w14:val="tx1"/>
            </w14:solidFill>
          </w14:textFill>
        </w:rPr>
        <w:t>在特定时段因为业务系统需要现场监控的，服务方须提供技术人员现场值守服务。</w:t>
      </w:r>
    </w:p>
    <w:p>
      <w:pPr>
        <w:spacing w:line="360" w:lineRule="auto"/>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w:t>
      </w:r>
      <w:r>
        <w:rPr>
          <w:rFonts w:hint="eastAsia" w:ascii="宋体" w:hAnsi="宋体" w:eastAsia="宋体" w:cs="宋体"/>
          <w:b/>
          <w:i w:val="0"/>
          <w:iCs w:val="0"/>
          <w:color w:val="000000" w:themeColor="text1"/>
          <w:sz w:val="21"/>
          <w:szCs w:val="21"/>
          <w:highlight w:val="none"/>
          <w14:textFill>
            <w14:solidFill>
              <w14:schemeClr w14:val="tx1"/>
            </w14:solidFill>
          </w14:textFill>
        </w:rPr>
        <w:t>备件库要求</w:t>
      </w:r>
    </w:p>
    <w:p>
      <w:pPr>
        <w:spacing w:line="360" w:lineRule="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服务方必须在广东省内对本次项目采购的设备清单建立备件库，以保证采购人的维保设备能不间断运行。具有充足备件储备，所提供的更换备件必须原厂原件并完全适合设备，具有快速的备件与服务响应，主要设备的核心备件和可选配件，对于高危或存在单点故障的设备或零配件，需要有备件进场。一旦出现故障时或当设备出现零件损坏时，服务方要按规定时间内到达现场提供更换备件服务，尽快恢复设备运行。如果在规定时间内不能恢复，服务方必须提供性能不低于故障设备的备机进行替换。服务方须注明备件存放地点，确保备件存放数量，以备采购人随时检查，服务方不得以任何借口不存备件。</w:t>
      </w:r>
    </w:p>
    <w:p>
      <w:pPr>
        <w:spacing w:line="360" w:lineRule="auto"/>
        <w:rPr>
          <w:rFonts w:hint="eastAsia" w:ascii="宋体" w:hAnsi="宋体" w:eastAsia="宋体" w:cs="宋体"/>
          <w:b/>
          <w:i w:val="0"/>
          <w:iCs w:val="0"/>
          <w:color w:val="000000" w:themeColor="text1"/>
          <w:sz w:val="21"/>
          <w:szCs w:val="21"/>
          <w:highlight w:val="none"/>
          <w14:textFill>
            <w14:solidFill>
              <w14:schemeClr w14:val="tx1"/>
            </w14:solidFill>
          </w14:textFill>
        </w:rPr>
      </w:pPr>
      <w:r>
        <w:rPr>
          <w:rFonts w:hint="eastAsia" w:ascii="宋体" w:hAnsi="宋体" w:cs="宋体"/>
          <w:b/>
          <w:i w:val="0"/>
          <w:iCs w:val="0"/>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i w:val="0"/>
          <w:iCs w:val="0"/>
          <w:color w:val="000000" w:themeColor="text1"/>
          <w:sz w:val="21"/>
          <w:szCs w:val="21"/>
          <w:highlight w:val="none"/>
          <w14:textFill>
            <w14:solidFill>
              <w14:schemeClr w14:val="tx1"/>
            </w14:solidFill>
          </w14:textFill>
        </w:rPr>
        <w:t>、培训服务</w:t>
      </w:r>
    </w:p>
    <w:p>
      <w:pPr>
        <w:spacing w:line="360" w:lineRule="auto"/>
        <w:ind w:firstLine="555"/>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每年免费提供3天本地技术培训及2人次×5天的具有可操作的实验环境的小型机及数据库中高级技术培训。</w:t>
      </w:r>
    </w:p>
    <w:p>
      <w:pPr>
        <w:spacing w:line="360" w:lineRule="auto"/>
        <w:ind w:firstLine="420" w:firstLineChars="200"/>
        <w:contextualSpacing/>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运维工程师应满足如下能力要求：</w:t>
      </w:r>
    </w:p>
    <w:p>
      <w:pPr>
        <w:spacing w:afterLines="50"/>
        <w:contextualSpacing/>
        <w:jc w:val="center"/>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表 运维人员能力要求</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712"/>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6" w:type="pct"/>
            <w:vAlign w:val="center"/>
          </w:tcPr>
          <w:p>
            <w:pPr>
              <w:widowControl/>
              <w:contextualSpacing/>
              <w:jc w:val="center"/>
              <w:rPr>
                <w:rFonts w:hint="eastAsia" w:ascii="宋体" w:hAnsi="宋体" w:eastAsia="宋体" w:cs="宋体"/>
                <w:b/>
                <w:bCs/>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en-GB"/>
                <w14:textFill>
                  <w14:solidFill>
                    <w14:schemeClr w14:val="tx1"/>
                  </w14:solidFill>
                </w14:textFill>
              </w:rPr>
              <w:t>运维人员等级</w:t>
            </w:r>
          </w:p>
        </w:tc>
        <w:tc>
          <w:tcPr>
            <w:tcW w:w="889" w:type="pct"/>
            <w:vAlign w:val="center"/>
          </w:tcPr>
          <w:p>
            <w:pPr>
              <w:widowControl/>
              <w:contextualSpacing/>
              <w:jc w:val="center"/>
              <w:rPr>
                <w:rFonts w:hint="eastAsia" w:ascii="宋体" w:hAnsi="宋体" w:eastAsia="宋体" w:cs="宋体"/>
                <w:b/>
                <w:bCs/>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en-GB"/>
                <w14:textFill>
                  <w14:solidFill>
                    <w14:schemeClr w14:val="tx1"/>
                  </w14:solidFill>
                </w14:textFill>
              </w:rPr>
              <w:t>必要条件</w:t>
            </w:r>
          </w:p>
        </w:tc>
        <w:tc>
          <w:tcPr>
            <w:tcW w:w="3465" w:type="pct"/>
            <w:vAlign w:val="center"/>
          </w:tcPr>
          <w:p>
            <w:pPr>
              <w:widowControl/>
              <w:contextualSpacing/>
              <w:jc w:val="center"/>
              <w:rPr>
                <w:rFonts w:hint="eastAsia" w:ascii="宋体" w:hAnsi="宋体" w:eastAsia="宋体" w:cs="宋体"/>
                <w:b/>
                <w:bCs/>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en-GB"/>
                <w14:textFill>
                  <w14:solidFill>
                    <w14:schemeClr w14:val="tx1"/>
                  </w14:solidFill>
                </w14:textFill>
              </w:rPr>
              <w:t>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46" w:type="pct"/>
            <w:vAlign w:val="center"/>
          </w:tcPr>
          <w:p>
            <w:pPr>
              <w:widowControl/>
              <w:contextualSpacing/>
              <w:jc w:val="center"/>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高级</w:t>
            </w:r>
          </w:p>
        </w:tc>
        <w:tc>
          <w:tcPr>
            <w:tcW w:w="889" w:type="pct"/>
            <w:vAlign w:val="center"/>
          </w:tcPr>
          <w:p>
            <w:pPr>
              <w:widowControl/>
              <w:contextualSpacing/>
              <w:jc w:val="center"/>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5年以上行业从业经验</w:t>
            </w:r>
          </w:p>
        </w:tc>
        <w:tc>
          <w:tcPr>
            <w:tcW w:w="3465" w:type="pct"/>
            <w:vAlign w:val="center"/>
          </w:tcPr>
          <w:p>
            <w:pPr>
              <w:widowControl/>
              <w:contextualSpacing/>
              <w:jc w:val="left"/>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IBM小型机硬件工程师不少于2人，惠普小型机硬件工程师不少于2人，宏杉存储设备服务工程师不少于2人，惠普存储设备服务工程师不少于2人，IBM存储设备服务工程师不少于2人，Linux系统服务工程师不少于2人，Aix系统服务工程师不少于2人，HpUnix 系统服务工程师不少于2人，Oracle服务工程师不少于4人；</w:t>
            </w:r>
          </w:p>
          <w:p>
            <w:pPr>
              <w:widowControl/>
              <w:contextualSpacing/>
              <w:jc w:val="left"/>
              <w:rPr>
                <w:rFonts w:hint="eastAsia" w:ascii="宋体" w:hAnsi="宋体" w:eastAsia="宋体" w:cs="宋体"/>
                <w:i w:val="0"/>
                <w:iCs w:val="0"/>
                <w:color w:val="000000" w:themeColor="text1"/>
                <w:sz w:val="21"/>
                <w:szCs w:val="21"/>
                <w:highlight w:val="none"/>
                <w14:textFill>
                  <w14:solidFill>
                    <w14:schemeClr w14:val="tx1"/>
                  </w14:solidFill>
                </w14:textFill>
              </w:rPr>
            </w:pPr>
          </w:p>
          <w:p>
            <w:pPr>
              <w:widowControl/>
              <w:contextualSpacing/>
              <w:jc w:val="left"/>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1、计算机、电子信息技术或网络工程相关专业，本科及以上学历，技术能力过硬，有5年以上数据库系统运维相关经验，具有Oracle认证的OCM资质.</w:t>
            </w:r>
          </w:p>
          <w:p>
            <w:pPr>
              <w:widowControl/>
              <w:contextualSpacing/>
              <w:jc w:val="left"/>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2、深入理解Linux、Unix、Aix系统，运维体系架构，熟练掌握和使用各类系统运维工具，并熟悉主备、主从、负载均衡、安全机制。</w:t>
            </w:r>
          </w:p>
          <w:p>
            <w:pPr>
              <w:widowControl/>
              <w:contextualSpacing/>
              <w:jc w:val="left"/>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3、具备快速故障排错能力，具备优秀的全局观，对虚拟化、</w:t>
            </w:r>
            <w:r>
              <w:rPr>
                <w:rFonts w:hint="eastAsia" w:ascii="宋体" w:hAnsi="宋体" w:eastAsia="宋体" w:cs="宋体"/>
                <w:i w:val="0"/>
                <w:iCs w:val="0"/>
                <w:color w:val="000000" w:themeColor="text1"/>
                <w:sz w:val="21"/>
                <w:szCs w:val="21"/>
                <w:highlight w:val="none"/>
                <w14:textFill>
                  <w14:solidFill>
                    <w14:schemeClr w14:val="tx1"/>
                  </w14:solidFill>
                </w14:textFill>
              </w:rPr>
              <w:t>IBM小型机、惠普小型机、宏杉存储设备、惠普存储设备、IBM存储设备</w:t>
            </w:r>
            <w:r>
              <w:rPr>
                <w:rFonts w:hint="eastAsia" w:ascii="宋体" w:hAnsi="宋体" w:eastAsia="宋体" w:cs="宋体"/>
                <w:i w:val="0"/>
                <w:iCs w:val="0"/>
                <w:color w:val="000000" w:themeColor="text1"/>
                <w:sz w:val="21"/>
                <w:szCs w:val="21"/>
                <w:highlight w:val="none"/>
                <w:lang w:val="en-GB"/>
                <w14:textFill>
                  <w14:solidFill>
                    <w14:schemeClr w14:val="tx1"/>
                  </w14:solidFill>
                </w14:textFill>
              </w:rPr>
              <w:t>等方面的技术有深入的理解和经验。</w:t>
            </w:r>
          </w:p>
          <w:p>
            <w:pPr>
              <w:widowControl/>
              <w:contextualSpacing/>
              <w:jc w:val="left"/>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4、政治可靠，具备良好的政治素质；遵纪守法，具备良好的品行；政治觉悟高，具备一定的政治理解力。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646" w:type="pct"/>
            <w:vAlign w:val="center"/>
          </w:tcPr>
          <w:p>
            <w:pPr>
              <w:widowControl/>
              <w:contextualSpacing/>
              <w:jc w:val="center"/>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中级</w:t>
            </w:r>
          </w:p>
        </w:tc>
        <w:tc>
          <w:tcPr>
            <w:tcW w:w="889" w:type="pct"/>
            <w:vAlign w:val="center"/>
          </w:tcPr>
          <w:p>
            <w:pPr>
              <w:widowControl/>
              <w:contextualSpacing/>
              <w:jc w:val="center"/>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3到5年行业从业经验</w:t>
            </w:r>
          </w:p>
        </w:tc>
        <w:tc>
          <w:tcPr>
            <w:tcW w:w="3465" w:type="pct"/>
            <w:vAlign w:val="center"/>
          </w:tcPr>
          <w:p>
            <w:pPr>
              <w:widowControl/>
              <w:contextualSpacing/>
              <w:jc w:val="left"/>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1、计算机、电子信息技术或网络工程相关专业，本科及以上学历，有3年以上业务系统/网络运维相关经验，具有Oracle认证的OCP资质。</w:t>
            </w:r>
          </w:p>
          <w:p>
            <w:pPr>
              <w:widowControl/>
              <w:contextualSpacing/>
              <w:jc w:val="left"/>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2、深入理解存储系统运维体系架构，熟练掌握和使用主流数据运维工具，熟悉主流数据库，掌握数据库的基本操作，并了解主备、主从、负载均衡、安全机制。</w:t>
            </w:r>
          </w:p>
          <w:p>
            <w:pPr>
              <w:widowControl/>
              <w:contextualSpacing/>
              <w:jc w:val="left"/>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3、具备故障排错能力，对服务器硬件、操作系统的工作原理等方面的技术有一定的理解和经验。</w:t>
            </w:r>
          </w:p>
          <w:p>
            <w:pPr>
              <w:widowControl/>
              <w:contextualSpacing/>
              <w:jc w:val="left"/>
              <w:rPr>
                <w:rFonts w:hint="eastAsia" w:ascii="宋体" w:hAnsi="宋体" w:eastAsia="宋体" w:cs="宋体"/>
                <w:i w:val="0"/>
                <w:iCs w:val="0"/>
                <w:color w:val="000000" w:themeColor="text1"/>
                <w:sz w:val="21"/>
                <w:szCs w:val="21"/>
                <w:highlight w:val="none"/>
                <w:lang w:val="en-GB"/>
                <w14:textFill>
                  <w14:solidFill>
                    <w14:schemeClr w14:val="tx1"/>
                  </w14:solidFill>
                </w14:textFill>
              </w:rPr>
            </w:pPr>
            <w:r>
              <w:rPr>
                <w:rFonts w:hint="eastAsia" w:ascii="宋体" w:hAnsi="宋体" w:eastAsia="宋体" w:cs="宋体"/>
                <w:i w:val="0"/>
                <w:iCs w:val="0"/>
                <w:color w:val="000000" w:themeColor="text1"/>
                <w:sz w:val="21"/>
                <w:szCs w:val="21"/>
                <w:highlight w:val="none"/>
                <w:lang w:val="en-GB"/>
                <w14:textFill>
                  <w14:solidFill>
                    <w14:schemeClr w14:val="tx1"/>
                  </w14:solidFill>
                </w14:textFill>
              </w:rPr>
              <w:t>4、政治可靠，具备良好的政治素质；遵纪守法，具备良好的品行；政治觉悟高，具备一定的政治理解力。</w:t>
            </w:r>
          </w:p>
        </w:tc>
      </w:tr>
    </w:tbl>
    <w:p>
      <w:pPr>
        <w:rPr>
          <w:rFonts w:ascii="宋体" w:hAnsi="宋体"/>
          <w:color w:val="000000" w:themeColor="text1"/>
          <w:sz w:val="24"/>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1962"/>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434832495"/>
      <w:bookmarkStart w:id="77" w:name="_Toc588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367780304"/>
      <w:bookmarkStart w:id="80" w:name="_Toc30289"/>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阳江市财政业务数据存储系统维保服务项目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25395"/>
      <w:bookmarkStart w:id="82"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阳江市财政局信息中心</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16991"/>
      <w:bookmarkStart w:id="84" w:name="_Toc3677803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8210"/>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3911"/>
      <w:bookmarkStart w:id="88"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31468"/>
      <w:bookmarkStart w:id="90"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21922"/>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20544"/>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21782"/>
      <w:bookmarkStart w:id="96"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27063"/>
      <w:bookmarkStart w:id="98"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32471"/>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20768"/>
      <w:bookmarkStart w:id="102"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17727"/>
      <w:bookmarkStart w:id="104"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2082"/>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293"/>
      <w:bookmarkStart w:id="108" w:name="_Toc367780318"/>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12999"/>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25300"/>
      <w:bookmarkStart w:id="112" w:name="_Toc36778032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367780321"/>
      <w:bookmarkStart w:id="114" w:name="_Toc29446"/>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21458"/>
      <w:bookmarkStart w:id="116"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26103"/>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367780324"/>
      <w:bookmarkStart w:id="120" w:name="_Toc6108"/>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30556"/>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367780326"/>
      <w:bookmarkStart w:id="124" w:name="_Toc11968"/>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9879"/>
      <w:bookmarkStart w:id="126" w:name="_Toc36778032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17913"/>
      <w:bookmarkStart w:id="128"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28754"/>
      <w:bookmarkStart w:id="130"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16440"/>
      <w:bookmarkStart w:id="132"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272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19016"/>
      <w:bookmarkStart w:id="136" w:name="_Toc367780332"/>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19359"/>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28647"/>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10203"/>
      <w:bookmarkStart w:id="142"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367780336"/>
      <w:bookmarkStart w:id="144" w:name="_Toc30857"/>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10259"/>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367780338"/>
      <w:bookmarkStart w:id="148" w:name="_Toc21286"/>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367780339"/>
      <w:bookmarkStart w:id="150" w:name="_Toc2440"/>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20864"/>
      <w:bookmarkStart w:id="152" w:name="_Toc367780340"/>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17010"/>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367780342"/>
      <w:bookmarkStart w:id="156" w:name="_Toc13951"/>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8" w:name="_Toc430771059"/>
      <w:bookmarkStart w:id="159" w:name="_Toc432682726"/>
      <w:bookmarkStart w:id="160" w:name="_Toc24927"/>
      <w:bookmarkStart w:id="161" w:name="_Toc499041071"/>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185804"/>
      <w:bookmarkStart w:id="166"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185805"/>
      <w:bookmarkStart w:id="168"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3"/>
      <w:bookmarkStart w:id="170"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30874"/>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9346"/>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4684"/>
      <w:bookmarkStart w:id="175" w:name="_Toc200414513"/>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2"/>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YXZB-20211029</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2"/>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2"/>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8796"/>
      <w:bookmarkStart w:id="177" w:name="_Toc20041451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w:t>
            </w:r>
            <w:r>
              <w:rPr>
                <w:rFonts w:hint="eastAsia" w:ascii="宋体" w:hAnsi="宋体" w:eastAsia="宋体" w:cs="宋体"/>
                <w:color w:val="000000" w:themeColor="text1"/>
                <w:highlight w:val="none"/>
                <w:lang w:val="en-US" w:eastAsia="zh-CN"/>
                <w14:textFill>
                  <w14:solidFill>
                    <w14:schemeClr w14:val="tx1"/>
                  </w14:solidFill>
                </w14:textFill>
              </w:rPr>
              <w:t>标人须是中华人民共和国境内合法注册，能独立承担民事责任并具相关经营范围的企业法人</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11476"/>
      <w:bookmarkStart w:id="179"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2"/>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19043"/>
      <w:bookmarkStart w:id="181"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2"/>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9025"/>
      <w:bookmarkStart w:id="183"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22294"/>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00414524"/>
      <w:bookmarkStart w:id="187" w:name="_Toc18649"/>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00414525"/>
      <w:bookmarkStart w:id="189" w:name="_Toc12831"/>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1293"/>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16561"/>
      <w:bookmarkStart w:id="193"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2"/>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2"/>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3690"/>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434"/>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30942"/>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2"/>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430771089"/>
      <w:bookmarkStart w:id="200" w:name="_Toc8340"/>
      <w:bookmarkStart w:id="201" w:name="_Toc432682754"/>
      <w:bookmarkStart w:id="202" w:name="_Toc7149"/>
      <w:bookmarkStart w:id="203" w:name="_Toc432695229"/>
      <w:bookmarkStart w:id="204" w:name="_Toc340677100"/>
      <w:bookmarkStart w:id="205" w:name="_Toc333935376"/>
      <w:bookmarkStart w:id="206" w:name="_Toc339020263"/>
      <w:bookmarkStart w:id="207" w:name="_Toc342312473"/>
      <w:bookmarkStart w:id="208" w:name="_Toc333238664"/>
      <w:bookmarkStart w:id="209" w:name="_Toc340672899"/>
      <w:bookmarkStart w:id="210" w:name="_Toc342060405"/>
      <w:bookmarkStart w:id="211" w:name="_Toc336681965"/>
      <w:bookmarkStart w:id="212" w:name="_Toc339362330"/>
      <w:bookmarkStart w:id="213" w:name="_Toc365985211"/>
      <w:bookmarkStart w:id="214" w:name="_Toc365967105"/>
      <w:bookmarkStart w:id="215" w:name="_Toc336681610"/>
      <w:bookmarkStart w:id="216" w:name="_Toc339020045"/>
      <w:bookmarkStart w:id="217" w:name="_Toc343612950"/>
      <w:bookmarkStart w:id="218" w:name="_Toc333237708"/>
      <w:bookmarkStart w:id="219" w:name="_Toc339019919"/>
      <w:bookmarkStart w:id="220" w:name="_Toc350438779"/>
      <w:bookmarkStart w:id="221" w:name="_Toc330460016"/>
      <w:bookmarkStart w:id="222" w:name="_Toc337632388"/>
      <w:bookmarkStart w:id="223" w:name="_Toc333935717"/>
      <w:bookmarkStart w:id="224" w:name="_Toc332270377"/>
      <w:bookmarkStart w:id="225" w:name="_Toc366072562"/>
      <w:bookmarkStart w:id="226" w:name="_Toc102451601"/>
      <w:bookmarkStart w:id="227" w:name="_Toc343248448"/>
      <w:bookmarkStart w:id="228" w:name="_Toc332206739"/>
      <w:bookmarkStart w:id="229" w:name="_Toc345312627"/>
      <w:bookmarkStart w:id="230" w:name="_Toc343247130"/>
      <w:bookmarkStart w:id="231" w:name="_Toc341348370"/>
      <w:bookmarkStart w:id="232" w:name="_Toc331512931"/>
      <w:bookmarkStart w:id="233" w:name="_Toc331684072"/>
      <w:bookmarkStart w:id="234" w:name="_Toc339020125"/>
      <w:bookmarkStart w:id="235" w:name="_Toc342296791"/>
      <w:bookmarkStart w:id="236" w:name="_Toc339441117"/>
      <w:bookmarkStart w:id="237" w:name="_Toc350756480"/>
      <w:bookmarkStart w:id="238" w:name="_Toc340507472"/>
      <w:bookmarkStart w:id="239" w:name="_Toc342398160"/>
      <w:bookmarkStart w:id="240" w:name="_Toc333237819"/>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32373"/>
      <w:bookmarkStart w:id="243" w:name="_Toc16643"/>
      <w:bookmarkStart w:id="244" w:name="_Toc20242"/>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28204"/>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31683"/>
      <w:bookmarkStart w:id="247"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2"/>
        <w:spacing w:line="360" w:lineRule="auto"/>
        <w:rPr>
          <w:rFonts w:ascii="宋体" w:hAnsi="宋体"/>
          <w:color w:val="000000" w:themeColor="text1"/>
          <w:szCs w:val="21"/>
          <w:highlight w:val="none"/>
          <w14:textFill>
            <w14:solidFill>
              <w14:schemeClr w14:val="tx1"/>
            </w14:solidFill>
          </w14:textFill>
        </w:rPr>
      </w:pP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4734"/>
      <w:bookmarkStart w:id="249" w:name="_Toc434832511"/>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ascii="宋体" w:hAnsi="宋体"/>
          <w:color w:val="000000" w:themeColor="text1"/>
          <w:sz w:val="28"/>
          <w:highlight w:val="none"/>
          <w14:textFill>
            <w14:solidFill>
              <w14:schemeClr w14:val="tx1"/>
            </w14:solidFill>
          </w14:textFill>
        </w:rPr>
      </w:pPr>
      <w:bookmarkStart w:id="250" w:name="_Toc21436"/>
      <w:r>
        <w:rPr>
          <w:rFonts w:hint="eastAsia" w:ascii="宋体" w:hAnsi="宋体"/>
          <w:color w:val="000000" w:themeColor="text1"/>
          <w:sz w:val="28"/>
          <w:highlight w:val="none"/>
          <w14:textFill>
            <w14:solidFill>
              <w14:schemeClr w14:val="tx1"/>
            </w14:solidFill>
          </w14:textFill>
        </w:rPr>
        <w:t>投标保证金退付书</w:t>
      </w:r>
      <w:bookmarkEnd w:id="250"/>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79"/>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C61066"/>
    <w:rsid w:val="06D70337"/>
    <w:rsid w:val="06F227DE"/>
    <w:rsid w:val="07A72AA3"/>
    <w:rsid w:val="08D11305"/>
    <w:rsid w:val="09E84E10"/>
    <w:rsid w:val="0A70684A"/>
    <w:rsid w:val="0A951F6E"/>
    <w:rsid w:val="0B6E1848"/>
    <w:rsid w:val="0BFA53E6"/>
    <w:rsid w:val="0C7F72BD"/>
    <w:rsid w:val="0D844120"/>
    <w:rsid w:val="0D9E60D7"/>
    <w:rsid w:val="0F3B2F67"/>
    <w:rsid w:val="0F9A500F"/>
    <w:rsid w:val="116077A0"/>
    <w:rsid w:val="11C51D16"/>
    <w:rsid w:val="11E25FD6"/>
    <w:rsid w:val="11E6000B"/>
    <w:rsid w:val="11FB3784"/>
    <w:rsid w:val="12427DF1"/>
    <w:rsid w:val="12BA5DE6"/>
    <w:rsid w:val="13FF2FB9"/>
    <w:rsid w:val="15E76A24"/>
    <w:rsid w:val="16CB43D6"/>
    <w:rsid w:val="173F3753"/>
    <w:rsid w:val="174801F6"/>
    <w:rsid w:val="17827F02"/>
    <w:rsid w:val="182E7070"/>
    <w:rsid w:val="183F1D1A"/>
    <w:rsid w:val="19F97358"/>
    <w:rsid w:val="1A553748"/>
    <w:rsid w:val="1A6754AF"/>
    <w:rsid w:val="1AE3378E"/>
    <w:rsid w:val="1AFA6EBD"/>
    <w:rsid w:val="1C5D0427"/>
    <w:rsid w:val="1C7B3169"/>
    <w:rsid w:val="1C933E4A"/>
    <w:rsid w:val="206977D9"/>
    <w:rsid w:val="21A613C7"/>
    <w:rsid w:val="223733C1"/>
    <w:rsid w:val="224E294F"/>
    <w:rsid w:val="226C214F"/>
    <w:rsid w:val="22854FFE"/>
    <w:rsid w:val="22E31283"/>
    <w:rsid w:val="2348000B"/>
    <w:rsid w:val="257A2AD3"/>
    <w:rsid w:val="25AB26B2"/>
    <w:rsid w:val="25BB7DA5"/>
    <w:rsid w:val="2617522C"/>
    <w:rsid w:val="2CC827E0"/>
    <w:rsid w:val="2FAF694F"/>
    <w:rsid w:val="300D3295"/>
    <w:rsid w:val="30274823"/>
    <w:rsid w:val="313145D4"/>
    <w:rsid w:val="31C07988"/>
    <w:rsid w:val="320D0B42"/>
    <w:rsid w:val="32FC134D"/>
    <w:rsid w:val="3330698E"/>
    <w:rsid w:val="34514DEA"/>
    <w:rsid w:val="34A5067E"/>
    <w:rsid w:val="34CC3D50"/>
    <w:rsid w:val="3502066B"/>
    <w:rsid w:val="35645814"/>
    <w:rsid w:val="359441D9"/>
    <w:rsid w:val="36682807"/>
    <w:rsid w:val="37F86297"/>
    <w:rsid w:val="38077A24"/>
    <w:rsid w:val="39822E25"/>
    <w:rsid w:val="39A33E38"/>
    <w:rsid w:val="39E30BB5"/>
    <w:rsid w:val="39F775D0"/>
    <w:rsid w:val="3AB70F8D"/>
    <w:rsid w:val="3BD261FC"/>
    <w:rsid w:val="3E546CEB"/>
    <w:rsid w:val="3F657D6E"/>
    <w:rsid w:val="401C19E8"/>
    <w:rsid w:val="418827F6"/>
    <w:rsid w:val="421440A0"/>
    <w:rsid w:val="427914F2"/>
    <w:rsid w:val="42926285"/>
    <w:rsid w:val="42DA0C6E"/>
    <w:rsid w:val="43920409"/>
    <w:rsid w:val="43AB748D"/>
    <w:rsid w:val="44FA1BC9"/>
    <w:rsid w:val="450966EF"/>
    <w:rsid w:val="45412657"/>
    <w:rsid w:val="465877C4"/>
    <w:rsid w:val="476612EE"/>
    <w:rsid w:val="478B4272"/>
    <w:rsid w:val="47EA5B27"/>
    <w:rsid w:val="484771DF"/>
    <w:rsid w:val="48BD6E6E"/>
    <w:rsid w:val="48F15695"/>
    <w:rsid w:val="495F4D4E"/>
    <w:rsid w:val="49782573"/>
    <w:rsid w:val="4A1C5E76"/>
    <w:rsid w:val="4B396733"/>
    <w:rsid w:val="4B3A2F93"/>
    <w:rsid w:val="4C1F797C"/>
    <w:rsid w:val="4CDF200B"/>
    <w:rsid w:val="4D8818A4"/>
    <w:rsid w:val="4E8E024A"/>
    <w:rsid w:val="4FBF2B30"/>
    <w:rsid w:val="50070AD0"/>
    <w:rsid w:val="51854483"/>
    <w:rsid w:val="524A1ECB"/>
    <w:rsid w:val="54491131"/>
    <w:rsid w:val="54E831A5"/>
    <w:rsid w:val="551D4028"/>
    <w:rsid w:val="561E0E90"/>
    <w:rsid w:val="5A4159A9"/>
    <w:rsid w:val="5A633C89"/>
    <w:rsid w:val="5B696393"/>
    <w:rsid w:val="5B7B1804"/>
    <w:rsid w:val="5B7D7635"/>
    <w:rsid w:val="5C475F9E"/>
    <w:rsid w:val="5D684457"/>
    <w:rsid w:val="5EAE747B"/>
    <w:rsid w:val="5F34520E"/>
    <w:rsid w:val="601445A3"/>
    <w:rsid w:val="601C5B46"/>
    <w:rsid w:val="606A15ED"/>
    <w:rsid w:val="63710F04"/>
    <w:rsid w:val="65D90B98"/>
    <w:rsid w:val="66313589"/>
    <w:rsid w:val="676E702E"/>
    <w:rsid w:val="67F10FCD"/>
    <w:rsid w:val="69826A39"/>
    <w:rsid w:val="6AFB752E"/>
    <w:rsid w:val="6C0A331C"/>
    <w:rsid w:val="6D0D797F"/>
    <w:rsid w:val="6D881C70"/>
    <w:rsid w:val="6E0C11B0"/>
    <w:rsid w:val="6E3C0C9C"/>
    <w:rsid w:val="6E446298"/>
    <w:rsid w:val="6E673F14"/>
    <w:rsid w:val="6FDD6381"/>
    <w:rsid w:val="6FF81729"/>
    <w:rsid w:val="74AA237E"/>
    <w:rsid w:val="7750345B"/>
    <w:rsid w:val="7849732E"/>
    <w:rsid w:val="79E85E47"/>
    <w:rsid w:val="7B4A52E9"/>
    <w:rsid w:val="7D4D5A35"/>
    <w:rsid w:val="7DA75CF8"/>
    <w:rsid w:val="7DF37ED1"/>
    <w:rsid w:val="7E57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8"/>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0"/>
    <w:qFormat/>
    <w:uiPriority w:val="0"/>
    <w:pPr>
      <w:keepNext/>
      <w:keepLines/>
      <w:spacing w:before="240" w:after="64" w:line="320" w:lineRule="auto"/>
      <w:outlineLvl w:val="6"/>
    </w:pPr>
    <w:rPr>
      <w:b/>
      <w:sz w:val="24"/>
      <w:szCs w:val="20"/>
    </w:rPr>
  </w:style>
  <w:style w:type="paragraph" w:styleId="10">
    <w:name w:val="heading 8"/>
    <w:basedOn w:val="1"/>
    <w:next w:val="2"/>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6"/>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5"/>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4"/>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2"/>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4145</Words>
  <Characters>23631</Characters>
  <Lines>196</Lines>
  <Paragraphs>55</Paragraphs>
  <TotalTime>12</TotalTime>
  <ScaleCrop>false</ScaleCrop>
  <LinksUpToDate>false</LinksUpToDate>
  <CharactersWithSpaces>27721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2021-12-10T00:40:00Z</cp:lastPrinted>
  <dcterms:modified xsi:type="dcterms:W3CDTF">2021-12-28T02:50:09Z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958561446096443CA77D9A05DD725A50</vt:lpwstr>
  </property>
</Properties>
</file>