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1905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srcRect/>
                    <a:stretch>
                      <a:fillRect/>
                    </a:stretch>
                  </pic:blipFill>
                  <pic:spPr>
                    <a:xfrm>
                      <a:off x="0" y="0"/>
                      <a:ext cx="2324100" cy="371475"/>
                    </a:xfrm>
                    <a:prstGeom prst="rect">
                      <a:avLst/>
                    </a:prstGeom>
                    <a:noFill/>
                    <a:ln w="9525">
                      <a:noFill/>
                      <a:miter lim="800000"/>
                      <a:headEnd/>
                      <a:tailEnd/>
                    </a:ln>
                  </pic:spPr>
                </pic:pic>
              </a:graphicData>
            </a:graphic>
          </wp:inline>
        </w:drawing>
      </w:r>
    </w:p>
    <w:p>
      <w:pPr>
        <w:pStyle w:val="22"/>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单一来源</w:t>
      </w:r>
    </w:p>
    <w:p>
      <w:pPr>
        <w:pStyle w:val="22"/>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pPr>
        <w:pStyle w:val="22"/>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3"/>
        <w:tblpPr w:leftFromText="180" w:rightFromText="180" w:vertAnchor="text" w:tblpXSpec="center" w:tblpY="1"/>
        <w:tblOverlap w:val="never"/>
        <w:tblW w:w="8510" w:type="dxa"/>
        <w:jc w:val="center"/>
        <w:tblLayout w:type="fixed"/>
        <w:tblCellMar>
          <w:top w:w="0" w:type="dxa"/>
          <w:left w:w="108" w:type="dxa"/>
          <w:bottom w:w="0" w:type="dxa"/>
          <w:right w:w="108" w:type="dxa"/>
        </w:tblCellMar>
      </w:tblPr>
      <w:tblGrid>
        <w:gridCol w:w="1951"/>
        <w:gridCol w:w="284"/>
        <w:gridCol w:w="6275"/>
      </w:tblGrid>
      <w:tr>
        <w:tblPrEx>
          <w:tblCellMar>
            <w:top w:w="0" w:type="dxa"/>
            <w:left w:w="108" w:type="dxa"/>
            <w:bottom w:w="0" w:type="dxa"/>
            <w:right w:w="108" w:type="dxa"/>
          </w:tblCellMar>
        </w:tblPrEx>
        <w:trPr>
          <w:trHeight w:val="394" w:hRule="atLeast"/>
          <w:jc w:val="center"/>
        </w:trPr>
        <w:tc>
          <w:tcPr>
            <w:tcW w:w="1951" w:type="dxa"/>
            <w:vAlign w:val="center"/>
          </w:tcPr>
          <w:p>
            <w:pPr>
              <w:pStyle w:val="22"/>
              <w:widowControl/>
              <w:adjustRightInd w:val="0"/>
              <w:snapToGrid w:val="0"/>
              <w:spacing w:line="360" w:lineRule="auto"/>
              <w:jc w:val="distribute"/>
              <w:rPr>
                <w:rFonts w:ascii="黑体" w:eastAsia="黑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75" w:type="dxa"/>
            <w:vAlign w:val="center"/>
          </w:tcPr>
          <w:p>
            <w:pPr>
              <w:pStyle w:val="22"/>
              <w:widowControl/>
              <w:adjustRightInd w:val="0"/>
              <w:snapToGrid w:val="0"/>
              <w:spacing w:line="360" w:lineRule="auto"/>
              <w:jc w:val="left"/>
              <w:rPr>
                <w:rFonts w:hint="eastAsia" w:ascii="黑体" w:eastAsia="黑体"/>
                <w:b/>
                <w:bCs/>
                <w:color w:val="000000" w:themeColor="text1"/>
                <w:sz w:val="28"/>
                <w:szCs w:val="28"/>
                <w:highlight w:val="none"/>
                <w:lang w:eastAsia="zh-CN"/>
                <w14:textFill>
                  <w14:solidFill>
                    <w14:schemeClr w14:val="tx1"/>
                  </w14:solidFill>
                </w14:textFill>
              </w:rPr>
            </w:pPr>
            <w:r>
              <w:rPr>
                <w:rFonts w:hint="eastAsia" w:hAnsi="宋体" w:eastAsia="黑体"/>
                <w:b/>
                <w:color w:val="000000" w:themeColor="text1"/>
                <w:sz w:val="28"/>
                <w:szCs w:val="28"/>
                <w:highlight w:val="none"/>
                <w:lang w:eastAsia="zh-CN"/>
                <w14:textFill>
                  <w14:solidFill>
                    <w14:schemeClr w14:val="tx1"/>
                  </w14:solidFill>
                </w14:textFill>
              </w:rPr>
              <w:t>YXCG-20211216</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75"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2022-2023年阳江市购买机动车驾驶人全科目考场服务项目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ascii="黑体" w:eastAsia="黑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w:t>
            </w:r>
          </w:p>
        </w:tc>
        <w:tc>
          <w:tcPr>
            <w:tcW w:w="6275" w:type="dxa"/>
            <w:vAlign w:val="center"/>
          </w:tcPr>
          <w:p>
            <w:pPr>
              <w:pStyle w:val="22"/>
              <w:widowControl/>
              <w:adjustRightInd w:val="0"/>
              <w:snapToGrid w:val="0"/>
              <w:spacing w:line="360" w:lineRule="auto"/>
              <w:rPr>
                <w:rFonts w:hAnsi="宋体" w:cs="宋体"/>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阳江市公安局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ascii="黑体" w:eastAsia="黑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75" w:type="dxa"/>
            <w:vAlign w:val="center"/>
          </w:tcPr>
          <w:p>
            <w:pPr>
              <w:pStyle w:val="22"/>
              <w:widowControl/>
              <w:adjustRightInd w:val="0"/>
              <w:snapToGrid w:val="0"/>
              <w:spacing w:line="360" w:lineRule="auto"/>
              <w:rPr>
                <w:rFonts w:ascii="黑体" w:eastAsia="黑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2"/>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二○二一年</w:t>
      </w:r>
      <w:r>
        <w:rPr>
          <w:rFonts w:hint="eastAsia" w:ascii="黑体" w:eastAsia="黑体"/>
          <w:bCs/>
          <w:color w:val="000000" w:themeColor="text1"/>
          <w:sz w:val="24"/>
          <w:szCs w:val="24"/>
          <w:highlight w:val="none"/>
          <w:lang w:val="en-US" w:eastAsia="zh-CN"/>
          <w14:textFill>
            <w14:solidFill>
              <w14:schemeClr w14:val="tx1"/>
            </w14:solidFill>
          </w14:textFill>
        </w:rPr>
        <w:t>十二</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r>
        <w:rPr>
          <w:rFonts w:hint="eastAsia" w:ascii="宋体" w:hAnsi="宋体"/>
          <w:b/>
          <w:color w:val="000000" w:themeColor="text1"/>
          <w:szCs w:val="21"/>
          <w:highlight w:val="none"/>
          <w14:textFill>
            <w14:solidFill>
              <w14:schemeClr w14:val="tx1"/>
            </w14:solidFill>
          </w14:textFill>
        </w:rPr>
        <w:t>递交投标文件时间为投标截止时间前半小时。</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报价要求详见谈判文件《报价一览表》</w:t>
      </w:r>
      <w:r>
        <w:rPr>
          <w:rFonts w:ascii="宋体" w:hAnsi="宋体"/>
          <w:color w:val="000000" w:themeColor="text1"/>
          <w:szCs w:val="21"/>
          <w:highlight w:val="none"/>
          <w14:textFill>
            <w14:solidFill>
              <w14:schemeClr w14:val="tx1"/>
            </w14:solidFill>
          </w14:textFill>
        </w:rPr>
        <w:t>。</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4"/>
        </w:numPr>
        <w:spacing w:line="360" w:lineRule="auto"/>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2"/>
        <w:widowControl/>
        <w:adjustRightInd w:val="0"/>
        <w:snapToGrid w:val="0"/>
        <w:spacing w:line="360" w:lineRule="auto"/>
        <w:rPr>
          <w:rFonts w:ascii="黑体" w:eastAsia="黑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ascii="黑体" w:eastAsia="黑体"/>
          <w:bCs/>
          <w:color w:val="000000" w:themeColor="text1"/>
          <w:sz w:val="24"/>
          <w:szCs w:val="24"/>
          <w:highlight w:val="none"/>
          <w14:textFill>
            <w14:solidFill>
              <w14:schemeClr w14:val="tx1"/>
            </w14:solidFill>
          </w14:textFill>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6"/>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0"/>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_Toc3526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 xml:space="preserve">第一部分  </w:t>
      </w:r>
      <w:r>
        <w:rPr>
          <w:rFonts w:hint="eastAsia"/>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0"/>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_Toc4126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0"/>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_Toc24589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YXCG-20211216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_Toc7885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2022-2023年阳江市购买机动车驾驶人全科目考场服务项目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_Toc31891 </w:instrText>
      </w:r>
      <w:r>
        <w:rPr>
          <w:color w:val="000000" w:themeColor="text1"/>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_Toc25629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_Toc32285 </w:instrText>
      </w:r>
      <w:r>
        <w:rPr>
          <w:color w:val="000000" w:themeColor="text1"/>
          <w:highlight w:val="none"/>
          <w14:textFill>
            <w14:solidFill>
              <w14:schemeClr w14:val="tx1"/>
            </w14:solidFill>
          </w14:textFill>
        </w:rPr>
        <w:fldChar w:fldCharType="separate"/>
      </w:r>
      <w:r>
        <w:rPr>
          <w:rFonts w:hint="eastAsia"/>
          <w:color w:val="000000" w:themeColor="text1"/>
          <w:kern w:val="0"/>
          <w:szCs w:val="21"/>
          <w:highlight w:val="none"/>
          <w14:textFill>
            <w14:solidFill>
              <w14:schemeClr w14:val="tx1"/>
            </w14:solidFill>
          </w14:textFill>
        </w:rPr>
        <w:t>第三部分 谈判须知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_Toc1202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谈判须知前附表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_Toc24552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_Toc31574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二、谈判文件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_Toc29711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三、单一来源谈判响应文件的编制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_Toc29258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四、谈判报价要求和响应供应商资格证明文件的要求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_Toc8728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五、谈判保证金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_Toc10267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六、单一来源谈判响应文件的份数、封装和递交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_Toc22263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七、谈判的步骤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_Toc17447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_Toc6656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_Toc24622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_Toc5795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_Toc30641 </w:instrText>
      </w:r>
      <w:r>
        <w:rPr>
          <w:color w:val="000000" w:themeColor="text1"/>
          <w:highlight w:val="none"/>
          <w14:textFill>
            <w14:solidFill>
              <w14:schemeClr w14:val="tx1"/>
            </w14:solidFill>
          </w14:textFill>
        </w:rPr>
        <w:fldChar w:fldCharType="separate"/>
      </w:r>
      <w:r>
        <w:rPr>
          <w:rFonts w:hint="eastAsia" w:hAnsi="宋体" w:cs="Times New Roman"/>
          <w:color w:val="000000" w:themeColor="text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0"/>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_Toc10482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0"/>
        <w:tabs>
          <w:tab w:val="right" w:leader="dot" w:pos="9184"/>
          <w:tab w:val="clear" w:pos="82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_Toc13026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  单一来源谈判响应文件格式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_Toc11052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_Toc29294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_Toc29938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_Toc27260 </w:instrText>
      </w:r>
      <w:r>
        <w:rPr>
          <w:color w:val="000000" w:themeColor="text1"/>
          <w:highlight w:val="none"/>
          <w14:textFill>
            <w14:solidFill>
              <w14:schemeClr w14:val="tx1"/>
            </w14:solidFill>
          </w14:textFill>
        </w:rPr>
        <w:fldChar w:fldCharType="separate"/>
      </w:r>
      <w:r>
        <w:rPr>
          <w:rFonts w:hint="eastAsia"/>
          <w:color w:val="000000" w:themeColor="text1"/>
          <w:kern w:val="0"/>
          <w:szCs w:val="28"/>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_Toc16588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_Toc20097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（四）财务报表、缴税证明、社会保险登记证明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_Toc4901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（五）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_Toc23775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_Toc21999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附件一：谈判邀请函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_Toc20593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附件二：承诺书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_Toc13958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附件三：报价一览表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_Toc12137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附件四：谈判分项报价</w:t>
      </w:r>
      <w:r>
        <w:rPr>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_Toc32653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附件五：商务条款偏离一览表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_Toc27180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附件六：技术条款偏离一览表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_Toc14043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附件七：项目实施方案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_Toc4632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_Toc18358 </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附件九：谈判供应商提交的其他资料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9184"/>
          <w:tab w:val="clear" w:pos="840"/>
          <w:tab w:val="clear" w:pos="830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rPr>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36"/>
        <w:rPr>
          <w:rFonts w:ascii="宋体"/>
          <w:color w:val="000000" w:themeColor="text1"/>
          <w:highlight w:val="none"/>
          <w14:textFill>
            <w14:solidFill>
              <w14:schemeClr w14:val="tx1"/>
            </w14:solidFill>
          </w14:textFill>
        </w:rPr>
      </w:pPr>
      <w:bookmarkStart w:id="0" w:name="_Toc351987958"/>
      <w:bookmarkStart w:id="1" w:name="_Toc369180016"/>
      <w:bookmarkStart w:id="2" w:name="_Toc351987762"/>
      <w:bookmarkStart w:id="3" w:name="_Toc351986012"/>
      <w:bookmarkStart w:id="4" w:name="_Toc357151162"/>
      <w:bookmarkStart w:id="5" w:name="_Toc351988703"/>
      <w:bookmarkStart w:id="6" w:name="_Toc353522386"/>
      <w:bookmarkStart w:id="7" w:name="_Toc351986192"/>
      <w:bookmarkStart w:id="8" w:name="_Toc351990139"/>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3526"/>
      <w:r>
        <w:rPr>
          <w:rFonts w:hint="eastAsia" w:ascii="宋体" w:hAnsi="宋体"/>
          <w:color w:val="000000" w:themeColor="text1"/>
          <w:sz w:val="21"/>
          <w:szCs w:val="21"/>
          <w:highlight w:val="none"/>
          <w14:textFill>
            <w14:solidFill>
              <w14:schemeClr w14:val="tx1"/>
            </w14:solidFill>
          </w14:textFill>
        </w:rPr>
        <w:t xml:space="preserve">第一部分  </w:t>
      </w:r>
      <w:r>
        <w:rPr>
          <w:rFonts w:hint="eastAsia"/>
          <w:color w:val="000000" w:themeColor="text1"/>
          <w:sz w:val="21"/>
          <w:szCs w:val="21"/>
          <w:highlight w:val="none"/>
          <w14:textFill>
            <w14:solidFill>
              <w14:schemeClr w14:val="tx1"/>
            </w14:solidFill>
          </w14:textFill>
        </w:rPr>
        <w:t>谈判</w:t>
      </w:r>
      <w:r>
        <w:rPr>
          <w:rFonts w:hint="eastAsia" w:ascii="宋体" w:hAnsi="宋体"/>
          <w:color w:val="000000" w:themeColor="text1"/>
          <w:sz w:val="21"/>
          <w:szCs w:val="21"/>
          <w:highlight w:val="none"/>
          <w14:textFill>
            <w14:solidFill>
              <w14:schemeClr w14:val="tx1"/>
            </w14:solidFill>
          </w14:textFill>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u w:val="single"/>
          <w14:textFill>
            <w14:solidFill>
              <w14:schemeClr w14:val="tx1"/>
            </w14:solidFill>
          </w14:textFill>
        </w:rPr>
        <w:t>阳江市公安局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2022-2023年阳江市购买机动车驾驶人全科目考场服务项目</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进行单一来源采购，根据规定，拟定</w:t>
      </w:r>
      <w:r>
        <w:rPr>
          <w:rFonts w:hint="eastAsia" w:ascii="宋体" w:hAnsi="宋体"/>
          <w:color w:val="000000" w:themeColor="text1"/>
          <w:szCs w:val="21"/>
          <w:highlight w:val="none"/>
          <w:lang w:eastAsia="zh-CN"/>
          <w14:textFill>
            <w14:solidFill>
              <w14:schemeClr w14:val="tx1"/>
            </w14:solidFill>
          </w14:textFill>
        </w:rPr>
        <w:t>阳江市新振阳驾驶员培训有限公司</w:t>
      </w:r>
      <w:r>
        <w:rPr>
          <w:rFonts w:hint="eastAsia" w:ascii="宋体" w:hAnsi="宋体"/>
          <w:color w:val="000000" w:themeColor="text1"/>
          <w:szCs w:val="21"/>
          <w:highlight w:val="none"/>
          <w14:textFill>
            <w14:solidFill>
              <w14:schemeClr w14:val="tx1"/>
            </w14:solidFill>
          </w14:textFill>
        </w:rPr>
        <w:t>作为单一来源供应商进行谈判。</w:t>
      </w:r>
      <w:r>
        <w:rPr>
          <w:rFonts w:hint="eastAsia" w:ascii="宋体" w:hAnsi="宋体"/>
          <w:color w:val="000000" w:themeColor="text1"/>
          <w:highlight w:val="none"/>
          <w14:textFill>
            <w14:solidFill>
              <w14:schemeClr w14:val="tx1"/>
            </w14:solidFill>
          </w14:textFill>
        </w:rPr>
        <w:t>有关事项如下：</w:t>
      </w:r>
      <w:r>
        <w:rPr>
          <w:rFonts w:hint="eastAsia" w:ascii="宋体" w:hAnsi="宋体"/>
          <w:color w:val="000000" w:themeColor="text1"/>
          <w:szCs w:val="21"/>
          <w:highlight w:val="none"/>
          <w14:textFill>
            <w14:solidFill>
              <w14:schemeClr w14:val="tx1"/>
            </w14:solidFill>
          </w14:textFill>
        </w:rPr>
        <w:t xml:space="preserve"> </w:t>
      </w:r>
    </w:p>
    <w:p>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谈判项目编号：</w:t>
      </w:r>
      <w:r>
        <w:rPr>
          <w:rFonts w:hint="eastAsia" w:ascii="宋体" w:hAnsi="宋体"/>
          <w:bCs/>
          <w:color w:val="000000" w:themeColor="text1"/>
          <w:szCs w:val="21"/>
          <w:highlight w:val="none"/>
          <w:lang w:eastAsia="zh-CN"/>
          <w14:textFill>
            <w14:solidFill>
              <w14:schemeClr w14:val="tx1"/>
            </w14:solidFill>
          </w14:textFill>
        </w:rPr>
        <w:t>YXCG-20211216</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谈判项目名称：</w:t>
      </w:r>
      <w:r>
        <w:rPr>
          <w:rFonts w:hint="eastAsia" w:ascii="宋体" w:hAnsi="宋体"/>
          <w:bCs/>
          <w:color w:val="000000" w:themeColor="text1"/>
          <w:szCs w:val="21"/>
          <w:highlight w:val="none"/>
          <w:lang w:eastAsia="zh-CN"/>
          <w14:textFill>
            <w14:solidFill>
              <w14:schemeClr w14:val="tx1"/>
            </w14:solidFill>
          </w14:textFill>
        </w:rPr>
        <w:t>2022-2023年阳江市购买机动车驾驶人全科目考场服务项目</w:t>
      </w:r>
      <w:r>
        <w:rPr>
          <w:rFonts w:hint="eastAsia" w:ascii="宋体" w:hAnsi="宋体"/>
          <w:bCs/>
          <w:color w:val="000000" w:themeColor="text1"/>
          <w:szCs w:val="21"/>
          <w:highlight w:val="none"/>
          <w14:textFill>
            <w14:solidFill>
              <w14:schemeClr w14:val="tx1"/>
            </w14:solidFill>
          </w14:textFill>
        </w:rPr>
        <w:t xml:space="preserve"> </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采购预算：人民币3200</w:t>
      </w:r>
      <w:r>
        <w:rPr>
          <w:rFonts w:hint="eastAsia" w:ascii="宋体" w:hAnsi="宋体"/>
          <w:bCs/>
          <w:color w:val="000000" w:themeColor="text1"/>
          <w:szCs w:val="21"/>
          <w:highlight w:val="none"/>
          <w:lang w:val="en-US" w:eastAsia="zh-CN"/>
          <w14:textFill>
            <w14:solidFill>
              <w14:schemeClr w14:val="tx1"/>
            </w14:solidFill>
          </w14:textFill>
        </w:rPr>
        <w:t>0000</w:t>
      </w:r>
      <w:r>
        <w:rPr>
          <w:rFonts w:hint="eastAsia" w:ascii="宋体" w:hAnsi="宋体"/>
          <w:bCs/>
          <w:color w:val="000000" w:themeColor="text1"/>
          <w:szCs w:val="21"/>
          <w:highlight w:val="none"/>
          <w14:textFill>
            <w14:solidFill>
              <w14:schemeClr w14:val="tx1"/>
            </w14:solidFill>
          </w14:textFill>
        </w:rPr>
        <w:t>.00元（超出该上限的报价将作为无效报</w:t>
      </w:r>
      <w:bookmarkStart w:id="259" w:name="_GoBack"/>
      <w:bookmarkEnd w:id="259"/>
      <w:r>
        <w:rPr>
          <w:rFonts w:hint="eastAsia" w:ascii="宋体" w:hAnsi="宋体"/>
          <w:bCs/>
          <w:color w:val="000000" w:themeColor="text1"/>
          <w:szCs w:val="21"/>
          <w:highlight w:val="none"/>
          <w14:textFill>
            <w14:solidFill>
              <w14:schemeClr w14:val="tx1"/>
            </w14:solidFill>
          </w14:textFill>
        </w:rPr>
        <w:t>价处理）</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服务期</w:t>
      </w:r>
      <w:r>
        <w:rPr>
          <w:rFonts w:hint="eastAsia" w:ascii="宋体" w:hAnsi="宋体"/>
          <w:b/>
          <w:color w:val="000000" w:themeColor="text1"/>
          <w:szCs w:val="21"/>
          <w:highlight w:val="none"/>
          <w14:textFill>
            <w14:solidFill>
              <w14:schemeClr w14:val="tx1"/>
            </w14:solidFill>
          </w14:textFill>
        </w:rPr>
        <w:t>：</w:t>
      </w:r>
      <w:r>
        <w:rPr>
          <w:rFonts w:hint="eastAsia" w:ascii="宋体" w:hAnsi="宋体"/>
          <w:b w:val="0"/>
          <w:bCs/>
          <w:color w:val="000000" w:themeColor="text1"/>
          <w:szCs w:val="21"/>
          <w:highlight w:val="none"/>
          <w14:textFill>
            <w14:solidFill>
              <w14:schemeClr w14:val="tx1"/>
            </w14:solidFill>
          </w14:textFill>
        </w:rPr>
        <w:t xml:space="preserve">2 </w:t>
      </w:r>
      <w:r>
        <w:rPr>
          <w:rFonts w:hint="eastAsia" w:ascii="宋体" w:hAnsi="宋体"/>
          <w:b/>
          <w:color w:val="000000" w:themeColor="text1"/>
          <w:szCs w:val="21"/>
          <w:highlight w:val="none"/>
          <w14:textFill>
            <w14:solidFill>
              <w14:schemeClr w14:val="tx1"/>
            </w14:solidFill>
          </w14:textFill>
        </w:rPr>
        <w:t>年</w:t>
      </w:r>
      <w:r>
        <w:rPr>
          <w:rFonts w:hint="eastAsia" w:ascii="宋体" w:hAnsi="宋体"/>
          <w:color w:val="000000" w:themeColor="text1"/>
          <w:spacing w:val="-6"/>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w:t>
      </w:r>
      <w:r>
        <w:rPr>
          <w:rFonts w:hint="eastAsia" w:ascii="宋体" w:hAnsi="宋体"/>
          <w:bCs/>
          <w:color w:val="000000" w:themeColor="text1"/>
          <w:highlight w:val="none"/>
          <w:lang w:eastAsia="zh-CN"/>
          <w14:textFill>
            <w14:solidFill>
              <w14:schemeClr w14:val="tx1"/>
            </w14:solidFill>
          </w14:textFill>
        </w:rPr>
        <w:t>服务期</w:t>
      </w:r>
      <w:r>
        <w:rPr>
          <w:rFonts w:hint="eastAsia" w:ascii="宋体" w:hAnsi="宋体"/>
          <w:bCs/>
          <w:color w:val="000000" w:themeColor="text1"/>
          <w:highlight w:val="none"/>
          <w14:textFill>
            <w14:solidFill>
              <w14:schemeClr w14:val="tx1"/>
            </w14:solidFill>
          </w14:textFill>
        </w:rPr>
        <w:t>将作为无效投标处理）</w:t>
      </w:r>
    </w:p>
    <w:p>
      <w:pPr>
        <w:numPr>
          <w:ilvl w:val="0"/>
          <w:numId w:val="6"/>
        </w:numPr>
        <w:adjustRightInd w:val="0"/>
        <w:snapToGrid w:val="0"/>
        <w:spacing w:line="360" w:lineRule="auto"/>
        <w:ind w:firstLine="120"/>
        <w:rPr>
          <w:rFonts w:ascii="宋体" w:hAnsi="宋体" w:cs="Tahoma"/>
          <w:iCs/>
          <w:color w:val="000000" w:themeColor="text1"/>
          <w:kern w:val="28"/>
          <w:highlight w:val="none"/>
          <w14:textFill>
            <w14:solidFill>
              <w14:schemeClr w14:val="tx1"/>
            </w14:solidFill>
          </w14:textFill>
        </w:rPr>
      </w:pPr>
      <w:r>
        <w:rPr>
          <w:rFonts w:hint="eastAsia" w:ascii="宋体" w:hAnsi="宋体" w:cs="Tahoma"/>
          <w:iCs/>
          <w:color w:val="000000" w:themeColor="text1"/>
          <w:kern w:val="28"/>
          <w:highlight w:val="none"/>
          <w14:textFill>
            <w14:solidFill>
              <w14:schemeClr w14:val="tx1"/>
            </w14:solidFill>
          </w14:textFill>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color w:val="000000" w:themeColor="text1"/>
          <w:szCs w:val="21"/>
          <w:highlight w:val="none"/>
          <w14:textFill>
            <w14:solidFill>
              <w14:schemeClr w14:val="tx1"/>
            </w14:solidFill>
          </w14:textFill>
        </w:rPr>
        <w:t>投标人</w:t>
      </w:r>
      <w:r>
        <w:rPr>
          <w:rFonts w:hint="eastAsia" w:ascii="Tahoma" w:hAnsi="Tahoma" w:cs="Tahoma"/>
          <w:b/>
          <w:color w:val="000000" w:themeColor="text1"/>
          <w:szCs w:val="21"/>
          <w:highlight w:val="none"/>
          <w14:textFill>
            <w14:solidFill>
              <w14:schemeClr w14:val="tx1"/>
            </w14:solidFill>
          </w14:textFill>
        </w:rPr>
        <w:t>资格</w:t>
      </w:r>
      <w:r>
        <w:rPr>
          <w:rFonts w:hint="eastAsia" w:ascii="Tahoma" w:hAnsi="Tahoma" w:cs="Tahoma"/>
          <w:b/>
          <w:bCs/>
          <w:color w:val="000000" w:themeColor="text1"/>
          <w:szCs w:val="21"/>
          <w:highlight w:val="none"/>
          <w14:textFill>
            <w14:solidFill>
              <w14:schemeClr w14:val="tx1"/>
            </w14:solidFill>
          </w14:textFill>
        </w:rPr>
        <w:t>要求</w:t>
      </w:r>
    </w:p>
    <w:p>
      <w:pPr>
        <w:pStyle w:val="84"/>
        <w:autoSpaceDE w:val="0"/>
        <w:autoSpaceDN w:val="0"/>
        <w:spacing w:line="360" w:lineRule="auto"/>
        <w:ind w:firstLine="529" w:firstLineChars="252"/>
        <w:rPr>
          <w:rFonts w:ascii="宋体" w:hAnsi="宋体"/>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1.投标人</w:t>
      </w:r>
      <w:r>
        <w:rPr>
          <w:rFonts w:hint="eastAsia" w:ascii="宋体" w:hAnsi="宋体"/>
          <w:color w:val="000000" w:themeColor="text1"/>
          <w:szCs w:val="21"/>
          <w:highlight w:val="none"/>
          <w14:textFill>
            <w14:solidFill>
              <w14:schemeClr w14:val="tx1"/>
            </w14:solidFill>
          </w14:textFill>
        </w:rPr>
        <w:t>须是具备《政府采购法》第二十二条规定的条件：</w:t>
      </w:r>
    </w:p>
    <w:p>
      <w:pPr>
        <w:widowControl/>
        <w:tabs>
          <w:tab w:val="left" w:pos="525"/>
        </w:tabs>
        <w:adjustRightInd w:val="0"/>
        <w:snapToGrid w:val="0"/>
        <w:spacing w:line="360" w:lineRule="auto"/>
        <w:ind w:left="630" w:leftChars="3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2）具有良好的商业信誉和健全的财务会计制度；</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3）具有履行合同所必需的设备和专业技术能力；</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w:t>
      </w:r>
      <w:r>
        <w:rPr>
          <w:rFonts w:hint="eastAsia" w:ascii="宋体" w:hAnsi="宋体"/>
          <w:color w:val="000000" w:themeColor="text1"/>
          <w:szCs w:val="21"/>
          <w:highlight w:val="none"/>
          <w14:textFill>
            <w14:solidFill>
              <w14:schemeClr w14:val="tx1"/>
            </w14:solidFill>
          </w14:textFill>
        </w:rPr>
        <w:t>行政</w:t>
      </w:r>
      <w:r>
        <w:rPr>
          <w:rFonts w:ascii="宋体" w:hAnsi="宋体"/>
          <w:color w:val="000000" w:themeColor="text1"/>
          <w:szCs w:val="21"/>
          <w:highlight w:val="none"/>
          <w14:textFill>
            <w14:solidFill>
              <w14:schemeClr w14:val="tx1"/>
            </w14:solidFill>
          </w14:textFill>
        </w:rPr>
        <w:t>法规规定的其他条件。</w:t>
      </w:r>
    </w:p>
    <w:p>
      <w:pPr>
        <w:pStyle w:val="84"/>
        <w:autoSpaceDE w:val="0"/>
        <w:autoSpaceDN w:val="0"/>
        <w:spacing w:line="360" w:lineRule="auto"/>
        <w:ind w:left="723" w:leftChars="250" w:hanging="198" w:hangingChars="100"/>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2.单位负责人为同一人或者存在直接控股、管理关系的不同投标人，不得参加本项目同一合同项</w:t>
      </w:r>
    </w:p>
    <w:p>
      <w:pPr>
        <w:pStyle w:val="84"/>
        <w:autoSpaceDE w:val="0"/>
        <w:autoSpaceDN w:val="0"/>
        <w:spacing w:line="360" w:lineRule="auto"/>
        <w:ind w:left="735" w:leftChars="350" w:firstLine="0" w:firstLineChars="0"/>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下的政府采购活动</w:t>
      </w:r>
      <w:r>
        <w:rPr>
          <w:rFonts w:hint="eastAsia" w:ascii="宋体" w:hAnsi="宋体"/>
          <w:color w:val="000000" w:themeColor="text1"/>
          <w:spacing w:val="-6"/>
          <w:szCs w:val="21"/>
          <w:highlight w:val="none"/>
          <w:lang w:val="zh-CN"/>
          <w14:textFill>
            <w14:solidFill>
              <w14:schemeClr w14:val="tx1"/>
            </w14:solidFill>
          </w14:textFill>
        </w:rPr>
        <w:t>；（提供《谈判邀请函》承诺）</w:t>
      </w:r>
    </w:p>
    <w:p>
      <w:pPr>
        <w:pStyle w:val="84"/>
        <w:autoSpaceDE w:val="0"/>
        <w:autoSpaceDN w:val="0"/>
        <w:spacing w:line="360" w:lineRule="auto"/>
        <w:ind w:left="723" w:leftChars="250" w:hanging="198" w:hangingChars="100"/>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3.为本采购项目提供整体设计、规范编制或者项目管理、监理、检测等服务的，不得再参加本项目的其他招标采购活动；</w:t>
      </w:r>
      <w:r>
        <w:rPr>
          <w:rFonts w:hint="eastAsia" w:ascii="宋体" w:hAnsi="宋体"/>
          <w:color w:val="000000" w:themeColor="text1"/>
          <w:spacing w:val="-6"/>
          <w:szCs w:val="21"/>
          <w:highlight w:val="none"/>
          <w:lang w:val="zh-CN"/>
          <w14:textFill>
            <w14:solidFill>
              <w14:schemeClr w14:val="tx1"/>
            </w14:solidFill>
          </w14:textFill>
        </w:rPr>
        <w:t>（提供《谈判邀请函》承诺）</w:t>
      </w:r>
    </w:p>
    <w:p>
      <w:pPr>
        <w:pStyle w:val="84"/>
        <w:autoSpaceDE w:val="0"/>
        <w:autoSpaceDN w:val="0"/>
        <w:spacing w:line="360" w:lineRule="auto"/>
        <w:ind w:left="723" w:leftChars="250" w:hanging="198"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000000" w:themeColor="text1"/>
          <w:szCs w:val="21"/>
          <w:highlight w:val="none"/>
          <w14:textFill>
            <w14:solidFill>
              <w14:schemeClr w14:val="tx1"/>
            </w14:solidFill>
          </w14:textFill>
        </w:rPr>
        <w:t>；</w:t>
      </w:r>
    </w:p>
    <w:p>
      <w:pPr>
        <w:pStyle w:val="84"/>
        <w:autoSpaceDE w:val="0"/>
        <w:autoSpaceDN w:val="0"/>
        <w:spacing w:line="360" w:lineRule="auto"/>
        <w:ind w:left="735" w:leftChars="2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5.本项目不接受联合体投标；</w:t>
      </w:r>
    </w:p>
    <w:p>
      <w:pPr>
        <w:spacing w:line="360" w:lineRule="auto"/>
        <w:ind w:left="317" w:leftChars="151" w:firstLine="210" w:firstLineChars="100"/>
        <w:rPr>
          <w:rFonts w:ascii="宋体" w:hAnsi="宋体" w:cs="Adobe 仿宋 Std R"/>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6</w:t>
      </w:r>
      <w:r>
        <w:rPr>
          <w:rFonts w:hint="eastAsia" w:ascii="宋体" w:hAnsi="宋体" w:cs="Tahoma"/>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r>
        <w:rPr>
          <w:rFonts w:hint="eastAsia" w:ascii="宋体" w:hAnsi="宋体"/>
          <w:color w:val="000000" w:themeColor="text1"/>
          <w:szCs w:val="21"/>
          <w:highlight w:val="none"/>
          <w14:textFill>
            <w14:solidFill>
              <w14:schemeClr w14:val="tx1"/>
            </w14:solidFill>
          </w14:textFill>
        </w:rPr>
        <w:t>。</w:t>
      </w:r>
    </w:p>
    <w:p>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1.谈判文件公示时间： </w:t>
      </w:r>
      <w:r>
        <w:rPr>
          <w:rFonts w:hint="eastAsia" w:ascii="宋体" w:hAnsi="宋体" w:eastAsia="宋体" w:cs="宋体"/>
          <w:color w:val="000000" w:themeColor="text1"/>
          <w:highlight w:val="none"/>
          <w:lang w:val="en-US" w:eastAsia="zh-CN"/>
          <w14:textFill>
            <w14:solidFill>
              <w14:schemeClr w14:val="tx1"/>
            </w14:solidFill>
          </w14:textFill>
        </w:rPr>
        <w:t>2021年12月23日至2021年12月30日</w:t>
      </w:r>
      <w:r>
        <w:rPr>
          <w:rFonts w:hint="eastAsia" w:ascii="宋体" w:hAnsi="宋体" w:cs="宋体"/>
          <w:color w:val="000000" w:themeColor="text1"/>
          <w:szCs w:val="21"/>
          <w:highlight w:val="none"/>
          <w14:textFill>
            <w14:solidFill>
              <w14:schemeClr w14:val="tx1"/>
            </w14:solidFill>
          </w14:textFill>
        </w:rPr>
        <w:t>。</w:t>
      </w:r>
    </w:p>
    <w:p>
      <w:pPr>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2．获取谈判文件时间及下载：</w:t>
      </w:r>
      <w:r>
        <w:rPr>
          <w:rFonts w:hint="eastAsia" w:ascii="宋体" w:hAnsi="宋体" w:eastAsia="宋体" w:cs="宋体"/>
          <w:color w:val="000000" w:themeColor="text1"/>
          <w:highlight w:val="none"/>
          <w:lang w:val="en-US" w:eastAsia="zh-CN"/>
          <w14:textFill>
            <w14:solidFill>
              <w14:schemeClr w14:val="tx1"/>
            </w14:solidFill>
          </w14:textFill>
        </w:rPr>
        <w:t>2021年12月23日至2021年12月30日</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上午9:00～12:00，下午2:30～5:30</w:t>
      </w:r>
      <w:r>
        <w:rPr>
          <w:rFonts w:hint="eastAsia" w:ascii="宋体" w:hAnsi="宋体" w:cs="宋体"/>
          <w:color w:val="000000" w:themeColor="text1"/>
          <w:szCs w:val="21"/>
          <w:highlight w:val="none"/>
          <w14:textFill>
            <w14:solidFill>
              <w14:schemeClr w14:val="tx1"/>
            </w14:solidFill>
          </w14:textFill>
        </w:rPr>
        <w:t>（节假日除外）（北京时间）。</w:t>
      </w:r>
    </w:p>
    <w:p>
      <w:pPr>
        <w:spacing w:line="360" w:lineRule="auto"/>
        <w:ind w:left="318"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3．获取谈判文件地点：阳江市江城区猫山四街33号A座2楼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05室。</w:t>
      </w:r>
    </w:p>
    <w:p>
      <w:pPr>
        <w:spacing w:line="360" w:lineRule="auto"/>
        <w:ind w:left="31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4．获取谈判文件方式：</w:t>
      </w:r>
      <w:r>
        <w:rPr>
          <w:rFonts w:hint="eastAsia" w:ascii="宋体" w:hAnsi="宋体"/>
          <w:bCs/>
          <w:color w:val="000000" w:themeColor="text1"/>
          <w:highlight w:val="none"/>
          <w:lang w:val="en-US" w:eastAsia="zh-CN"/>
          <w14:textFill>
            <w14:solidFill>
              <w14:schemeClr w14:val="tx1"/>
            </w14:solidFill>
          </w14:textFill>
        </w:rPr>
        <w:t>购买。</w:t>
      </w:r>
    </w:p>
    <w:p>
      <w:pPr>
        <w:spacing w:line="360" w:lineRule="auto"/>
        <w:ind w:left="318"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5．谈判文件售价：谈判文件每套人民币300元，售后不退。</w:t>
      </w:r>
    </w:p>
    <w:p>
      <w:pPr>
        <w:spacing w:line="360" w:lineRule="auto"/>
        <w:ind w:left="283" w:leftChars="-1" w:hanging="285" w:hangingChars="1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6．购买谈判文件方式：现场发售。</w:t>
      </w:r>
    </w:p>
    <w:p>
      <w:pPr>
        <w:spacing w:line="360" w:lineRule="auto"/>
        <w:ind w:left="737" w:leftChars="251"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7．购买谈判文件必须携带法定代表人证明书原件、法定代表人授权委托书原件、法定代表人身份证复印件、授权委托人身份证复印件和企业法人营业执照副本复印件及《购买标书登记表》（</w:t>
      </w:r>
      <w:r>
        <w:rPr>
          <w:rFonts w:hint="eastAsia" w:ascii="宋体" w:hAnsi="宋体" w:cs="宋体"/>
          <w:color w:val="000000" w:themeColor="text1"/>
          <w:highlight w:val="none"/>
          <w14:textFill>
            <w14:solidFill>
              <w14:schemeClr w14:val="tx1"/>
            </w14:solidFill>
          </w14:textFill>
        </w:rPr>
        <w:t>附表）</w:t>
      </w:r>
      <w:r>
        <w:rPr>
          <w:rFonts w:hint="eastAsia" w:ascii="宋体" w:hAnsi="宋体" w:cs="宋体"/>
          <w:color w:val="000000" w:themeColor="text1"/>
          <w:szCs w:val="21"/>
          <w:highlight w:val="none"/>
          <w14:textFill>
            <w14:solidFill>
              <w14:schemeClr w14:val="tx1"/>
            </w14:solidFill>
          </w14:textFill>
        </w:rPr>
        <w:t>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pPr>
        <w:widowControl/>
        <w:numPr>
          <w:ilvl w:val="0"/>
          <w:numId w:val="7"/>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报价截止时间、开标时间及地点</w:t>
      </w:r>
    </w:p>
    <w:p>
      <w:pPr>
        <w:widowControl/>
        <w:spacing w:line="360" w:lineRule="auto"/>
        <w:ind w:left="318" w:firstLine="105" w:firstLineChars="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 </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时间：2021年12月31日</w:t>
      </w:r>
      <w:r>
        <w:rPr>
          <w:rFonts w:hint="eastAsia" w:ascii="宋体" w:hAnsi="宋体" w:cs="宋体"/>
          <w:color w:val="000000" w:themeColor="text1"/>
          <w:kern w:val="0"/>
          <w:szCs w:val="21"/>
          <w:highlight w:val="none"/>
          <w:lang w:val="en-US" w:eastAsia="zh-CN"/>
          <w14:textFill>
            <w14:solidFill>
              <w14:schemeClr w14:val="tx1"/>
            </w14:solidFill>
          </w14:textFill>
        </w:rPr>
        <w:t xml:space="preserve"> 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left="632" w:leftChars="151" w:hanging="315" w:hangingChars="1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地点：阳江市江城区猫山四街33号A座2楼</w:t>
      </w:r>
      <w:r>
        <w:rPr>
          <w:rFonts w:hint="eastAsia" w:ascii="宋体" w:hAnsi="宋体" w:cs="宋体"/>
          <w:color w:val="000000" w:themeColor="text1"/>
          <w:kern w:val="0"/>
          <w:szCs w:val="21"/>
          <w:highlight w:val="none"/>
          <w:lang w:val="en-US" w:eastAsia="zh-CN"/>
          <w14:textFill>
            <w14:solidFill>
              <w14:schemeClr w14:val="tx1"/>
            </w14:solidFill>
          </w14:textFill>
        </w:rPr>
        <w:t>201</w:t>
      </w:r>
      <w:r>
        <w:rPr>
          <w:rFonts w:hint="eastAsia" w:ascii="宋体" w:hAnsi="宋体" w:cs="宋体"/>
          <w:color w:val="000000" w:themeColor="text1"/>
          <w:kern w:val="0"/>
          <w:szCs w:val="21"/>
          <w:highlight w:val="none"/>
          <w14:textFill>
            <w14:solidFill>
              <w14:schemeClr w14:val="tx1"/>
            </w14:solidFill>
          </w14:textFill>
        </w:rPr>
        <w:t>开标室。</w:t>
      </w:r>
    </w:p>
    <w:p>
      <w:pPr>
        <w:widowControl/>
        <w:spacing w:line="360" w:lineRule="auto"/>
        <w:ind w:left="318"/>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3.</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2021年12月31日</w:t>
      </w:r>
      <w:r>
        <w:rPr>
          <w:rFonts w:hint="eastAsia" w:ascii="宋体" w:hAnsi="宋体" w:cs="宋体"/>
          <w:color w:val="000000" w:themeColor="text1"/>
          <w:kern w:val="0"/>
          <w:szCs w:val="21"/>
          <w:highlight w:val="none"/>
          <w:lang w:val="en-US" w:eastAsia="zh-CN"/>
          <w14:textFill>
            <w14:solidFill>
              <w14:schemeClr w14:val="tx1"/>
            </w14:solidFill>
          </w14:textFill>
        </w:rPr>
        <w:t xml:space="preserve"> 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left="318" w:firstLine="105" w:firstLineChars="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4.</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 xml:space="preserve">：2021年12月31日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left="318"/>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5.</w:t>
      </w:r>
      <w:r>
        <w:rPr>
          <w:color w:val="000000" w:themeColor="text1"/>
          <w:kern w:val="0"/>
          <w:szCs w:val="21"/>
          <w:highlight w:val="none"/>
          <w14:textFill>
            <w14:solidFill>
              <w14:schemeClr w14:val="tx1"/>
            </w14:solidFill>
          </w14:textFill>
        </w:rPr>
        <w:t>   </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地点：阳江市江城区猫山四街33号A座2楼</w:t>
      </w:r>
      <w:r>
        <w:rPr>
          <w:rFonts w:hint="eastAsia" w:ascii="宋体" w:hAnsi="宋体" w:cs="宋体"/>
          <w:color w:val="000000" w:themeColor="text1"/>
          <w:kern w:val="0"/>
          <w:szCs w:val="21"/>
          <w:highlight w:val="none"/>
          <w:lang w:val="en-US" w:eastAsia="zh-CN"/>
          <w14:textFill>
            <w14:solidFill>
              <w14:schemeClr w14:val="tx1"/>
            </w14:solidFill>
          </w14:textFill>
        </w:rPr>
        <w:t>202</w:t>
      </w:r>
      <w:r>
        <w:rPr>
          <w:rFonts w:hint="eastAsia" w:ascii="宋体" w:hAnsi="宋体" w:cs="宋体"/>
          <w:color w:val="000000" w:themeColor="text1"/>
          <w:kern w:val="0"/>
          <w:szCs w:val="21"/>
          <w:highlight w:val="none"/>
          <w14:textFill>
            <w14:solidFill>
              <w14:schemeClr w14:val="tx1"/>
            </w14:solidFill>
          </w14:textFill>
        </w:rPr>
        <w:t>评标室。</w:t>
      </w:r>
    </w:p>
    <w:p>
      <w:pPr>
        <w:widowControl/>
        <w:numPr>
          <w:ilvl w:val="0"/>
          <w:numId w:val="7"/>
        </w:numPr>
        <w:tabs>
          <w:tab w:val="left" w:pos="502"/>
          <w:tab w:val="left" w:pos="737"/>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采购人联系方式：</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称：阳江市公安局</w:t>
      </w:r>
    </w:p>
    <w:p>
      <w:pPr>
        <w:widowControl/>
        <w:spacing w:line="360" w:lineRule="auto"/>
        <w:ind w:right="-255" w:firstLine="840" w:firstLineChars="4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s="Tahoma"/>
          <w:color w:val="000000" w:themeColor="text1"/>
          <w:kern w:val="28"/>
          <w:szCs w:val="21"/>
          <w:highlight w:val="none"/>
          <w14:textFill>
            <w14:solidFill>
              <w14:schemeClr w14:val="tx1"/>
            </w14:solidFill>
          </w14:textFill>
        </w:rPr>
        <w:t>阳江市江城区东风三路99号</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 系 人：</w:t>
      </w:r>
      <w:r>
        <w:rPr>
          <w:rFonts w:hint="eastAsia" w:ascii="宋体" w:hAnsi="宋体" w:cs="Tahoma"/>
          <w:color w:val="000000" w:themeColor="text1"/>
          <w:kern w:val="28"/>
          <w:szCs w:val="21"/>
          <w:highlight w:val="none"/>
          <w14:textFill>
            <w14:solidFill>
              <w14:schemeClr w14:val="tx1"/>
            </w14:solidFill>
          </w14:textFill>
        </w:rPr>
        <w:t>冯永睿</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14:textFill>
            <w14:solidFill>
              <w14:schemeClr w14:val="tx1"/>
            </w14:solidFill>
          </w14:textFill>
        </w:rPr>
        <w:t>0662-3316200</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代理采购机构联系方式：</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bookmarkStart w:id="10" w:name="_Toc351985908"/>
      <w:bookmarkStart w:id="11" w:name="_Toc353522387"/>
      <w:bookmarkStart w:id="12" w:name="_Toc329242667"/>
      <w:bookmarkStart w:id="13" w:name="_Toc351986013"/>
      <w:bookmarkStart w:id="14" w:name="_Toc357151163"/>
      <w:bookmarkStart w:id="15" w:name="_Toc369180017"/>
      <w:bookmarkStart w:id="16" w:name="_Toc351988704"/>
      <w:bookmarkStart w:id="17" w:name="_Toc351987959"/>
      <w:bookmarkStart w:id="18" w:name="_Toc351990140"/>
      <w:bookmarkStart w:id="19" w:name="_Toc351987763"/>
      <w:bookmarkStart w:id="20" w:name="_Toc351986193"/>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联系人：冯国辉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电话：0662-3167266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传真：0662-2669666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联系地址：阳江市江城区猫山四街33号A座2楼</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ind w:firstLine="898" w:firstLineChars="428"/>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网址：http://www.yjcg.cc</w:t>
      </w:r>
    </w:p>
    <w:p>
      <w:pPr>
        <w:spacing w:line="360" w:lineRule="auto"/>
        <w:ind w:firstLine="3255" w:firstLineChars="1550"/>
        <w:rPr>
          <w:rFonts w:ascii="宋体" w:hAnsi="宋体" w:cs="宋体"/>
          <w:color w:val="000000" w:themeColor="text1"/>
          <w:szCs w:val="21"/>
          <w:highlight w:val="none"/>
          <w14:textFill>
            <w14:solidFill>
              <w14:schemeClr w14:val="tx1"/>
            </w14:solidFill>
          </w14:textFill>
        </w:rPr>
      </w:pPr>
    </w:p>
    <w:p>
      <w:pPr>
        <w:spacing w:line="360" w:lineRule="auto"/>
        <w:ind w:firstLine="3255" w:firstLineChars="1550"/>
        <w:rPr>
          <w:rFonts w:ascii="宋体" w:hAnsi="宋体"/>
          <w:color w:val="000000" w:themeColor="text1"/>
          <w:szCs w:val="21"/>
          <w:highlight w:val="none"/>
          <w14:textFill>
            <w14:solidFill>
              <w14:schemeClr w14:val="tx1"/>
            </w14:solidFill>
          </w14:textFill>
        </w:rPr>
      </w:pPr>
    </w:p>
    <w:p>
      <w:pPr>
        <w:spacing w:line="360" w:lineRule="auto"/>
        <w:ind w:firstLine="3255" w:firstLineChars="1550"/>
        <w:rPr>
          <w:rFonts w:ascii="宋体" w:hAnsi="宋体"/>
          <w:color w:val="000000" w:themeColor="text1"/>
          <w:szCs w:val="21"/>
          <w:highlight w:val="none"/>
          <w14:textFill>
            <w14:solidFill>
              <w14:schemeClr w14:val="tx1"/>
            </w14:solidFill>
          </w14:textFill>
        </w:rPr>
      </w:pPr>
    </w:p>
    <w:p>
      <w:pPr>
        <w:spacing w:line="360" w:lineRule="auto"/>
        <w:ind w:firstLine="3255" w:firstLineChars="1550"/>
        <w:rPr>
          <w:rFonts w:ascii="宋体" w:hAnsi="宋体"/>
          <w:color w:val="000000" w:themeColor="text1"/>
          <w:szCs w:val="21"/>
          <w:highlight w:val="none"/>
          <w14:textFill>
            <w14:solidFill>
              <w14:schemeClr w14:val="tx1"/>
            </w14:solidFill>
          </w14:textFill>
        </w:rPr>
      </w:pPr>
    </w:p>
    <w:p>
      <w:pPr>
        <w:spacing w:line="360" w:lineRule="auto"/>
        <w:ind w:firstLine="3255" w:firstLineChars="15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spacing w:line="360" w:lineRule="auto"/>
        <w:ind w:left="6615" w:leftChars="2450" w:hanging="1470" w:hangingChars="7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2021</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t>日</w:t>
      </w:r>
    </w:p>
    <w:bookmarkEnd w:id="10"/>
    <w:bookmarkEnd w:id="11"/>
    <w:bookmarkEnd w:id="12"/>
    <w:bookmarkEnd w:id="13"/>
    <w:bookmarkEnd w:id="14"/>
    <w:bookmarkEnd w:id="15"/>
    <w:bookmarkEnd w:id="16"/>
    <w:bookmarkEnd w:id="17"/>
    <w:bookmarkEnd w:id="18"/>
    <w:bookmarkEnd w:id="19"/>
    <w:bookmarkEnd w:id="20"/>
    <w:p>
      <w:pPr>
        <w:pStyle w:val="3"/>
        <w:numPr>
          <w:ilvl w:val="0"/>
          <w:numId w:val="0"/>
        </w:numPr>
        <w:spacing w:afterLines="50" w:line="390" w:lineRule="exact"/>
        <w:jc w:val="center"/>
        <w:rPr>
          <w:rFonts w:ascii="宋体" w:hAnsi="宋体"/>
          <w:color w:val="000000" w:themeColor="text1"/>
          <w:sz w:val="21"/>
          <w:szCs w:val="21"/>
          <w:highlight w:val="none"/>
          <w14:textFill>
            <w14:solidFill>
              <w14:schemeClr w14:val="tx1"/>
            </w14:solidFill>
          </w14:textFill>
        </w:rPr>
      </w:pPr>
      <w:bookmarkStart w:id="21" w:name="_Toc4126"/>
      <w:bookmarkStart w:id="22" w:name="_Toc16126"/>
      <w:r>
        <w:rPr>
          <w:rFonts w:hint="eastAsia" w:ascii="宋体" w:hAnsi="宋体"/>
          <w:color w:val="000000" w:themeColor="text1"/>
          <w:sz w:val="21"/>
          <w:szCs w:val="21"/>
          <w:highlight w:val="none"/>
          <w14:textFill>
            <w14:solidFill>
              <w14:schemeClr w14:val="tx1"/>
            </w14:solidFill>
          </w14:textFill>
        </w:rPr>
        <w:t xml:space="preserve">第二部分 </w:t>
      </w:r>
      <w:bookmarkStart w:id="23" w:name="_Hlt23321722"/>
      <w:bookmarkEnd w:id="23"/>
      <w:bookmarkStart w:id="24" w:name="_Toc333237725"/>
      <w:bookmarkStart w:id="25" w:name="_Toc333935621"/>
      <w:bookmarkStart w:id="26" w:name="_Toc333238573"/>
      <w:bookmarkStart w:id="27" w:name="_Toc75570886"/>
      <w:bookmarkStart w:id="28" w:name="_Toc333237614"/>
      <w:bookmarkStart w:id="29" w:name="_Toc333935280"/>
      <w:bookmarkStart w:id="30" w:name="_Toc330459949"/>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bookmarkEnd w:id="24"/>
    <w:bookmarkEnd w:id="25"/>
    <w:bookmarkEnd w:id="26"/>
    <w:bookmarkEnd w:id="27"/>
    <w:bookmarkEnd w:id="28"/>
    <w:bookmarkEnd w:id="29"/>
    <w:bookmarkEnd w:id="30"/>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31" w:name="_Toc519865383"/>
      <w:bookmarkStart w:id="32" w:name="_Toc351987960"/>
      <w:bookmarkStart w:id="33" w:name="_Toc329242668"/>
      <w:bookmarkStart w:id="34" w:name="_Toc369180018"/>
      <w:bookmarkStart w:id="35" w:name="_Toc351986194"/>
      <w:bookmarkStart w:id="36" w:name="_Toc351987764"/>
      <w:bookmarkStart w:id="37" w:name="_Toc357151164"/>
      <w:bookmarkStart w:id="38" w:name="_Toc452826427"/>
      <w:bookmarkStart w:id="39" w:name="_Toc351985909"/>
      <w:bookmarkStart w:id="40" w:name="_Toc351986014"/>
      <w:bookmarkStart w:id="41" w:name="_Toc353522388"/>
      <w:bookmarkStart w:id="42" w:name="_Toc351990141"/>
      <w:bookmarkStart w:id="43" w:name="_Toc351988705"/>
      <w:bookmarkStart w:id="44" w:name="_Toc24589"/>
      <w:bookmarkStart w:id="45" w:name="_Toc3633"/>
      <w:r>
        <w:rPr>
          <w:rFonts w:hint="eastAsia" w:ascii="宋体" w:hAnsi="宋体"/>
          <w:color w:val="000000" w:themeColor="text1"/>
          <w:sz w:val="21"/>
          <w:szCs w:val="21"/>
          <w:highlight w:val="none"/>
          <w14:textFill>
            <w14:solidFill>
              <w14:schemeClr w14:val="tx1"/>
            </w14:solidFill>
          </w14:textFill>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highlight w:val="none"/>
          <w:u w:val="single"/>
          <w:lang w:eastAsia="zh-CN"/>
          <w14:textFill>
            <w14:solidFill>
              <w14:schemeClr w14:val="tx1"/>
            </w14:solidFill>
          </w14:textFill>
        </w:rPr>
        <w:t>YXCG-20211216</w:t>
      </w:r>
      <w:bookmarkEnd w:id="4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6" w:name="_Toc351987961"/>
      <w:bookmarkStart w:id="47" w:name="_Toc351986195"/>
      <w:bookmarkStart w:id="48" w:name="_Toc369180019"/>
      <w:bookmarkStart w:id="49" w:name="_Toc351988706"/>
      <w:bookmarkStart w:id="50" w:name="_Toc519865384"/>
      <w:bookmarkStart w:id="51" w:name="_Toc351990142"/>
      <w:bookmarkStart w:id="52" w:name="_Toc357151165"/>
      <w:bookmarkStart w:id="53" w:name="_Toc353522389"/>
      <w:bookmarkStart w:id="54" w:name="_Toc351987765"/>
      <w:bookmarkStart w:id="55" w:name="_Toc329242669"/>
      <w:bookmarkStart w:id="56" w:name="_Toc452826428"/>
      <w:bookmarkStart w:id="57" w:name="_Toc351986015"/>
      <w:bookmarkStart w:id="58" w:name="_Toc351985910"/>
      <w:bookmarkStart w:id="59" w:name="_Toc788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2022-2023年阳江市购买机动车驾驶人全科目考场服务项目</w:t>
      </w:r>
      <w:bookmarkEnd w:id="59"/>
    </w:p>
    <w:p>
      <w:pPr>
        <w:pStyle w:val="4"/>
        <w:numPr>
          <w:ilvl w:val="0"/>
          <w:numId w:val="0"/>
        </w:numPr>
        <w:spacing w:beforeLines="150" w:after="0" w:line="360" w:lineRule="auto"/>
        <w:jc w:val="center"/>
        <w:rPr>
          <w:rFonts w:ascii="宋体" w:hAnsi="宋体" w:eastAsia="宋体"/>
          <w:color w:val="000000" w:themeColor="text1"/>
          <w:kern w:val="0"/>
          <w:sz w:val="21"/>
          <w:szCs w:val="21"/>
          <w:highlight w:val="none"/>
          <w14:textFill>
            <w14:solidFill>
              <w14:schemeClr w14:val="tx1"/>
            </w14:solidFill>
          </w14:textFill>
        </w:rPr>
      </w:pPr>
      <w:bookmarkStart w:id="60" w:name="_Toc31891"/>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45"/>
      <w:bookmarkEnd w:id="60"/>
    </w:p>
    <w:tbl>
      <w:tblPr>
        <w:tblStyle w:val="43"/>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详见第一部份《</w:t>
            </w:r>
            <w:r>
              <w:rPr>
                <w:rFonts w:hint="eastAsia"/>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详见第一部份《</w:t>
            </w:r>
            <w:r>
              <w:rPr>
                <w:rFonts w:hint="eastAsia"/>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14:textFill>
                  <w14:solidFill>
                    <w14:schemeClr w14:val="tx1"/>
                  </w14:solidFill>
                </w14:textFill>
              </w:rPr>
            </w:pPr>
            <w:r>
              <w:rPr>
                <w:b/>
                <w:color w:val="000000" w:themeColor="text1"/>
                <w:sz w:val="21"/>
                <w:highlight w:val="none"/>
                <w14:textFill>
                  <w14:solidFill>
                    <w14:schemeClr w14:val="tx1"/>
                  </w14:solidFill>
                </w14:textFill>
              </w:rPr>
              <w:t>服务要求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（一）考场场地要求</w:t>
            </w:r>
          </w:p>
          <w:p>
            <w:pPr>
              <w:spacing w:line="320" w:lineRule="exact"/>
              <w:rPr>
                <w:rFonts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★1、考场土地须在</w:t>
            </w:r>
            <w:r>
              <w:rPr>
                <w:rFonts w:hint="eastAsia" w:ascii="宋体" w:hAnsi="宋体"/>
                <w:color w:val="000000" w:themeColor="text1"/>
                <w:szCs w:val="21"/>
                <w:highlight w:val="none"/>
                <w14:textFill>
                  <w14:solidFill>
                    <w14:schemeClr w14:val="tx1"/>
                  </w14:solidFill>
                </w14:textFill>
              </w:rPr>
              <w:t>阳江</w:t>
            </w:r>
            <w:r>
              <w:rPr>
                <w:rFonts w:ascii="宋体" w:hAnsi="宋体"/>
                <w:color w:val="000000" w:themeColor="text1"/>
                <w:szCs w:val="21"/>
                <w:highlight w:val="none"/>
                <w14:textFill>
                  <w14:solidFill>
                    <w14:schemeClr w14:val="tx1"/>
                  </w14:solidFill>
                </w14:textFill>
              </w:rPr>
              <w:t>市行政区域内且具有合法土地使用许可手续，场地整体须符合消防要求（包含但不限于建筑物、通道、设施设备），且无其他权利瑕疵，符合国家有关的土地和规划的法律法规及政策规定等；承诺中标后提供场地产权证复印件，如是租用场地的，须同时提供产权证复印件和租赁合同复印件。</w:t>
            </w:r>
            <w:r>
              <w:rPr>
                <w:rFonts w:ascii="宋体" w:hAnsi="宋体"/>
                <w:b/>
                <w:bCs/>
                <w:color w:val="000000" w:themeColor="text1"/>
                <w:szCs w:val="21"/>
                <w:highlight w:val="none"/>
                <w14:textFill>
                  <w14:solidFill>
                    <w14:schemeClr w14:val="tx1"/>
                  </w14:solidFill>
                </w14:textFill>
              </w:rPr>
              <w:t>（投标时提供承诺函，格式自拟）</w:t>
            </w:r>
          </w:p>
          <w:p>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2、考场总面积需要大于2万平方米（30亩），考场年考试能力小型汽车满足8万人次；其中小型汽车科目一候考区不低于</w:t>
            </w:r>
            <w:r>
              <w:rPr>
                <w:rFonts w:hint="eastAsia" w:ascii="宋体" w:hAnsi="宋体"/>
                <w:color w:val="000000" w:themeColor="text1"/>
                <w:szCs w:val="21"/>
                <w:highlight w:val="none"/>
                <w14:textFill>
                  <w14:solidFill>
                    <w14:schemeClr w14:val="tx1"/>
                  </w14:solidFill>
                </w14:textFill>
              </w:rPr>
              <w:t>500</w:t>
            </w:r>
            <w:r>
              <w:rPr>
                <w:rFonts w:ascii="宋体" w:hAnsi="宋体"/>
                <w:color w:val="000000" w:themeColor="text1"/>
                <w:szCs w:val="21"/>
                <w:highlight w:val="none"/>
                <w14:textFill>
                  <w14:solidFill>
                    <w14:schemeClr w14:val="tx1"/>
                  </w14:solidFill>
                </w14:textFill>
              </w:rPr>
              <w:t>平方米，科目二候考区不低于500平方米，科目三候考区不低于500平方米；考场应配套有待考室、监控室、考试闸、门禁、考试监控设备、民警休息室等。</w:t>
            </w:r>
          </w:p>
          <w:p>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★3、考场投标人必须承诺满足：</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按照驾驶人考试工作规范要求，根据日常考量配足安全员、引车员及相关工作人员，确保考试运行有序；</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提供的考试场地及设备应符合 139 号令及国家最新的《机动车驾驶人考试内容与方法》（GA/2026-2017）、《机动车驾驶人考试场地及其设施设置》（ GA/1029-2017 ）、考试车辆和考试设备必须符合《机动车驾驶人考试系统通用技术条件》（GA/T1028.1-2017、GA/T1028.2-2017、GA/T1028.3-2017、GA/T1028.4-2017）和《机动车驾驶人考试监管系统通用技术条件》（GA1027-2017）要求等行业标准，满足《机动车驾驶人考试场使用验收规范》（GA/T1030.1-2017）GA/T1030.2-2017）、GA/T1030.3-2017），达到省局下发的《关于进一步加强汽车类驾驶人考试工作监督管理工作的通知》（广公交（传）字【2019】571 号）要求，确保考场能通过上级部门的验收；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能及时根据上级部门要求，对考试场地、考试车辆、考试系统、监控设备等进行升级改造，确保考试场地及考试设备达到上级部门要求，保证考试工作能顺利开展；</w:t>
            </w:r>
            <w:r>
              <w:rPr>
                <w:rFonts w:ascii="宋体" w:hAnsi="宋体"/>
                <w:b/>
                <w:bCs/>
                <w:color w:val="000000" w:themeColor="text1"/>
                <w:szCs w:val="21"/>
                <w:highlight w:val="none"/>
                <w14:textFill>
                  <w14:solidFill>
                    <w14:schemeClr w14:val="tx1"/>
                  </w14:solidFill>
                </w14:textFill>
              </w:rPr>
              <w:t>（投标时提供承诺函，格式自拟）</w:t>
            </w:r>
          </w:p>
          <w:p>
            <w:pPr>
              <w:spacing w:line="320" w:lineRule="exact"/>
              <w:rPr>
                <w:rFonts w:hint="eastAsia"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4、若公安部发布新规增加或减少考试项目，按公安部新规调整执行。</w:t>
            </w:r>
            <w:r>
              <w:rPr>
                <w:rFonts w:ascii="宋体" w:hAnsi="宋体"/>
                <w:b/>
                <w:bCs/>
                <w:color w:val="000000" w:themeColor="text1"/>
                <w:szCs w:val="21"/>
                <w:highlight w:val="none"/>
                <w14:textFill>
                  <w14:solidFill>
                    <w14:schemeClr w14:val="tx1"/>
                  </w14:solidFill>
                </w14:textFill>
              </w:rPr>
              <w:t>（投标时提供承诺函，格式自拟）</w:t>
            </w:r>
          </w:p>
          <w:p>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（二）考场服务人员要求</w:t>
            </w:r>
          </w:p>
          <w:p>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1、考场须提供相关辅助人员不少于</w:t>
            </w:r>
            <w:r>
              <w:rPr>
                <w:rFonts w:hint="eastAsia" w:ascii="宋体" w:hAnsi="宋体"/>
                <w:color w:val="000000" w:themeColor="text1"/>
                <w:szCs w:val="21"/>
                <w:highlight w:val="none"/>
                <w14:textFill>
                  <w14:solidFill>
                    <w14:schemeClr w14:val="tx1"/>
                  </w14:solidFill>
                </w14:textFill>
              </w:rPr>
              <w:t>65</w:t>
            </w:r>
            <w:r>
              <w:rPr>
                <w:rFonts w:ascii="宋体" w:hAnsi="宋体"/>
                <w:color w:val="000000" w:themeColor="text1"/>
                <w:szCs w:val="21"/>
                <w:highlight w:val="none"/>
                <w14:textFill>
                  <w14:solidFill>
                    <w14:schemeClr w14:val="tx1"/>
                  </w14:solidFill>
                </w14:textFill>
              </w:rPr>
              <w:t>人，其中科目二不少于</w:t>
            </w:r>
            <w:r>
              <w:rPr>
                <w:rFonts w:hint="eastAsia" w:ascii="宋体" w:hAnsi="宋体"/>
                <w:color w:val="000000" w:themeColor="text1"/>
                <w:szCs w:val="21"/>
                <w:highlight w:val="none"/>
                <w14:textFill>
                  <w14:solidFill>
                    <w14:schemeClr w14:val="tx1"/>
                  </w14:solidFill>
                </w14:textFill>
              </w:rPr>
              <w:t>10</w:t>
            </w:r>
            <w:r>
              <w:rPr>
                <w:rFonts w:ascii="宋体" w:hAnsi="宋体"/>
                <w:color w:val="000000" w:themeColor="text1"/>
                <w:szCs w:val="21"/>
                <w:highlight w:val="none"/>
                <w14:textFill>
                  <w14:solidFill>
                    <w14:schemeClr w14:val="tx1"/>
                  </w14:solidFill>
                </w14:textFill>
              </w:rPr>
              <w:t xml:space="preserve"> 人，科目三不少于 </w:t>
            </w:r>
            <w:r>
              <w:rPr>
                <w:rFonts w:hint="eastAsia" w:ascii="宋体" w:hAnsi="宋体"/>
                <w:color w:val="000000" w:themeColor="text1"/>
                <w:szCs w:val="21"/>
                <w:highlight w:val="none"/>
                <w14:textFill>
                  <w14:solidFill>
                    <w14:schemeClr w14:val="tx1"/>
                  </w14:solidFill>
                </w14:textFill>
              </w:rPr>
              <w:t>45</w:t>
            </w:r>
            <w:r>
              <w:rPr>
                <w:rFonts w:ascii="宋体" w:hAnsi="宋体"/>
                <w:color w:val="000000" w:themeColor="text1"/>
                <w:szCs w:val="21"/>
                <w:highlight w:val="none"/>
                <w14:textFill>
                  <w14:solidFill>
                    <w14:schemeClr w14:val="tx1"/>
                  </w14:solidFill>
                </w14:textFill>
              </w:rPr>
              <w:t>人。</w:t>
            </w:r>
          </w:p>
          <w:p>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2、中标人应按照《中华人民共和国劳动法》的相关规定发放工资，辅助人员工资不得低于</w:t>
            </w:r>
            <w:r>
              <w:rPr>
                <w:rFonts w:hint="eastAsia" w:ascii="宋体" w:hAnsi="宋体"/>
                <w:color w:val="000000" w:themeColor="text1"/>
                <w:szCs w:val="21"/>
                <w:highlight w:val="none"/>
                <w14:textFill>
                  <w14:solidFill>
                    <w14:schemeClr w14:val="tx1"/>
                  </w14:solidFill>
                </w14:textFill>
              </w:rPr>
              <w:t>阳江</w:t>
            </w:r>
            <w:r>
              <w:rPr>
                <w:rFonts w:ascii="宋体" w:hAnsi="宋体"/>
                <w:color w:val="000000" w:themeColor="text1"/>
                <w:szCs w:val="21"/>
                <w:highlight w:val="none"/>
                <w14:textFill>
                  <w14:solidFill>
                    <w14:schemeClr w14:val="tx1"/>
                  </w14:solidFill>
                </w14:textFill>
              </w:rPr>
              <w:t>市最低工资标准。</w:t>
            </w:r>
          </w:p>
          <w:p>
            <w:pPr>
              <w:spacing w:line="32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3、中标人应按照相关规定，为辅助人员支付国家规定必须购买的社会保险费用。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报价应包含</w:t>
            </w:r>
            <w:r>
              <w:rPr>
                <w:rFonts w:hint="eastAsia" w:hAnsi="宋体"/>
                <w:bCs/>
                <w:color w:val="000000" w:themeColor="text1"/>
                <w:szCs w:val="21"/>
                <w:highlight w:val="none"/>
                <w:lang w:val="en-US" w:eastAsia="zh-CN"/>
                <w14:textFill>
                  <w14:solidFill>
                    <w14:schemeClr w14:val="tx1"/>
                  </w14:solidFill>
                </w14:textFill>
              </w:rPr>
              <w:t>完成本项的</w:t>
            </w:r>
            <w:r>
              <w:rPr>
                <w:rFonts w:hAnsi="宋体" w:cs="宋体"/>
                <w:color w:val="000000" w:themeColor="text1"/>
                <w:szCs w:val="21"/>
                <w:highlight w:val="none"/>
                <w14:textFill>
                  <w14:solidFill>
                    <w14:schemeClr w14:val="tx1"/>
                  </w14:solidFill>
                </w14:textFill>
              </w:rPr>
              <w:t>全部费用</w:t>
            </w:r>
            <w:r>
              <w:rPr>
                <w:rFonts w:hint="eastAsia" w:hAnsi="宋体" w:cs="宋体"/>
                <w:color w:val="000000" w:themeColor="text1"/>
                <w:spacing w:val="-3"/>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采</w:t>
            </w:r>
            <w:r>
              <w:rPr>
                <w:rFonts w:hint="eastAsia" w:ascii="宋体" w:hAnsi="宋体" w:cs="宋体"/>
                <w:color w:val="000000" w:themeColor="text1"/>
                <w:highlight w:val="none"/>
                <w14:textFill>
                  <w14:solidFill>
                    <w14:schemeClr w14:val="tx1"/>
                  </w14:solidFill>
                </w14:textFill>
              </w:rPr>
              <w:t>购合同由</w:t>
            </w:r>
            <w:r>
              <w:rPr>
                <w:rFonts w:hint="eastAsia" w:ascii="宋体" w:hAnsi="宋体" w:cs="宋体"/>
                <w:color w:val="000000" w:themeColor="text1"/>
                <w:szCs w:val="21"/>
                <w:highlight w:val="none"/>
                <w14:textFill>
                  <w14:solidFill>
                    <w14:schemeClr w14:val="tx1"/>
                  </w14:solidFill>
                </w14:textFill>
              </w:rPr>
              <w:t>成交供应商</w:t>
            </w:r>
            <w:r>
              <w:rPr>
                <w:rFonts w:hint="eastAsia" w:ascii="宋体" w:hAnsi="宋体" w:cs="宋体"/>
                <w:color w:val="000000" w:themeColor="text1"/>
                <w:highlight w:val="none"/>
                <w14:textFill>
                  <w14:solidFill>
                    <w14:schemeClr w14:val="tx1"/>
                  </w14:solidFill>
                </w14:textFill>
              </w:rPr>
              <w:t>与采购人双方签订，签订时间为《成交通知书》发出之日起</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个日历日内</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olor w:val="000000" w:themeColor="text1"/>
                <w:szCs w:val="21"/>
                <w:highlight w:val="none"/>
                <w:lang w:val="zh-CN" w:eastAsia="zh-CN"/>
                <w14:textFill>
                  <w14:solidFill>
                    <w14:schemeClr w14:val="tx1"/>
                  </w14:solidFill>
                </w14:textFill>
              </w:rPr>
            </w:pPr>
            <w:r>
              <w:rPr>
                <w:rFonts w:hint="eastAsia"/>
                <w:color w:val="000000" w:themeColor="text1"/>
                <w:sz w:val="21"/>
                <w:highlight w:val="none"/>
                <w14:textFill>
                  <w14:solidFill>
                    <w14:schemeClr w14:val="tx1"/>
                  </w14:solidFill>
                </w14:textFill>
              </w:rPr>
              <w:t>阳江市范围内</w:t>
            </w:r>
            <w:r>
              <w:rPr>
                <w:rFonts w:hint="eastAsia"/>
                <w:color w:val="000000" w:themeColor="text1"/>
                <w:sz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9"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cs="Calibri"/>
                <w:b/>
                <w:color w:val="000000" w:themeColor="text1"/>
                <w:szCs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结算和</w:t>
            </w:r>
            <w:r>
              <w:rPr>
                <w:b/>
                <w:color w:val="000000" w:themeColor="text1"/>
                <w:sz w:val="21"/>
                <w:highlight w:val="none"/>
                <w14:textFill>
                  <w14:solidFill>
                    <w14:schemeClr w14:val="tx1"/>
                  </w14:solidFill>
                </w14:textFill>
              </w:rPr>
              <w:t>付款方式</w:t>
            </w:r>
          </w:p>
        </w:tc>
        <w:tc>
          <w:tcPr>
            <w:tcW w:w="6857" w:type="dxa"/>
            <w:gridSpan w:val="2"/>
            <w:tcBorders>
              <w:top w:val="single" w:color="auto" w:sz="4" w:space="0"/>
              <w:left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由采购人按下列程序付款：</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（一）结算方式：</w:t>
            </w:r>
            <w:r>
              <w:rPr>
                <w:rFonts w:hint="eastAsia"/>
                <w:color w:val="000000" w:themeColor="text1"/>
                <w:highlight w:val="none"/>
                <w14:textFill>
                  <w14:solidFill>
                    <w14:schemeClr w14:val="tx1"/>
                  </w14:solidFill>
                </w14:textFill>
              </w:rPr>
              <w:t>每年服务完成后，按年度</w:t>
            </w:r>
            <w:r>
              <w:rPr>
                <w:color w:val="000000" w:themeColor="text1"/>
                <w:highlight w:val="none"/>
                <w14:textFill>
                  <w14:solidFill>
                    <w14:schemeClr w14:val="tx1"/>
                  </w14:solidFill>
                </w14:textFill>
              </w:rPr>
              <w:t>结算服务费用</w:t>
            </w:r>
            <w:r>
              <w:rPr>
                <w:rFonts w:hint="eastAsia"/>
                <w:color w:val="000000" w:themeColor="text1"/>
                <w:highlight w:val="none"/>
                <w14:textFill>
                  <w14:solidFill>
                    <w14:schemeClr w14:val="tx1"/>
                  </w14:solidFill>
                </w14:textFill>
              </w:rPr>
              <w:t>。</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（二）计费公式：</w:t>
            </w:r>
            <w:r>
              <w:rPr>
                <w:rFonts w:hint="eastAsia"/>
                <w:color w:val="000000" w:themeColor="text1"/>
                <w:highlight w:val="none"/>
                <w14:textFill>
                  <w14:solidFill>
                    <w14:schemeClr w14:val="tx1"/>
                  </w14:solidFill>
                </w14:textFill>
              </w:rPr>
              <w:t>每年按每人240元乘以科目一考试人数计算支付，最高计算金额（上限）为中标金额，最低计算金额（下限）为中标金额的70%。</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（三）结算日期：在</w:t>
            </w:r>
            <w:r>
              <w:rPr>
                <w:rFonts w:hint="eastAsia"/>
                <w:color w:val="000000" w:themeColor="text1"/>
                <w:highlight w:val="none"/>
                <w14:textFill>
                  <w14:solidFill>
                    <w14:schemeClr w14:val="tx1"/>
                  </w14:solidFill>
                </w14:textFill>
              </w:rPr>
              <w:t>每个服务年结束的</w:t>
            </w:r>
            <w:r>
              <w:rPr>
                <w:color w:val="000000" w:themeColor="text1"/>
                <w:highlight w:val="none"/>
                <w14:textFill>
                  <w14:solidFill>
                    <w14:schemeClr w14:val="tx1"/>
                  </w14:solidFill>
                </w14:textFill>
              </w:rPr>
              <w:t>次月</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0号前中标人和采购人共同核实</w:t>
            </w:r>
            <w:r>
              <w:rPr>
                <w:rFonts w:hint="eastAsia"/>
                <w:color w:val="000000" w:themeColor="text1"/>
                <w:highlight w:val="none"/>
                <w14:textFill>
                  <w14:solidFill>
                    <w14:schemeClr w14:val="tx1"/>
                  </w14:solidFill>
                </w14:textFill>
              </w:rPr>
              <w:t>该年度的考</w:t>
            </w:r>
            <w:r>
              <w:rPr>
                <w:color w:val="000000" w:themeColor="text1"/>
                <w:highlight w:val="none"/>
                <w14:textFill>
                  <w14:solidFill>
                    <w14:schemeClr w14:val="tx1"/>
                  </w14:solidFill>
                </w14:textFill>
              </w:rPr>
              <w:t>试人数，次月</w:t>
            </w:r>
            <w:r>
              <w:rPr>
                <w:rFonts w:hint="eastAsia"/>
                <w:color w:val="000000" w:themeColor="text1"/>
                <w:highlight w:val="none"/>
                <w14:textFill>
                  <w14:solidFill>
                    <w14:schemeClr w14:val="tx1"/>
                  </w14:solidFill>
                </w14:textFill>
              </w:rPr>
              <w:t>30日</w:t>
            </w:r>
            <w:r>
              <w:rPr>
                <w:color w:val="000000" w:themeColor="text1"/>
                <w:highlight w:val="none"/>
                <w14:textFill>
                  <w14:solidFill>
                    <w14:schemeClr w14:val="tx1"/>
                  </w14:solidFill>
                </w14:textFill>
              </w:rPr>
              <w:t>前完成支付</w:t>
            </w:r>
            <w:r>
              <w:rPr>
                <w:rFonts w:hint="eastAsia"/>
                <w:color w:val="000000" w:themeColor="text1"/>
                <w:highlight w:val="none"/>
                <w14:textFill>
                  <w14:solidFill>
                    <w14:schemeClr w14:val="tx1"/>
                  </w14:solidFill>
                </w14:textFill>
              </w:rPr>
              <w:t>该年度服务</w:t>
            </w:r>
            <w:r>
              <w:rPr>
                <w:color w:val="000000" w:themeColor="text1"/>
                <w:highlight w:val="none"/>
                <w14:textFill>
                  <w14:solidFill>
                    <w14:schemeClr w14:val="tx1"/>
                  </w14:solidFill>
                </w14:textFill>
              </w:rPr>
              <w:t>费用。</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（四）计费标准：</w:t>
            </w:r>
          </w:p>
          <w:tbl>
            <w:tblPr>
              <w:tblStyle w:val="43"/>
              <w:tblW w:w="0" w:type="auto"/>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33"/>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8"/>
                    <w:spacing w:before="1"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科目</w:t>
                  </w:r>
                </w:p>
              </w:tc>
              <w:tc>
                <w:tcPr>
                  <w:tcW w:w="2795" w:type="dxa"/>
                  <w:noWrap w:val="0"/>
                  <w:vAlign w:val="center"/>
                </w:tcPr>
                <w:p>
                  <w:pPr>
                    <w:pStyle w:val="18"/>
                    <w:spacing w:before="1" w:line="24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57"/>
                    <w:spacing w:before="22" w:line="240" w:lineRule="auto"/>
                    <w:ind w:left="610" w:right="599"/>
                    <w:jc w:val="center"/>
                    <w:rPr>
                      <w:color w:val="000000" w:themeColor="text1"/>
                      <w:sz w:val="21"/>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科目一</w:t>
                  </w:r>
                </w:p>
              </w:tc>
              <w:tc>
                <w:tcPr>
                  <w:tcW w:w="2795" w:type="dxa"/>
                  <w:noWrap w:val="0"/>
                  <w:vAlign w:val="center"/>
                </w:tcPr>
                <w:p>
                  <w:pPr>
                    <w:pStyle w:val="157"/>
                    <w:spacing w:before="22" w:line="240" w:lineRule="auto"/>
                    <w:ind w:right="947"/>
                    <w:jc w:val="center"/>
                    <w:rPr>
                      <w:color w:val="000000" w:themeColor="text1"/>
                      <w:sz w:val="21"/>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 xml:space="preserve">        35</w:t>
                  </w:r>
                  <w:r>
                    <w:rPr>
                      <w:color w:val="000000" w:themeColor="text1"/>
                      <w:sz w:val="21"/>
                      <w:highlight w:val="none"/>
                      <w:lang w:eastAsia="en-US"/>
                      <w14:textFill>
                        <w14:solidFill>
                          <w14:schemeClr w14:val="tx1"/>
                        </w14:solidFill>
                      </w14:textFill>
                    </w:rPr>
                    <w:t>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57"/>
                    <w:spacing w:before="22" w:line="240" w:lineRule="auto"/>
                    <w:ind w:left="610" w:right="599"/>
                    <w:jc w:val="center"/>
                    <w:rPr>
                      <w:color w:val="000000" w:themeColor="text1"/>
                      <w:sz w:val="21"/>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科目二</w:t>
                  </w:r>
                </w:p>
              </w:tc>
              <w:tc>
                <w:tcPr>
                  <w:tcW w:w="2795" w:type="dxa"/>
                  <w:noWrap w:val="0"/>
                  <w:vAlign w:val="center"/>
                </w:tcPr>
                <w:p>
                  <w:pPr>
                    <w:pStyle w:val="157"/>
                    <w:spacing w:before="22" w:line="240" w:lineRule="auto"/>
                    <w:ind w:right="947"/>
                    <w:jc w:val="center"/>
                    <w:rPr>
                      <w:color w:val="000000" w:themeColor="text1"/>
                      <w:sz w:val="21"/>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 xml:space="preserve">        65</w:t>
                  </w:r>
                  <w:r>
                    <w:rPr>
                      <w:color w:val="000000" w:themeColor="text1"/>
                      <w:sz w:val="21"/>
                      <w:highlight w:val="none"/>
                      <w:lang w:eastAsia="en-US"/>
                      <w14:textFill>
                        <w14:solidFill>
                          <w14:schemeClr w14:val="tx1"/>
                        </w14:solidFill>
                      </w14:textFill>
                    </w:rPr>
                    <w:t>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633" w:type="dxa"/>
                  <w:noWrap w:val="0"/>
                  <w:vAlign w:val="center"/>
                </w:tcPr>
                <w:p>
                  <w:pPr>
                    <w:pStyle w:val="157"/>
                    <w:spacing w:before="25" w:line="240" w:lineRule="auto"/>
                    <w:ind w:left="610" w:right="599"/>
                    <w:jc w:val="center"/>
                    <w:rPr>
                      <w:color w:val="000000" w:themeColor="text1"/>
                      <w:sz w:val="21"/>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科目三</w:t>
                  </w:r>
                </w:p>
              </w:tc>
              <w:tc>
                <w:tcPr>
                  <w:tcW w:w="2795" w:type="dxa"/>
                  <w:noWrap w:val="0"/>
                  <w:vAlign w:val="center"/>
                </w:tcPr>
                <w:p>
                  <w:pPr>
                    <w:pStyle w:val="157"/>
                    <w:spacing w:before="25" w:line="240" w:lineRule="auto"/>
                    <w:ind w:right="947"/>
                    <w:jc w:val="center"/>
                    <w:rPr>
                      <w:rFonts w:hint="eastAsia"/>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         140</w:t>
                  </w:r>
                  <w:r>
                    <w:rPr>
                      <w:color w:val="000000" w:themeColor="text1"/>
                      <w:sz w:val="21"/>
                      <w:highlight w:val="none"/>
                      <w:lang w:eastAsia="en-US"/>
                      <w14:textFill>
                        <w14:solidFill>
                          <w14:schemeClr w14:val="tx1"/>
                        </w14:solidFill>
                      </w14:textFill>
                    </w:rPr>
                    <w:t>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633" w:type="dxa"/>
                  <w:noWrap w:val="0"/>
                  <w:vAlign w:val="center"/>
                </w:tcPr>
                <w:p>
                  <w:pPr>
                    <w:pStyle w:val="157"/>
                    <w:spacing w:before="22" w:line="240" w:lineRule="auto"/>
                    <w:ind w:left="610" w:right="599"/>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合计</w:t>
                  </w:r>
                </w:p>
                <w:p>
                  <w:pPr>
                    <w:bidi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（以科目一考试人数计算）</w:t>
                  </w:r>
                </w:p>
              </w:tc>
              <w:tc>
                <w:tcPr>
                  <w:tcW w:w="2795" w:type="dxa"/>
                  <w:noWrap w:val="0"/>
                  <w:vAlign w:val="center"/>
                </w:tcPr>
                <w:p>
                  <w:pPr>
                    <w:pStyle w:val="157"/>
                    <w:spacing w:before="22" w:line="240" w:lineRule="auto"/>
                    <w:ind w:right="947"/>
                    <w:jc w:val="center"/>
                    <w:rPr>
                      <w:color w:val="000000" w:themeColor="text1"/>
                      <w:sz w:val="21"/>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 xml:space="preserve">         </w:t>
                  </w:r>
                  <w:r>
                    <w:rPr>
                      <w:color w:val="000000" w:themeColor="text1"/>
                      <w:sz w:val="21"/>
                      <w:highlight w:val="none"/>
                      <w:lang w:eastAsia="en-US"/>
                      <w14:textFill>
                        <w14:solidFill>
                          <w14:schemeClr w14:val="tx1"/>
                        </w14:solidFill>
                      </w14:textFill>
                    </w:rPr>
                    <w:t>2</w:t>
                  </w:r>
                  <w:r>
                    <w:rPr>
                      <w:rFonts w:hint="eastAsia"/>
                      <w:color w:val="000000" w:themeColor="text1"/>
                      <w:sz w:val="21"/>
                      <w:highlight w:val="none"/>
                      <w14:textFill>
                        <w14:solidFill>
                          <w14:schemeClr w14:val="tx1"/>
                        </w14:solidFill>
                      </w14:textFill>
                    </w:rPr>
                    <w:t>40</w:t>
                  </w:r>
                  <w:r>
                    <w:rPr>
                      <w:color w:val="000000" w:themeColor="text1"/>
                      <w:sz w:val="21"/>
                      <w:highlight w:val="none"/>
                      <w:lang w:eastAsia="en-US"/>
                      <w14:textFill>
                        <w14:solidFill>
                          <w14:schemeClr w14:val="tx1"/>
                        </w14:solidFill>
                      </w14:textFill>
                    </w:rPr>
                    <w:t>元/人</w:t>
                  </w:r>
                </w:p>
              </w:tc>
            </w:tr>
          </w:tbl>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（五）中标人凭以下有效文件与采购人结算：</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每个月</w:t>
            </w:r>
            <w:r>
              <w:rPr>
                <w:color w:val="000000" w:themeColor="text1"/>
                <w:highlight w:val="none"/>
                <w14:textFill>
                  <w14:solidFill>
                    <w14:schemeClr w14:val="tx1"/>
                  </w14:solidFill>
                </w14:textFill>
              </w:rPr>
              <w:t>经中标人和采购人核实的考试人数；</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2、中标人开具的正式发票；</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叁拾贰</w:t>
            </w:r>
            <w:r>
              <w:rPr>
                <w:rFonts w:hint="eastAsia" w:ascii="宋体" w:hAnsi="宋体"/>
                <w:b/>
                <w:color w:val="000000" w:themeColor="text1"/>
                <w:szCs w:val="21"/>
                <w:highlight w:val="none"/>
                <w14:textFill>
                  <w14:solidFill>
                    <w14:schemeClr w14:val="tx1"/>
                  </w14:solidFill>
                </w14:textFill>
              </w:rPr>
              <w:t>万元整（￥</w:t>
            </w:r>
            <w:r>
              <w:rPr>
                <w:rFonts w:hint="eastAsia" w:ascii="宋体" w:hAnsi="宋体"/>
                <w:b/>
                <w:color w:val="000000" w:themeColor="text1"/>
                <w:szCs w:val="21"/>
                <w:highlight w:val="none"/>
                <w:lang w:val="en-US" w:eastAsia="zh-CN"/>
                <w14:textFill>
                  <w14:solidFill>
                    <w14:schemeClr w14:val="tx1"/>
                  </w14:solidFill>
                </w14:textFill>
              </w:rPr>
              <w:t>320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2400"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中国农业银行股份有限公司阳江城北支行</w:t>
            </w:r>
          </w:p>
        </w:tc>
      </w:tr>
    </w:tbl>
    <w:p>
      <w:pPr>
        <w:pStyle w:val="4"/>
        <w:numPr>
          <w:ilvl w:val="0"/>
          <w:numId w:val="0"/>
        </w:numPr>
        <w:spacing w:beforeLines="150" w:after="0" w:line="360" w:lineRule="auto"/>
        <w:jc w:val="center"/>
        <w:rPr>
          <w:rFonts w:ascii="宋体" w:hAnsi="宋体" w:eastAsia="宋体"/>
          <w:color w:val="000000" w:themeColor="text1"/>
          <w:kern w:val="0"/>
          <w:sz w:val="21"/>
          <w:szCs w:val="21"/>
          <w:highlight w:val="none"/>
          <w14:textFill>
            <w14:solidFill>
              <w14:schemeClr w14:val="tx1"/>
            </w14:solidFill>
          </w14:textFill>
        </w:rPr>
      </w:pPr>
      <w:bookmarkStart w:id="61" w:name="_Toc25629"/>
      <w:r>
        <w:rPr>
          <w:rFonts w:hint="eastAsia" w:ascii="宋体" w:hAnsi="宋体" w:eastAsia="宋体"/>
          <w:color w:val="000000" w:themeColor="text1"/>
          <w:kern w:val="0"/>
          <w:sz w:val="21"/>
          <w:szCs w:val="21"/>
          <w:highlight w:val="none"/>
          <w14:textFill>
            <w14:solidFill>
              <w14:schemeClr w14:val="tx1"/>
            </w14:solidFill>
          </w14:textFill>
        </w:rPr>
        <w:t>B技术要求</w:t>
      </w:r>
      <w:bookmarkEnd w:id="61"/>
    </w:p>
    <w:p>
      <w:pPr>
        <w:spacing w:before="71" w:line="360" w:lineRule="auto"/>
        <w:ind w:left="280"/>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一</w:t>
      </w:r>
      <w:r>
        <w:rPr>
          <w:b/>
          <w:color w:val="000000" w:themeColor="text1"/>
          <w:sz w:val="21"/>
          <w:szCs w:val="21"/>
          <w:highlight w:val="none"/>
          <w14:textFill>
            <w14:solidFill>
              <w14:schemeClr w14:val="tx1"/>
            </w14:solidFill>
          </w14:textFill>
        </w:rPr>
        <w:t>、项目</w:t>
      </w:r>
      <w:r>
        <w:rPr>
          <w:rFonts w:hint="eastAsia"/>
          <w:b/>
          <w:color w:val="000000" w:themeColor="text1"/>
          <w:sz w:val="21"/>
          <w:szCs w:val="21"/>
          <w:highlight w:val="none"/>
          <w14:textFill>
            <w14:solidFill>
              <w14:schemeClr w14:val="tx1"/>
            </w14:solidFill>
          </w14:textFill>
        </w:rPr>
        <w:t>背景</w:t>
      </w:r>
    </w:p>
    <w:p>
      <w:pPr>
        <w:pStyle w:val="18"/>
        <w:spacing w:line="360" w:lineRule="auto"/>
        <w:ind w:left="280" w:right="557" w:firstLine="420"/>
        <w:jc w:val="both"/>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为了认真贯彻上级公安机关的有关规定，运用科技手段严格驾驶人考试工作，购买汽车类驾驶人</w:t>
      </w:r>
      <w:r>
        <w:rPr>
          <w:color w:val="000000" w:themeColor="text1"/>
          <w:spacing w:val="-4"/>
          <w:highlight w:val="none"/>
          <w14:textFill>
            <w14:solidFill>
              <w14:schemeClr w14:val="tx1"/>
            </w14:solidFill>
          </w14:textFill>
        </w:rPr>
        <w:t xml:space="preserve">科目一二三智能考试系统服务能降低考试员劳动强度，将考试员从评判的高度紧张状态中解脱出来， </w:t>
      </w:r>
      <w:r>
        <w:rPr>
          <w:color w:val="000000" w:themeColor="text1"/>
          <w:spacing w:val="-5"/>
          <w:highlight w:val="none"/>
          <w14:textFill>
            <w14:solidFill>
              <w14:schemeClr w14:val="tx1"/>
            </w14:solidFill>
          </w14:textFill>
        </w:rPr>
        <w:t>使其能专心于确保考试过程驾驶安全和对考生交通安全意识方面的考评，不仅减轻了考试员的工作负</w:t>
      </w:r>
      <w:r>
        <w:rPr>
          <w:color w:val="000000" w:themeColor="text1"/>
          <w:spacing w:val="-10"/>
          <w:highlight w:val="none"/>
          <w14:textFill>
            <w14:solidFill>
              <w14:schemeClr w14:val="tx1"/>
            </w14:solidFill>
          </w14:textFill>
        </w:rPr>
        <w:t>担，提高效率，更重要的是加强了对考生交通安全意识等综合素质的考评，全面提升了各科目考试的</w:t>
      </w:r>
      <w:r>
        <w:rPr>
          <w:color w:val="000000" w:themeColor="text1"/>
          <w:spacing w:val="-12"/>
          <w:highlight w:val="none"/>
          <w14:textFill>
            <w14:solidFill>
              <w14:schemeClr w14:val="tx1"/>
            </w14:solidFill>
          </w14:textFill>
        </w:rPr>
        <w:t>科学性、严谨性，使得考试过程更加规范、合理、人性化；同时购买的服务是采用各种先进的科技信</w:t>
      </w:r>
      <w:r>
        <w:rPr>
          <w:color w:val="000000" w:themeColor="text1"/>
          <w:spacing w:val="-10"/>
          <w:highlight w:val="none"/>
          <w14:textFill>
            <w14:solidFill>
              <w14:schemeClr w14:val="tx1"/>
            </w14:solidFill>
          </w14:textFill>
        </w:rPr>
        <w:t>息技术、通信技术、高精度定位技术、传感器技术等开发的全科目智能考试系统，对考试过程进行全</w:t>
      </w:r>
      <w:r>
        <w:rPr>
          <w:color w:val="000000" w:themeColor="text1"/>
          <w:spacing w:val="-5"/>
          <w:highlight w:val="none"/>
          <w14:textFill>
            <w14:solidFill>
              <w14:schemeClr w14:val="tx1"/>
            </w14:solidFill>
          </w14:textFill>
        </w:rPr>
        <w:t>方位监控和智能化辅助评判，增加考试透明度，减少人为因素干扰，体现机动车驾驶人考试的公平、</w:t>
      </w:r>
      <w:r>
        <w:rPr>
          <w:color w:val="000000" w:themeColor="text1"/>
          <w:spacing w:val="-4"/>
          <w:highlight w:val="none"/>
          <w14:textFill>
            <w14:solidFill>
              <w14:schemeClr w14:val="tx1"/>
            </w14:solidFill>
          </w14:textFill>
        </w:rPr>
        <w:t>公正、公开，切实提高交通管理部门的服务水平。</w:t>
      </w:r>
    </w:p>
    <w:p>
      <w:pPr>
        <w:spacing w:before="71" w:line="360" w:lineRule="auto"/>
        <w:ind w:left="280"/>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二</w:t>
      </w:r>
      <w:r>
        <w:rPr>
          <w:b/>
          <w:color w:val="000000" w:themeColor="text1"/>
          <w:sz w:val="21"/>
          <w:szCs w:val="21"/>
          <w:highlight w:val="none"/>
          <w14:textFill>
            <w14:solidFill>
              <w14:schemeClr w14:val="tx1"/>
            </w14:solidFill>
          </w14:textFill>
        </w:rPr>
        <w:t>、项目投入设备要求</w:t>
      </w:r>
    </w:p>
    <w:p>
      <w:pPr>
        <w:pStyle w:val="158"/>
        <w:keepNext w:val="0"/>
        <w:keepLines w:val="0"/>
        <w:pageBreakBefore w:val="0"/>
        <w:widowControl w:val="0"/>
        <w:kinsoku/>
        <w:wordWrap/>
        <w:overflowPunct/>
        <w:topLinePunct w:val="0"/>
        <w:autoSpaceDE/>
        <w:autoSpaceDN/>
        <w:bidi w:val="0"/>
        <w:adjustRightInd/>
        <w:snapToGrid/>
        <w:spacing w:before="100" w:line="360" w:lineRule="auto"/>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1、项目总体要求</w:t>
      </w:r>
    </w:p>
    <w:p>
      <w:pPr>
        <w:pStyle w:val="18"/>
        <w:keepNext w:val="0"/>
        <w:keepLines w:val="0"/>
        <w:pageBreakBefore w:val="0"/>
        <w:widowControl w:val="0"/>
        <w:kinsoku/>
        <w:wordWrap/>
        <w:overflowPunct/>
        <w:topLinePunct w:val="0"/>
        <w:autoSpaceDE/>
        <w:autoSpaceDN/>
        <w:bidi w:val="0"/>
        <w:adjustRightInd/>
        <w:snapToGrid/>
        <w:spacing w:before="101" w:line="360" w:lineRule="auto"/>
        <w:ind w:left="702"/>
        <w:textAlignment w:val="auto"/>
        <w:outlineLvl w:val="9"/>
        <w:rPr>
          <w:color w:val="000000" w:themeColor="text1"/>
          <w:sz w:val="18"/>
          <w:highlight w:val="none"/>
          <w14:textFill>
            <w14:solidFill>
              <w14:schemeClr w14:val="tx1"/>
            </w14:solidFill>
          </w14:textFill>
        </w:rPr>
      </w:pPr>
      <w:r>
        <w:rPr>
          <w:color w:val="000000" w:themeColor="text1"/>
          <w:highlight w:val="none"/>
          <w14:textFill>
            <w14:solidFill>
              <w14:schemeClr w14:val="tx1"/>
            </w14:solidFill>
          </w14:textFill>
        </w:rPr>
        <w:t>投标人需提供能满足本项目服务的相关产品。</w:t>
      </w:r>
    </w:p>
    <w:p>
      <w:pPr>
        <w:pStyle w:val="158"/>
        <w:keepNext w:val="0"/>
        <w:keepLines w:val="0"/>
        <w:pageBreakBefore w:val="0"/>
        <w:widowControl w:val="0"/>
        <w:kinsoku/>
        <w:wordWrap/>
        <w:overflowPunct/>
        <w:topLinePunct w:val="0"/>
        <w:autoSpaceDE/>
        <w:autoSpaceDN/>
        <w:bidi w:val="0"/>
        <w:adjustRightInd/>
        <w:snapToGrid/>
        <w:spacing w:before="1" w:line="360" w:lineRule="auto"/>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2、项目概述</w:t>
      </w:r>
    </w:p>
    <w:p>
      <w:pPr>
        <w:pStyle w:val="18"/>
        <w:keepNext w:val="0"/>
        <w:keepLines w:val="0"/>
        <w:pageBreakBefore w:val="0"/>
        <w:widowControl w:val="0"/>
        <w:kinsoku/>
        <w:wordWrap/>
        <w:overflowPunct/>
        <w:topLinePunct w:val="0"/>
        <w:autoSpaceDE/>
        <w:autoSpaceDN/>
        <w:bidi w:val="0"/>
        <w:adjustRightInd/>
        <w:snapToGrid/>
        <w:spacing w:before="101" w:line="360" w:lineRule="auto"/>
        <w:ind w:left="700"/>
        <w:textAlignment w:val="auto"/>
        <w:outlineLvl w:val="9"/>
        <w:rPr>
          <w:color w:val="000000" w:themeColor="text1"/>
          <w:sz w:val="18"/>
          <w:highlight w:val="none"/>
          <w14:textFill>
            <w14:solidFill>
              <w14:schemeClr w14:val="tx1"/>
            </w14:solidFill>
          </w14:textFill>
        </w:rPr>
      </w:pPr>
      <w:r>
        <w:rPr>
          <w:color w:val="000000" w:themeColor="text1"/>
          <w:highlight w:val="none"/>
          <w14:textFill>
            <w14:solidFill>
              <w14:schemeClr w14:val="tx1"/>
            </w14:solidFill>
          </w14:textFill>
        </w:rPr>
        <w:t>购买机动车驾驶人全科目考场服务，考场考能要满足每年不低于 8 万人次。</w:t>
      </w:r>
    </w:p>
    <w:p>
      <w:pPr>
        <w:pStyle w:val="158"/>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3、技术要求</w:t>
      </w:r>
    </w:p>
    <w:p>
      <w:pPr>
        <w:pStyle w:val="158"/>
        <w:keepNext w:val="0"/>
        <w:keepLines w:val="0"/>
        <w:pageBreakBefore w:val="0"/>
        <w:widowControl w:val="0"/>
        <w:numPr>
          <w:ilvl w:val="1"/>
          <w:numId w:val="9"/>
        </w:numPr>
        <w:tabs>
          <w:tab w:val="left" w:pos="1020"/>
        </w:tabs>
        <w:kinsoku/>
        <w:wordWrap/>
        <w:overflowPunct/>
        <w:topLinePunct w:val="0"/>
        <w:autoSpaceDE/>
        <w:autoSpaceDN/>
        <w:bidi w:val="0"/>
        <w:adjustRightInd/>
        <w:snapToGrid/>
        <w:spacing w:before="101" w:line="360" w:lineRule="auto"/>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项目标准参考依据</w:t>
      </w:r>
    </w:p>
    <w:p>
      <w:pPr>
        <w:pStyle w:val="158"/>
        <w:keepNext w:val="0"/>
        <w:keepLines w:val="0"/>
        <w:pageBreakBefore w:val="0"/>
        <w:widowControl w:val="0"/>
        <w:numPr>
          <w:ilvl w:val="1"/>
          <w:numId w:val="9"/>
        </w:numPr>
        <w:tabs>
          <w:tab w:val="left" w:pos="967"/>
        </w:tabs>
        <w:kinsoku/>
        <w:wordWrap/>
        <w:overflowPunct/>
        <w:topLinePunct w:val="0"/>
        <w:autoSpaceDE/>
        <w:autoSpaceDN/>
        <w:bidi w:val="0"/>
        <w:adjustRightInd/>
        <w:snapToGrid/>
        <w:spacing w:before="139" w:line="360" w:lineRule="auto"/>
        <w:ind w:left="966" w:hanging="370"/>
        <w:textAlignment w:val="auto"/>
        <w:outlineLvl w:val="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业务依据</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《中华人民共和国道路交通安全法》；</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《机动车驾驶证申领和使用规定》（公安部令第 139 号）；</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《机动车驾驶人业务工作规范》（公交管[2012]332 号）；</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《交警系统推进社会管理创新工作措施》（公交管[2010]201 号）；</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关于印发《加强机动车驾驶人管理指导意见》的通知（公交管[2012]77 号）；</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《机动车驾驶人考试内容和方法》GA1026-2012；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《机动车驾驶人考试监管系统通用技术条件》GA1027-2012；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《机动车驾驶人考试系统通用技术条件 第 1 部分：总则》GA/T1028.1-2012；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《机动车驾驶人考试系统通用技术条件 第 2 部分：驾驶理论考试系统》GA/T1028.2-2012；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《机动车驾驶人考试系统通用技术条件 第 3 部分：场地驾驶技能考试系统》GA/T1028.3-2012；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《机动车驾驶人考试系统通用技术条件 第 4 部分：道路驾驶技能考试系统》GA/T1028.4-2012；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《机动车驾驶人考试场地及其设施设置规范》GA1029-2012；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《机动车驾驶人考试场地和考试系统使用验收规范 第 1 部分：考试场地》GA/T1030.1-2012；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《机动车驾驶人考试场地和考试系统使用验收规范 第 2 部分：考试系统》GA/T1030.2-2012；</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公安部《公路交通标志标线设置指南》；</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公安部《城市道路交通标志标线设置指南》；</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交通部《公路安全保障工程实施技术指南》；</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关于印发《2012 年下半年车辆和驾驶人管理重点工作》的通知（公交管[2012]198 号）</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《关于建设广东省公安交警部门车驾管业务视频网监管系统的通知》（广公交[2011]117 号）；</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《关于建设广东省公安交警部门车驾管业务视频联网监管系统的补充通知》（ 广公交（传）字[2011]210 号）；</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《广东省公安交警部门车驾管业务视频联网监管系统》的要求。</w:t>
      </w:r>
    </w:p>
    <w:p>
      <w:pPr>
        <w:pStyle w:val="158"/>
        <w:keepNext w:val="0"/>
        <w:keepLines w:val="0"/>
        <w:pageBreakBefore w:val="0"/>
        <w:widowControl w:val="0"/>
        <w:numPr>
          <w:ilvl w:val="1"/>
          <w:numId w:val="9"/>
        </w:numPr>
        <w:tabs>
          <w:tab w:val="left" w:pos="703"/>
        </w:tabs>
        <w:kinsoku/>
        <w:wordWrap/>
        <w:overflowPunct/>
        <w:topLinePunct w:val="0"/>
        <w:autoSpaceDE/>
        <w:autoSpaceDN/>
        <w:bidi w:val="0"/>
        <w:adjustRightInd/>
        <w:snapToGrid/>
        <w:spacing w:before="139" w:line="360" w:lineRule="auto"/>
        <w:ind w:left="703" w:leftChars="0" w:hanging="283" w:firstLineChars="0"/>
        <w:textAlignment w:val="auto"/>
        <w:outlineLvl w:val="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技术依据</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50093-2002《工业自动化仪表工程施工及验收标准》；</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50303-2002《建筑电气工程施工质量验收规范》；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50395-2007《视频安防监控系统工程设计规范》；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20815-2006《视频安防监控数字录像设备》；</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50312-2007《综合布线系统工程验收规范》；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03D501-3《利用建筑物金属体做防雷及接地装置安装》；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50057-2010《建筑物防雷设计规范》；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50343-2004《建筑物电子信息系统防雷技术规范》；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50601-2010《建筑物防雷工程施工与质量验收规范》；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50689-2011《通信局（站）防雷与接地工程设计规范》； GB9254-98《信息技术设备的无线电骚扰限值和测量方法》；</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50311-2007《综合布线系统工程设计规范》；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15629.1104-2006《信息技术系统间远程通信和信息交换局域网和城域网特定要求》；</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20270-2006《信息安全技术 网络基础安全技术要求》；</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26336-2010《工业通信网络 工业环境中的通信网络安装》；</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GB/T 19271.2-2005 雷电电磁脉冲的防护 第 4 部分：现有建筑物内设备的防护；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19271.2-2003 雷电电磁脉冲的防护 总则；</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19271.2-2005 雷电电磁脉冲的防护 第 2 部分：建筑物的屏蔽、内部等电位连接及接地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19271.2-2005 雷电电磁脉冲的防护 第 3 部分：对浪涌保护器的要求；</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GB/T 25724-2010《安全防范监控数字视音频编解码技术要求》；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14760-1993《光缆通信系统传输性能测试方法》；</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21431-2008《建筑物防雷装置检测技术规范》； GB/T6833.2/.3/.4《电子测量仪器电磁兼容性训验规范》；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JT/T 606.1-2004《高速公路监控设施通信规程 第 1 部分:通用规程》；</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JT/T 606.3-2004《高速公路监控设施通信规程 第 3 部分:LED 可变信息标志》；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1806-2008《基于 IP 的远程视频监控设备技术要求》；</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04D702-1《常用低压配电设备安装》；</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JJF 1276-2011《宽带码分多址接入（WCDMA)数字移动通信综合测试仪校准规范》；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926.1-2009《大楼通信综合布线系统》 第 1 部分：总规范；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YD/T 926.2-2009《大楼通信综合布线系统》 第 2 部分：电缆、光缆技术要求；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1666-2007《远程视频监控系统的安全技术要求》；</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YD/T 926.3-2009《大楼通信综合布线系统》 第 3 部分：连接硬件和接插软线技术要求 ；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1013-1999《综合布线系统电气特性通用测试方法》；</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YD 5082-1999《建筑与建筑群综合布线系统工程设计施工图集》； </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 5098-2005《通信局（站）防雷与接地工程设计规范》；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1429-2006《通信局(站)在用防雷系统的技术要求和检测方法》；</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2324-2011《无线基站防雷技术要求和测试方法》；</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944-2007《通信电源设备的防雷技术要求和测试方法》；</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YD/T 993-2006《电信终端设备防雷技术要求及试验方法》； 02D501-2《等电位联结安装》；</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GA/T 608-2006 《公安信息网络管理系统技术规范》；</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GA/T 387-2002《计算机信息系统安全等级保护网络技术要求》；</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GA/T 367-2001《视频安防监控系统技术要求》；</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GA/T 645-2006《视频安防监控系统变速球型摄像机》；</w:t>
      </w:r>
    </w:p>
    <w:p>
      <w:pPr>
        <w:spacing w:line="360" w:lineRule="auto"/>
        <w:ind w:left="0" w:leftChars="0" w:firstLine="42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GA/T 647-2006《视频安防监控系统 前端设备控制协议 V1.0》；</w:t>
      </w:r>
    </w:p>
    <w:p>
      <w:pPr>
        <w:pStyle w:val="158"/>
        <w:keepNext w:val="0"/>
        <w:keepLines w:val="0"/>
        <w:pageBreakBefore w:val="0"/>
        <w:widowControl w:val="0"/>
        <w:numPr>
          <w:ilvl w:val="1"/>
          <w:numId w:val="9"/>
        </w:numPr>
        <w:tabs>
          <w:tab w:val="left" w:pos="703"/>
        </w:tabs>
        <w:kinsoku/>
        <w:wordWrap/>
        <w:overflowPunct/>
        <w:topLinePunct w:val="0"/>
        <w:autoSpaceDE/>
        <w:autoSpaceDN/>
        <w:bidi w:val="0"/>
        <w:adjustRightInd/>
        <w:snapToGrid/>
        <w:spacing w:before="139" w:line="360" w:lineRule="auto"/>
        <w:ind w:left="703" w:leftChars="0" w:hanging="283" w:firstLineChars="0"/>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电气标准</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17626.2 电磁兼容试验和测量技术静电放电抗扰度试验(idtIEC 61000-4-2：1995)；</w:t>
      </w:r>
    </w:p>
    <w:p>
      <w:pPr>
        <w:spacing w:line="360" w:lineRule="auto"/>
        <w:ind w:left="0" w:lef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GB/T 17626.4 电磁兼容试验和测量技术电快速瞬变脉冲群抗扰度试验(idtIEC 61000-4-4：1995)； </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17626.5 电磁兼容试验和测量技术浪涌（冲击）抗扰度试验(idtIEC 61000-4-5：1995)；</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《计算机信息系统雷电电磁波脉冲安全防护规范》（GA267-2000）；</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《电子设备雷击保护导则》（GB/T7450-1987）；</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《中国电气装置安装施工及验收规范》（GBJ232-82）；</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《电气装置安装工程电缆线路施工及验收规范》（GB 50168-92）；</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《系统接地的形式及安全技术要求》（GB14050-93）；</w:t>
      </w:r>
    </w:p>
    <w:p>
      <w:pPr>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《电子计算机机房施工及验收规范》（SJ/T 30003-93）。</w:t>
      </w:r>
    </w:p>
    <w:p>
      <w:pPr>
        <w:pStyle w:val="158"/>
        <w:keepNext w:val="0"/>
        <w:keepLines w:val="0"/>
        <w:pageBreakBefore w:val="0"/>
        <w:widowControl w:val="0"/>
        <w:numPr>
          <w:ilvl w:val="1"/>
          <w:numId w:val="9"/>
        </w:numPr>
        <w:tabs>
          <w:tab w:val="left" w:pos="703"/>
        </w:tabs>
        <w:kinsoku/>
        <w:wordWrap/>
        <w:overflowPunct/>
        <w:topLinePunct w:val="0"/>
        <w:autoSpaceDE/>
        <w:autoSpaceDN/>
        <w:bidi w:val="0"/>
        <w:adjustRightInd/>
        <w:snapToGrid/>
        <w:spacing w:before="139" w:line="360" w:lineRule="auto"/>
        <w:ind w:left="703" w:leftChars="0" w:hanging="283" w:firstLineChars="0"/>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信息标准</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《计算机信息系统安全等级保护管理要求》（GA/T391-2002）；</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《机动车驾驶证管理信息代码》（GA581.1-581.9-2005）；</w:t>
      </w:r>
    </w:p>
    <w:p>
      <w:pPr>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《质量管理和质量保证标准第三部分： 在软件开发、供应和维护中的使用指南》（ GB/T 19000-3-94）。</w:t>
      </w:r>
    </w:p>
    <w:p>
      <w:pPr>
        <w:pStyle w:val="158"/>
        <w:spacing w:before="96" w:line="360" w:lineRule="auto"/>
        <w:ind w:left="0" w:leftChars="0"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4、技术要求</w:t>
      </w:r>
    </w:p>
    <w:p>
      <w:pPr>
        <w:pStyle w:val="62"/>
        <w:numPr>
          <w:ilvl w:val="1"/>
          <w:numId w:val="10"/>
        </w:numPr>
        <w:tabs>
          <w:tab w:val="left" w:pos="840"/>
        </w:tabs>
        <w:spacing w:before="101" w:line="360" w:lineRule="auto"/>
        <w:ind w:left="280" w:leftChars="0" w:right="514" w:firstLine="138" w:firstLineChars="78"/>
        <w:rPr>
          <w:color w:val="000000" w:themeColor="text1"/>
          <w:sz w:val="21"/>
          <w:highlight w:val="none"/>
          <w14:textFill>
            <w14:solidFill>
              <w14:schemeClr w14:val="tx1"/>
            </w14:solidFill>
          </w14:textFill>
        </w:rPr>
      </w:pPr>
      <w:r>
        <w:rPr>
          <w:color w:val="000000" w:themeColor="text1"/>
          <w:spacing w:val="-16"/>
          <w:sz w:val="21"/>
          <w:highlight w:val="none"/>
          <w14:textFill>
            <w14:solidFill>
              <w14:schemeClr w14:val="tx1"/>
            </w14:solidFill>
          </w14:textFill>
        </w:rPr>
        <w:t xml:space="preserve">车载设备方面：对考试车辆进行改造，安装控制系统和传感器组，通过采集车载传感器信号， </w:t>
      </w:r>
      <w:r>
        <w:rPr>
          <w:color w:val="000000" w:themeColor="text1"/>
          <w:spacing w:val="-7"/>
          <w:sz w:val="21"/>
          <w:highlight w:val="none"/>
          <w14:textFill>
            <w14:solidFill>
              <w14:schemeClr w14:val="tx1"/>
            </w14:solidFill>
          </w14:textFill>
        </w:rPr>
        <w:t>由控制系统分析后可精确反映车辆行驶的综合状态。</w:t>
      </w:r>
    </w:p>
    <w:p>
      <w:pPr>
        <w:pStyle w:val="62"/>
        <w:numPr>
          <w:ilvl w:val="1"/>
          <w:numId w:val="10"/>
        </w:numPr>
        <w:tabs>
          <w:tab w:val="left" w:pos="840"/>
        </w:tabs>
        <w:spacing w:before="1" w:line="360" w:lineRule="auto"/>
        <w:ind w:left="280" w:leftChars="0" w:right="619" w:firstLine="148" w:firstLineChars="78"/>
        <w:rPr>
          <w:color w:val="000000" w:themeColor="text1"/>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 xml:space="preserve">场地考试设备：采用 </w:t>
      </w:r>
      <w:r>
        <w:rPr>
          <w:color w:val="000000" w:themeColor="text1"/>
          <w:sz w:val="21"/>
          <w:highlight w:val="none"/>
          <w14:textFill>
            <w14:solidFill>
              <w14:schemeClr w14:val="tx1"/>
            </w14:solidFill>
          </w14:textFill>
        </w:rPr>
        <w:t>GPS</w:t>
      </w:r>
      <w:r>
        <w:rPr>
          <w:color w:val="000000" w:themeColor="text1"/>
          <w:spacing w:val="-11"/>
          <w:sz w:val="21"/>
          <w:highlight w:val="none"/>
          <w14:textFill>
            <w14:solidFill>
              <w14:schemeClr w14:val="tx1"/>
            </w14:solidFill>
          </w14:textFill>
        </w:rPr>
        <w:t xml:space="preserve"> 差分定位、测绘技术、采用车辆轮廓跟踪和利用电子地图上的虚拟</w:t>
      </w:r>
      <w:r>
        <w:rPr>
          <w:color w:val="000000" w:themeColor="text1"/>
          <w:spacing w:val="-6"/>
          <w:sz w:val="21"/>
          <w:highlight w:val="none"/>
          <w14:textFill>
            <w14:solidFill>
              <w14:schemeClr w14:val="tx1"/>
            </w14:solidFill>
          </w14:textFill>
        </w:rPr>
        <w:t>传感技术，实现场地无设备、精确检测。</w:t>
      </w:r>
    </w:p>
    <w:p>
      <w:pPr>
        <w:pStyle w:val="62"/>
        <w:numPr>
          <w:ilvl w:val="1"/>
          <w:numId w:val="10"/>
        </w:numPr>
        <w:tabs>
          <w:tab w:val="left" w:pos="840"/>
        </w:tabs>
        <w:spacing w:line="360" w:lineRule="auto"/>
        <w:ind w:left="280" w:leftChars="0" w:right="620" w:firstLine="157" w:firstLineChars="78"/>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 xml:space="preserve">无线数据传输：科二车载设备与控制中心通过自建 </w:t>
      </w:r>
      <w:r>
        <w:rPr>
          <w:color w:val="000000" w:themeColor="text1"/>
          <w:sz w:val="21"/>
          <w:highlight w:val="none"/>
          <w14:textFill>
            <w14:solidFill>
              <w14:schemeClr w14:val="tx1"/>
            </w14:solidFill>
          </w14:textFill>
        </w:rPr>
        <w:t>5.8GAP</w:t>
      </w:r>
      <w:r>
        <w:rPr>
          <w:color w:val="000000" w:themeColor="text1"/>
          <w:spacing w:val="-7"/>
          <w:sz w:val="21"/>
          <w:highlight w:val="none"/>
          <w14:textFill>
            <w14:solidFill>
              <w14:schemeClr w14:val="tx1"/>
            </w14:solidFill>
          </w14:textFill>
        </w:rPr>
        <w:t xml:space="preserve"> 基站传输；科三车载设备与控制</w:t>
      </w:r>
      <w:r>
        <w:rPr>
          <w:color w:val="000000" w:themeColor="text1"/>
          <w:spacing w:val="-15"/>
          <w:sz w:val="21"/>
          <w:highlight w:val="none"/>
          <w14:textFill>
            <w14:solidFill>
              <w14:schemeClr w14:val="tx1"/>
            </w14:solidFill>
          </w14:textFill>
        </w:rPr>
        <w:t xml:space="preserve">中心通过 </w:t>
      </w:r>
      <w:r>
        <w:rPr>
          <w:color w:val="000000" w:themeColor="text1"/>
          <w:sz w:val="21"/>
          <w:highlight w:val="none"/>
          <w14:textFill>
            <w14:solidFill>
              <w14:schemeClr w14:val="tx1"/>
            </w14:solidFill>
          </w14:textFill>
        </w:rPr>
        <w:t>3G/4G</w:t>
      </w:r>
      <w:r>
        <w:rPr>
          <w:color w:val="000000" w:themeColor="text1"/>
          <w:spacing w:val="-11"/>
          <w:sz w:val="21"/>
          <w:highlight w:val="none"/>
          <w14:textFill>
            <w14:solidFill>
              <w14:schemeClr w14:val="tx1"/>
            </w14:solidFill>
          </w14:textFill>
        </w:rPr>
        <w:t xml:space="preserve"> 网路传输。</w:t>
      </w:r>
    </w:p>
    <w:p>
      <w:pPr>
        <w:pStyle w:val="62"/>
        <w:numPr>
          <w:ilvl w:val="1"/>
          <w:numId w:val="10"/>
        </w:numPr>
        <w:tabs>
          <w:tab w:val="left" w:pos="840"/>
        </w:tabs>
        <w:spacing w:line="360" w:lineRule="auto"/>
        <w:ind w:left="280" w:leftChars="0" w:right="512" w:firstLine="143" w:firstLineChars="78"/>
        <w:rPr>
          <w:color w:val="000000" w:themeColor="text1"/>
          <w:sz w:val="21"/>
          <w:highlight w:val="none"/>
          <w14:textFill>
            <w14:solidFill>
              <w14:schemeClr w14:val="tx1"/>
            </w14:solidFill>
          </w14:textFill>
        </w:rPr>
      </w:pPr>
      <w:r>
        <w:rPr>
          <w:color w:val="000000" w:themeColor="text1"/>
          <w:spacing w:val="-13"/>
          <w:sz w:val="21"/>
          <w:highlight w:val="none"/>
          <w14:textFill>
            <w14:solidFill>
              <w14:schemeClr w14:val="tx1"/>
            </w14:solidFill>
          </w14:textFill>
        </w:rPr>
        <w:t>采用组件技术和模块化设计，提高系统的可靠性、灵活性和稳定性；采用信息开放等级划分、</w:t>
      </w:r>
      <w:r>
        <w:rPr>
          <w:color w:val="000000" w:themeColor="text1"/>
          <w:spacing w:val="-6"/>
          <w:sz w:val="21"/>
          <w:highlight w:val="none"/>
          <w14:textFill>
            <w14:solidFill>
              <w14:schemeClr w14:val="tx1"/>
            </w14:solidFill>
          </w14:textFill>
        </w:rPr>
        <w:t>权限许可和角色认证的方法，建立系统安全机制。</w:t>
      </w:r>
    </w:p>
    <w:p>
      <w:pPr>
        <w:pStyle w:val="158"/>
        <w:spacing w:before="95" w:line="360" w:lineRule="auto"/>
        <w:ind w:left="0" w:leftChars="0"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5、标准目标</w:t>
      </w:r>
    </w:p>
    <w:p>
      <w:pPr>
        <w:pStyle w:val="18"/>
        <w:spacing w:before="100" w:line="360" w:lineRule="auto"/>
        <w:ind w:right="617" w:firstLine="400" w:firstLineChars="200"/>
        <w:jc w:val="both"/>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本项目依据《机动车驾驶证申领和使用规定</w:t>
      </w:r>
      <w:r>
        <w:rPr>
          <w:color w:val="000000" w:themeColor="text1"/>
          <w:spacing w:val="-123"/>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spacing w:val="-8"/>
          <w:highlight w:val="none"/>
          <w14:textFill>
            <w14:solidFill>
              <w14:schemeClr w14:val="tx1"/>
            </w14:solidFill>
          </w14:textFill>
        </w:rPr>
        <w:t xml:space="preserve">公安部令第 </w:t>
      </w:r>
      <w:r>
        <w:rPr>
          <w:color w:val="000000" w:themeColor="text1"/>
          <w:highlight w:val="none"/>
          <w14:textFill>
            <w14:solidFill>
              <w14:schemeClr w14:val="tx1"/>
            </w14:solidFill>
          </w14:textFill>
        </w:rPr>
        <w:t>139</w:t>
      </w:r>
      <w:r>
        <w:rPr>
          <w:color w:val="000000" w:themeColor="text1"/>
          <w:spacing w:val="-7"/>
          <w:highlight w:val="none"/>
          <w14:textFill>
            <w14:solidFill>
              <w14:schemeClr w14:val="tx1"/>
            </w14:solidFill>
          </w14:textFill>
        </w:rPr>
        <w:t xml:space="preserve"> 号及相关实施规范</w:t>
      </w:r>
      <w:r>
        <w:rPr>
          <w:color w:val="000000" w:themeColor="text1"/>
          <w:spacing w:val="-15"/>
          <w:highlight w:val="none"/>
          <w14:textFill>
            <w14:solidFill>
              <w14:schemeClr w14:val="tx1"/>
            </w14:solidFill>
          </w14:textFill>
        </w:rPr>
        <w:t>）</w:t>
      </w:r>
      <w:r>
        <w:rPr>
          <w:color w:val="000000" w:themeColor="text1"/>
          <w:spacing w:val="-5"/>
          <w:highlight w:val="none"/>
          <w14:textFill>
            <w14:solidFill>
              <w14:schemeClr w14:val="tx1"/>
            </w14:solidFill>
          </w14:textFill>
        </w:rPr>
        <w:t>等要求，以</w:t>
      </w:r>
      <w:r>
        <w:rPr>
          <w:color w:val="000000" w:themeColor="text1"/>
          <w:spacing w:val="-6"/>
          <w:highlight w:val="none"/>
          <w14:textFill>
            <w14:solidFill>
              <w14:schemeClr w14:val="tx1"/>
            </w14:solidFill>
          </w14:textFill>
        </w:rPr>
        <w:t>加强公安局交通警察支队车辆管理所驾驶人考试业务的监督和管理为项目标准导向，以满足日益增长</w:t>
      </w:r>
      <w:r>
        <w:rPr>
          <w:color w:val="000000" w:themeColor="text1"/>
          <w:spacing w:val="-4"/>
          <w:highlight w:val="none"/>
          <w14:textFill>
            <w14:solidFill>
              <w14:schemeClr w14:val="tx1"/>
            </w14:solidFill>
          </w14:textFill>
        </w:rPr>
        <w:t>的驾驶人考试需求为目的，符合考试需求。</w:t>
      </w:r>
    </w:p>
    <w:p>
      <w:pPr>
        <w:pStyle w:val="18"/>
        <w:spacing w:line="360" w:lineRule="auto"/>
        <w:ind w:right="618" w:firstLine="392" w:firstLineChars="200"/>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通过本项目，实现考场的考试系统符合有关规定及规范要求，适应驾驶人考试业务发展的实际需</w:t>
      </w:r>
      <w:r>
        <w:rPr>
          <w:color w:val="000000" w:themeColor="text1"/>
          <w:spacing w:val="-10"/>
          <w:highlight w:val="none"/>
          <w14:textFill>
            <w14:solidFill>
              <w14:schemeClr w14:val="tx1"/>
            </w14:solidFill>
          </w14:textFill>
        </w:rPr>
        <w:t>求。同时通过本期项目，优化现有信息资源，实现考试系统的集中、统一、规范管理，使驾驶人考试</w:t>
      </w:r>
      <w:r>
        <w:rPr>
          <w:color w:val="000000" w:themeColor="text1"/>
          <w:spacing w:val="-5"/>
          <w:highlight w:val="none"/>
          <w14:textFill>
            <w14:solidFill>
              <w14:schemeClr w14:val="tx1"/>
            </w14:solidFill>
          </w14:textFill>
        </w:rPr>
        <w:t>工作更加公平、公正、公开。</w:t>
      </w:r>
    </w:p>
    <w:p>
      <w:pPr>
        <w:pStyle w:val="158"/>
        <w:spacing w:before="96" w:line="360" w:lineRule="auto"/>
        <w:ind w:left="0" w:leftChars="0"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6、各项目考量要求</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6.1 </w:t>
      </w:r>
      <w:r>
        <w:rPr>
          <w:color w:val="000000" w:themeColor="text1"/>
          <w:highlight w:val="none"/>
          <w14:textFill>
            <w14:solidFill>
              <w14:schemeClr w14:val="tx1"/>
            </w14:solidFill>
          </w14:textFill>
        </w:rPr>
        <w:t xml:space="preserve">考试量要求：按每年 250 个工作日，每个工作日考试时间 8 小时，年考试量能达到 </w:t>
      </w:r>
      <w:r>
        <w:rPr>
          <w:rFonts w:hint="eastAsia"/>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t xml:space="preserve">万人次（包含补考人次），正常考试日要确保科目一有 </w:t>
      </w:r>
      <w:r>
        <w:rPr>
          <w:rFonts w:hint="eastAsia"/>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t xml:space="preserve">台考试机正常使用，要确保科目二有 </w:t>
      </w:r>
      <w:r>
        <w:rPr>
          <w:rFonts w:hint="eastAsia"/>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t xml:space="preserve"> 台考试车正常使用，确保科目三有 </w:t>
      </w:r>
      <w:r>
        <w:rPr>
          <w:rFonts w:hint="eastAsia"/>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t xml:space="preserve"> 台考试车正常使用。</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6.2 </w:t>
      </w:r>
      <w:r>
        <w:rPr>
          <w:color w:val="000000" w:themeColor="text1"/>
          <w:highlight w:val="none"/>
          <w14:textFill>
            <w14:solidFill>
              <w14:schemeClr w14:val="tx1"/>
            </w14:solidFill>
          </w14:textFill>
        </w:rPr>
        <w:t>理论考试包括科目一考试、科目三安全文明驾驶常识考试，系统须配备足够的 身份验证以及防作弊的设备。考场内应安装足够的摄像头，全方位监控考试过程、秩序。每个考位设置笔筒式或者针孔式微型摄像机，对考生正面进行照片采集和实时监控。</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6.3 </w:t>
      </w:r>
      <w:r>
        <w:rPr>
          <w:color w:val="000000" w:themeColor="text1"/>
          <w:highlight w:val="none"/>
          <w14:textFill>
            <w14:solidFill>
              <w14:schemeClr w14:val="tx1"/>
            </w14:solidFill>
          </w14:textFill>
        </w:rPr>
        <w:t>系统可完成科目二考试中小车的倒车入库、侧方停车、曲线行驶、直角转弯、坡道定点停车和起步 5 个项目自动评判。系统采用自动评判与人工评判相结合的方式，可完成公安部第139 号令所规定的科目三上车准备、起步、变更车道、通过路口、直线行驶、通过人行道、掉头、通过学校、通过车站、会车、超车、靠边停车、夜间考试等考试项目的评判工作; 符合公安部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"http://www.jg.ga/ContentPage.aspx?classid=11&amp;&amp;articleid=1639163" \h</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《关于印</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"http://www.jg.ga/ContentPage.aspx?classid=11&amp;&amp;articleid=1639163" \h</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发&lt;加强机动车驾驶人管理指导意见&gt;的通知》（公交管</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"http://www.jg.ga/ContentPage.aspx?classid=11&amp;&amp;articleid=1639163" \h</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〔2012〕77 </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"http://www.jg.ga/ContentPage.aspx?classid=11&amp;&amp;articleid=1639163" \h</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号）</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文件精神。</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6.4</w:t>
      </w:r>
      <w:r>
        <w:rPr>
          <w:color w:val="000000" w:themeColor="text1"/>
          <w:highlight w:val="none"/>
          <w14:textFill>
            <w14:solidFill>
              <w14:schemeClr w14:val="tx1"/>
            </w14:solidFill>
          </w14:textFill>
        </w:rPr>
        <w:t>系统需有良好的可扩充性和拓展接口，随着业务的逐年增长，系统能够满足每年扩充递增的考试量，以适应形势的发展。</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w:t>
      </w:r>
      <w:r>
        <w:rPr>
          <w:color w:val="000000" w:themeColor="text1"/>
          <w:highlight w:val="none"/>
          <w14:textFill>
            <w14:solidFill>
              <w14:schemeClr w14:val="tx1"/>
            </w14:solidFill>
          </w14:textFill>
        </w:rPr>
        <w:t>系统能够使各科目的预约、报到、候考、上车考试及其他环节相互连接且高度配合，令考试工作合理顺利完成。</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6.6 </w:t>
      </w:r>
      <w:r>
        <w:rPr>
          <w:color w:val="000000" w:themeColor="text1"/>
          <w:highlight w:val="none"/>
          <w14:textFill>
            <w14:solidFill>
              <w14:schemeClr w14:val="tx1"/>
            </w14:solidFill>
          </w14:textFill>
        </w:rPr>
        <w:t>系统的安装调试、软件编程和各个岗位操作使用应简便易行、容易掌握，系统设计应使考试员能够非常简单、方便地操作，保证操作时不影响考试过程和考试车辆的行驶安全。</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6.7 </w:t>
      </w:r>
      <w:r>
        <w:rPr>
          <w:color w:val="000000" w:themeColor="text1"/>
          <w:highlight w:val="none"/>
          <w14:textFill>
            <w14:solidFill>
              <w14:schemeClr w14:val="tx1"/>
            </w14:solidFill>
          </w14:textFill>
        </w:rPr>
        <w:t>系统稳定性高，误判率少，如果发现误判，监控中心能够实时处理与更正。车载设备及硬件系统性能稳定，耐高温，抗震性高，可长时间运行。</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6.8 </w:t>
      </w:r>
      <w:r>
        <w:rPr>
          <w:color w:val="000000" w:themeColor="text1"/>
          <w:highlight w:val="none"/>
          <w14:textFill>
            <w14:solidFill>
              <w14:schemeClr w14:val="tx1"/>
            </w14:solidFill>
          </w14:textFill>
        </w:rPr>
        <w:t>系统要能实现对各科目考试过程的全方位远程实时监控，包括对车内外的音视频监控（相关数据要保存三年以上），并具备自动强制保存、数据加密、异常情况中断考试，以及系统自动恢复等功能；</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6.9 </w:t>
      </w:r>
      <w:r>
        <w:rPr>
          <w:color w:val="000000" w:themeColor="text1"/>
          <w:highlight w:val="none"/>
          <w14:textFill>
            <w14:solidFill>
              <w14:schemeClr w14:val="tx1"/>
            </w14:solidFill>
          </w14:textFill>
        </w:rPr>
        <w:t>实现监控中心与考试车的实时双向通信，考试车辆的考试轨迹信息、考试评判信息和考试成绩能够实时传输到监控中心，考试员和有关人员可以在监控中心实时查询考试过程的全部信息，并实时打印成绩单。</w:t>
      </w:r>
    </w:p>
    <w:p>
      <w:pPr>
        <w:numPr>
          <w:ilvl w:val="0"/>
          <w:numId w:val="0"/>
        </w:num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6.10 </w:t>
      </w:r>
      <w:r>
        <w:rPr>
          <w:color w:val="000000" w:themeColor="text1"/>
          <w:highlight w:val="none"/>
          <w14:textFill>
            <w14:solidFill>
              <w14:schemeClr w14:val="tx1"/>
            </w14:solidFill>
          </w14:textFill>
        </w:rPr>
        <w:t>采用系统自动评判与人工评判相结合的方式，系统自动评判要求至少达到70 项的评判项目。人工评判中，考试员可以对特殊环境下的复杂操作和交通安全意识进行综合评判，考试结果由系统自动评判和人工评判相加获得。信息和数据传输要稳定、迅速、安全，能够实时传送到监控中心。在省总队开放的数据库接口正常情况下，保证考试数据能实时上传至广东省总队车驾管数据库。</w:t>
      </w:r>
    </w:p>
    <w:p>
      <w:pPr>
        <w:pStyle w:val="158"/>
        <w:spacing w:before="100" w:line="360" w:lineRule="auto"/>
        <w:ind w:left="0" w:leftChars="0" w:firstLine="0" w:firstLineChars="0"/>
        <w:rPr>
          <w:b w:val="0"/>
          <w:color w:val="000000" w:themeColor="text1"/>
          <w:sz w:val="15"/>
          <w:highlight w:val="none"/>
          <w14:textFill>
            <w14:solidFill>
              <w14:schemeClr w14:val="tx1"/>
            </w14:solidFill>
          </w14:textFill>
        </w:rPr>
      </w:pPr>
      <w:r>
        <w:rPr>
          <w:color w:val="000000" w:themeColor="text1"/>
          <w:highlight w:val="none"/>
          <w14:textFill>
            <w14:solidFill>
              <w14:schemeClr w14:val="tx1"/>
            </w14:solidFill>
          </w14:textFill>
        </w:rPr>
        <w:t>7、车载设备需求</w:t>
      </w:r>
    </w:p>
    <w:p>
      <w:pPr>
        <w:pStyle w:val="62"/>
        <w:numPr>
          <w:ilvl w:val="0"/>
          <w:numId w:val="0"/>
        </w:numPr>
        <w:tabs>
          <w:tab w:val="left" w:pos="1070"/>
        </w:tabs>
        <w:spacing w:line="360" w:lineRule="auto"/>
        <w:ind w:right="620" w:rightChars="0" w:firstLine="388" w:firstLineChars="200"/>
        <w:jc w:val="both"/>
        <w:rPr>
          <w:color w:val="000000" w:themeColor="text1"/>
          <w:sz w:val="21"/>
          <w:highlight w:val="none"/>
          <w14:textFill>
            <w14:solidFill>
              <w14:schemeClr w14:val="tx1"/>
            </w14:solidFill>
          </w14:textFill>
        </w:rPr>
      </w:pPr>
      <w:r>
        <w:rPr>
          <w:rFonts w:hint="eastAsia"/>
          <w:color w:val="000000" w:themeColor="text1"/>
          <w:spacing w:val="-8"/>
          <w:sz w:val="21"/>
          <w:highlight w:val="none"/>
          <w:lang w:val="en-US" w:eastAsia="zh-CN"/>
          <w14:textFill>
            <w14:solidFill>
              <w14:schemeClr w14:val="tx1"/>
            </w14:solidFill>
          </w14:textFill>
        </w:rPr>
        <w:t xml:space="preserve">7.1 </w:t>
      </w:r>
      <w:r>
        <w:rPr>
          <w:color w:val="000000" w:themeColor="text1"/>
          <w:spacing w:val="-8"/>
          <w:sz w:val="21"/>
          <w:highlight w:val="none"/>
          <w14:textFill>
            <w14:solidFill>
              <w14:schemeClr w14:val="tx1"/>
            </w14:solidFill>
          </w14:textFill>
        </w:rPr>
        <w:t>科目二考试车载设备</w:t>
      </w:r>
      <w:r>
        <w:rPr>
          <w:rFonts w:hint="eastAsia"/>
          <w:color w:val="000000" w:themeColor="text1"/>
          <w:sz w:val="21"/>
          <w:highlight w:val="none"/>
          <w14:textFill>
            <w14:solidFill>
              <w14:schemeClr w14:val="tx1"/>
            </w14:solidFill>
          </w14:textFill>
        </w:rPr>
        <w:t>26</w:t>
      </w:r>
      <w:r>
        <w:rPr>
          <w:color w:val="000000" w:themeColor="text1"/>
          <w:spacing w:val="-27"/>
          <w:sz w:val="21"/>
          <w:highlight w:val="none"/>
          <w14:textFill>
            <w14:solidFill>
              <w14:schemeClr w14:val="tx1"/>
            </w14:solidFill>
          </w14:textFill>
        </w:rPr>
        <w:t>套</w:t>
      </w:r>
      <w:r>
        <w:rPr>
          <w:color w:val="000000" w:themeColor="text1"/>
          <w:spacing w:val="-3"/>
          <w:sz w:val="21"/>
          <w:highlight w:val="none"/>
          <w14:textFill>
            <w14:solidFill>
              <w14:schemeClr w14:val="tx1"/>
            </w14:solidFill>
          </w14:textFill>
        </w:rPr>
        <w:t>（</w:t>
      </w:r>
      <w:r>
        <w:rPr>
          <w:color w:val="000000" w:themeColor="text1"/>
          <w:spacing w:val="-24"/>
          <w:sz w:val="21"/>
          <w:highlight w:val="none"/>
          <w14:textFill>
            <w14:solidFill>
              <w14:schemeClr w14:val="tx1"/>
            </w14:solidFill>
          </w14:textFill>
        </w:rPr>
        <w:t xml:space="preserve">含 </w:t>
      </w:r>
      <w:r>
        <w:rPr>
          <w:rFonts w:hint="eastAsia"/>
          <w:color w:val="000000" w:themeColor="text1"/>
          <w:sz w:val="21"/>
          <w:highlight w:val="none"/>
          <w14:textFill>
            <w14:solidFill>
              <w14:schemeClr w14:val="tx1"/>
            </w14:solidFill>
          </w14:textFill>
        </w:rPr>
        <w:t>18</w:t>
      </w:r>
      <w:r>
        <w:rPr>
          <w:color w:val="000000" w:themeColor="text1"/>
          <w:spacing w:val="-8"/>
          <w:sz w:val="21"/>
          <w:highlight w:val="none"/>
          <w14:textFill>
            <w14:solidFill>
              <w14:schemeClr w14:val="tx1"/>
            </w14:solidFill>
          </w14:textFill>
        </w:rPr>
        <w:t xml:space="preserve">套手动挡小型载客汽车， </w:t>
      </w:r>
      <w:r>
        <w:rPr>
          <w:rFonts w:hint="eastAsia"/>
          <w:color w:val="000000" w:themeColor="text1"/>
          <w:spacing w:val="-8"/>
          <w:sz w:val="21"/>
          <w:highlight w:val="none"/>
          <w14:textFill>
            <w14:solidFill>
              <w14:schemeClr w14:val="tx1"/>
            </w14:solidFill>
          </w14:textFill>
        </w:rPr>
        <w:t>8</w:t>
      </w:r>
      <w:r>
        <w:rPr>
          <w:color w:val="000000" w:themeColor="text1"/>
          <w:spacing w:val="-9"/>
          <w:sz w:val="21"/>
          <w:highlight w:val="none"/>
          <w14:textFill>
            <w14:solidFill>
              <w14:schemeClr w14:val="tx1"/>
            </w14:solidFill>
          </w14:textFill>
        </w:rPr>
        <w:t>套小型自动挡载客汽车</w:t>
      </w:r>
      <w:r>
        <w:rPr>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26</w:t>
      </w:r>
      <w:r>
        <w:rPr>
          <w:color w:val="000000" w:themeColor="text1"/>
          <w:spacing w:val="-25"/>
          <w:sz w:val="21"/>
          <w:highlight w:val="none"/>
          <w14:textFill>
            <w14:solidFill>
              <w14:schemeClr w14:val="tx1"/>
            </w14:solidFill>
          </w14:textFill>
        </w:rPr>
        <w:t>辆</w:t>
      </w:r>
      <w:r>
        <w:rPr>
          <w:color w:val="000000" w:themeColor="text1"/>
          <w:spacing w:val="-8"/>
          <w:sz w:val="21"/>
          <w:highlight w:val="none"/>
          <w14:textFill>
            <w14:solidFill>
              <w14:schemeClr w14:val="tx1"/>
            </w14:solidFill>
          </w14:textFill>
        </w:rPr>
        <w:t>车要加装副制动踏板和后视镜装置</w:t>
      </w:r>
      <w:r>
        <w:rPr>
          <w:color w:val="000000" w:themeColor="text1"/>
          <w:spacing w:val="-108"/>
          <w:sz w:val="21"/>
          <w:highlight w:val="none"/>
          <w14:textFill>
            <w14:solidFill>
              <w14:schemeClr w14:val="tx1"/>
            </w14:solidFill>
          </w14:textFill>
        </w:rPr>
        <w:t>）</w:t>
      </w:r>
      <w:r>
        <w:rPr>
          <w:color w:val="000000" w:themeColor="text1"/>
          <w:sz w:val="21"/>
          <w:highlight w:val="none"/>
          <w14:textFill>
            <w14:solidFill>
              <w14:schemeClr w14:val="tx1"/>
            </w14:solidFill>
          </w14:textFill>
        </w:rPr>
        <w:t>。</w:t>
      </w:r>
    </w:p>
    <w:p>
      <w:pPr>
        <w:pStyle w:val="62"/>
        <w:numPr>
          <w:ilvl w:val="0"/>
          <w:numId w:val="0"/>
        </w:numPr>
        <w:tabs>
          <w:tab w:val="left" w:pos="1082"/>
        </w:tabs>
        <w:spacing w:line="360" w:lineRule="auto"/>
        <w:ind w:right="617" w:rightChars="0" w:firstLine="396" w:firstLineChars="200"/>
        <w:jc w:val="both"/>
        <w:rPr>
          <w:color w:val="000000" w:themeColor="text1"/>
          <w:sz w:val="21"/>
          <w:highlight w:val="none"/>
          <w14:textFill>
            <w14:solidFill>
              <w14:schemeClr w14:val="tx1"/>
            </w14:solidFill>
          </w14:textFill>
        </w:rPr>
      </w:pPr>
      <w:r>
        <w:rPr>
          <w:rFonts w:hint="eastAsia"/>
          <w:color w:val="000000" w:themeColor="text1"/>
          <w:spacing w:val="-6"/>
          <w:sz w:val="21"/>
          <w:highlight w:val="none"/>
          <w:lang w:val="en-US" w:eastAsia="zh-CN"/>
          <w14:textFill>
            <w14:solidFill>
              <w14:schemeClr w14:val="tx1"/>
            </w14:solidFill>
          </w14:textFill>
        </w:rPr>
        <w:t xml:space="preserve">7.2 </w:t>
      </w:r>
      <w:r>
        <w:rPr>
          <w:color w:val="000000" w:themeColor="text1"/>
          <w:spacing w:val="-6"/>
          <w:sz w:val="21"/>
          <w:highlight w:val="none"/>
          <w14:textFill>
            <w14:solidFill>
              <w14:schemeClr w14:val="tx1"/>
            </w14:solidFill>
          </w14:textFill>
        </w:rPr>
        <w:t xml:space="preserve">科目三考试车载设备 </w:t>
      </w:r>
      <w:r>
        <w:rPr>
          <w:rFonts w:hint="eastAsia"/>
          <w:color w:val="000000" w:themeColor="text1"/>
          <w:sz w:val="21"/>
          <w:highlight w:val="none"/>
          <w14:textFill>
            <w14:solidFill>
              <w14:schemeClr w14:val="tx1"/>
            </w14:solidFill>
          </w14:textFill>
        </w:rPr>
        <w:t>44</w:t>
      </w:r>
      <w:r>
        <w:rPr>
          <w:color w:val="000000" w:themeColor="text1"/>
          <w:sz w:val="21"/>
          <w:highlight w:val="none"/>
          <w14:textFill>
            <w14:solidFill>
              <w14:schemeClr w14:val="tx1"/>
            </w14:solidFill>
          </w14:textFill>
        </w:rPr>
        <w:t>（</w:t>
      </w:r>
      <w:r>
        <w:rPr>
          <w:color w:val="000000" w:themeColor="text1"/>
          <w:spacing w:val="-18"/>
          <w:sz w:val="21"/>
          <w:highlight w:val="none"/>
          <w14:textFill>
            <w14:solidFill>
              <w14:schemeClr w14:val="tx1"/>
            </w14:solidFill>
          </w14:textFill>
        </w:rPr>
        <w:t xml:space="preserve">含 </w:t>
      </w:r>
      <w:r>
        <w:rPr>
          <w:rFonts w:hint="eastAsia"/>
          <w:color w:val="000000" w:themeColor="text1"/>
          <w:sz w:val="21"/>
          <w:highlight w:val="none"/>
          <w14:textFill>
            <w14:solidFill>
              <w14:schemeClr w14:val="tx1"/>
            </w14:solidFill>
          </w14:textFill>
        </w:rPr>
        <w:t>34</w:t>
      </w:r>
      <w:r>
        <w:rPr>
          <w:color w:val="000000" w:themeColor="text1"/>
          <w:spacing w:val="-7"/>
          <w:sz w:val="21"/>
          <w:highlight w:val="none"/>
          <w14:textFill>
            <w14:solidFill>
              <w14:schemeClr w14:val="tx1"/>
            </w14:solidFill>
          </w14:textFill>
        </w:rPr>
        <w:t xml:space="preserve"> 套手动挡小型载客汽车，</w:t>
      </w:r>
      <w:r>
        <w:rPr>
          <w:rFonts w:hint="eastAsia"/>
          <w:color w:val="000000" w:themeColor="text1"/>
          <w:sz w:val="21"/>
          <w:highlight w:val="none"/>
          <w14:textFill>
            <w14:solidFill>
              <w14:schemeClr w14:val="tx1"/>
            </w14:solidFill>
          </w14:textFill>
        </w:rPr>
        <w:t>10</w:t>
      </w:r>
      <w:r>
        <w:rPr>
          <w:color w:val="000000" w:themeColor="text1"/>
          <w:spacing w:val="-7"/>
          <w:sz w:val="21"/>
          <w:highlight w:val="none"/>
          <w14:textFill>
            <w14:solidFill>
              <w14:schemeClr w14:val="tx1"/>
            </w14:solidFill>
          </w14:textFill>
        </w:rPr>
        <w:t>套小型自动挡载客汽车,</w:t>
      </w:r>
      <w:r>
        <w:rPr>
          <w:rFonts w:hint="eastAsia"/>
          <w:color w:val="000000" w:themeColor="text1"/>
          <w:sz w:val="21"/>
          <w:highlight w:val="none"/>
          <w14:textFill>
            <w14:solidFill>
              <w14:schemeClr w14:val="tx1"/>
            </w14:solidFill>
          </w14:textFill>
        </w:rPr>
        <w:t>44</w:t>
      </w:r>
      <w:r>
        <w:rPr>
          <w:color w:val="000000" w:themeColor="text1"/>
          <w:spacing w:val="-16"/>
          <w:sz w:val="21"/>
          <w:highlight w:val="none"/>
          <w14:textFill>
            <w14:solidFill>
              <w14:schemeClr w14:val="tx1"/>
            </w14:solidFill>
          </w14:textFill>
        </w:rPr>
        <w:t xml:space="preserve"> 辆</w:t>
      </w:r>
      <w:r>
        <w:rPr>
          <w:color w:val="000000" w:themeColor="text1"/>
          <w:spacing w:val="-7"/>
          <w:sz w:val="21"/>
          <w:highlight w:val="none"/>
          <w14:textFill>
            <w14:solidFill>
              <w14:schemeClr w14:val="tx1"/>
            </w14:solidFill>
          </w14:textFill>
        </w:rPr>
        <w:t>小型考试车要加装副制动踏板和后视镜装置</w:t>
      </w:r>
      <w:r>
        <w:rPr>
          <w:color w:val="000000" w:themeColor="text1"/>
          <w:spacing w:val="-108"/>
          <w:sz w:val="21"/>
          <w:highlight w:val="none"/>
          <w14:textFill>
            <w14:solidFill>
              <w14:schemeClr w14:val="tx1"/>
            </w14:solidFill>
          </w14:textFill>
        </w:rPr>
        <w:t>）</w:t>
      </w:r>
      <w:r>
        <w:rPr>
          <w:color w:val="000000" w:themeColor="text1"/>
          <w:sz w:val="21"/>
          <w:highlight w:val="none"/>
          <w14:textFill>
            <w14:solidFill>
              <w14:schemeClr w14:val="tx1"/>
            </w14:solidFill>
          </w14:textFill>
        </w:rPr>
        <w:t>。</w:t>
      </w:r>
    </w:p>
    <w:p>
      <w:pPr>
        <w:pStyle w:val="62"/>
        <w:numPr>
          <w:ilvl w:val="0"/>
          <w:numId w:val="0"/>
        </w:numPr>
        <w:tabs>
          <w:tab w:val="left" w:pos="1130"/>
        </w:tabs>
        <w:spacing w:line="360" w:lineRule="auto"/>
        <w:ind w:right="617" w:rightChars="0" w:firstLine="396" w:firstLineChars="200"/>
        <w:jc w:val="both"/>
        <w:rPr>
          <w:color w:val="000000" w:themeColor="text1"/>
          <w:sz w:val="21"/>
          <w:highlight w:val="none"/>
          <w14:textFill>
            <w14:solidFill>
              <w14:schemeClr w14:val="tx1"/>
            </w14:solidFill>
          </w14:textFill>
        </w:rPr>
      </w:pPr>
      <w:r>
        <w:rPr>
          <w:rFonts w:hint="eastAsia"/>
          <w:color w:val="000000" w:themeColor="text1"/>
          <w:spacing w:val="-6"/>
          <w:sz w:val="21"/>
          <w:highlight w:val="none"/>
          <w:lang w:val="en-US" w:eastAsia="zh-CN"/>
          <w14:textFill>
            <w14:solidFill>
              <w14:schemeClr w14:val="tx1"/>
            </w14:solidFill>
          </w14:textFill>
        </w:rPr>
        <w:t>7.3</w:t>
      </w:r>
      <w:r>
        <w:rPr>
          <w:color w:val="000000" w:themeColor="text1"/>
          <w:spacing w:val="-6"/>
          <w:sz w:val="21"/>
          <w:highlight w:val="none"/>
          <w14:textFill>
            <w14:solidFill>
              <w14:schemeClr w14:val="tx1"/>
            </w14:solidFill>
          </w14:textFill>
        </w:rPr>
        <w:t>每辆考试车辆的车载智能化路考系统应具有自检功能，当自检发现异常或故障时能自动终止</w:t>
      </w:r>
      <w:r>
        <w:rPr>
          <w:color w:val="000000" w:themeColor="text1"/>
          <w:spacing w:val="-9"/>
          <w:sz w:val="21"/>
          <w:highlight w:val="none"/>
          <w14:textFill>
            <w14:solidFill>
              <w14:schemeClr w14:val="tx1"/>
            </w14:solidFill>
          </w14:textFill>
        </w:rPr>
        <w:t>考试，排除故障后能继续考试。车载系统采用触摸屏形式，操作界面直观易懂。改装的车辆具有定位功能，可以动态标示在考场的电子地图上。并具有以下功能：①动态反映考场内的车辆分布；②反映</w:t>
      </w:r>
      <w:r>
        <w:rPr>
          <w:color w:val="000000" w:themeColor="text1"/>
          <w:spacing w:val="-5"/>
          <w:sz w:val="21"/>
          <w:highlight w:val="none"/>
          <w14:textFill>
            <w14:solidFill>
              <w14:schemeClr w14:val="tx1"/>
            </w14:solidFill>
          </w14:textFill>
        </w:rPr>
        <w:t>各考试车考试进度情况；③考试车故障报警功能。</w:t>
      </w:r>
    </w:p>
    <w:p>
      <w:pPr>
        <w:pStyle w:val="158"/>
        <w:spacing w:line="360" w:lineRule="auto"/>
        <w:ind w:left="0" w:leftChars="0" w:firstLine="0" w:firstLineChars="0"/>
        <w:rPr>
          <w:b w:val="0"/>
          <w:color w:val="000000" w:themeColor="text1"/>
          <w:sz w:val="15"/>
          <w:highlight w:val="none"/>
          <w14:textFill>
            <w14:solidFill>
              <w14:schemeClr w14:val="tx1"/>
            </w14:solidFill>
          </w14:textFill>
        </w:rPr>
      </w:pPr>
      <w:r>
        <w:rPr>
          <w:color w:val="000000" w:themeColor="text1"/>
          <w:highlight w:val="none"/>
          <w14:textFill>
            <w14:solidFill>
              <w14:schemeClr w14:val="tx1"/>
            </w14:solidFill>
          </w14:textFill>
        </w:rPr>
        <w:t>8、车辆需求</w:t>
      </w:r>
    </w:p>
    <w:p>
      <w:pPr>
        <w:pStyle w:val="18"/>
        <w:spacing w:line="360" w:lineRule="auto"/>
        <w:ind w:firstLine="420" w:firstLineChars="200"/>
        <w:rPr>
          <w:color w:val="000000" w:themeColor="text1"/>
          <w:sz w:val="15"/>
          <w:highlight w:val="none"/>
          <w14:textFill>
            <w14:solidFill>
              <w14:schemeClr w14:val="tx1"/>
            </w14:solidFill>
          </w14:textFill>
        </w:rPr>
      </w:pPr>
      <w:r>
        <w:rPr>
          <w:color w:val="000000" w:themeColor="text1"/>
          <w:highlight w:val="none"/>
          <w14:textFill>
            <w14:solidFill>
              <w14:schemeClr w14:val="tx1"/>
            </w14:solidFill>
          </w14:textFill>
        </w:rPr>
        <w:t>科目二、科目三共需考试车</w:t>
      </w:r>
      <w:r>
        <w:rPr>
          <w:rFonts w:hint="eastAsia"/>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t xml:space="preserve"> 辆，全部加装副制动踏板和后视镜装置。</w:t>
      </w:r>
    </w:p>
    <w:p>
      <w:pPr>
        <w:pStyle w:val="62"/>
        <w:numPr>
          <w:ilvl w:val="0"/>
          <w:numId w:val="0"/>
        </w:numPr>
        <w:tabs>
          <w:tab w:val="left" w:pos="1082"/>
        </w:tabs>
        <w:spacing w:line="360" w:lineRule="auto"/>
        <w:ind w:right="617" w:rightChars="0" w:firstLine="408"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3"/>
          <w:sz w:val="21"/>
          <w:highlight w:val="none"/>
          <w:lang w:val="en-US" w:eastAsia="zh-CN"/>
          <w14:textFill>
            <w14:solidFill>
              <w14:schemeClr w14:val="tx1"/>
            </w14:solidFill>
          </w14:textFill>
        </w:rPr>
        <w:t xml:space="preserve">8.1 </w:t>
      </w:r>
      <w:r>
        <w:rPr>
          <w:rFonts w:hint="eastAsia" w:ascii="宋体" w:hAnsi="宋体" w:eastAsia="宋体" w:cs="宋体"/>
          <w:color w:val="000000" w:themeColor="text1"/>
          <w:highlight w:val="none"/>
          <w14:textFill>
            <w14:solidFill>
              <w14:schemeClr w14:val="tx1"/>
            </w14:solidFill>
          </w14:textFill>
        </w:rPr>
        <w:t>小汽车科二考试车</w:t>
      </w:r>
      <w:r>
        <w:rPr>
          <w:rFonts w:hint="eastAsia" w:ascii="宋体" w:hAnsi="宋体" w:eastAsia="宋体" w:cs="宋体"/>
          <w:color w:val="000000" w:themeColor="text1"/>
          <w:highlight w:val="none"/>
          <w:lang w:val="en-US" w:eastAsia="zh-CN"/>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t>辆（含18辆手动挡小型载客汽车，8辆小型自动挡载客汽车），26 辆车要加装副制动踏板和后视镜装置）。</w:t>
      </w:r>
    </w:p>
    <w:p>
      <w:pPr>
        <w:pStyle w:val="62"/>
        <w:numPr>
          <w:ilvl w:val="0"/>
          <w:numId w:val="0"/>
        </w:numPr>
        <w:tabs>
          <w:tab w:val="left" w:pos="1070"/>
        </w:tabs>
        <w:spacing w:line="360" w:lineRule="auto"/>
        <w:ind w:right="617" w:rightChars="0" w:firstLine="388"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8"/>
          <w:sz w:val="21"/>
          <w:highlight w:val="none"/>
          <w:lang w:val="en-US" w:eastAsia="zh-CN"/>
          <w14:textFill>
            <w14:solidFill>
              <w14:schemeClr w14:val="tx1"/>
            </w14:solidFill>
          </w14:textFill>
        </w:rPr>
        <w:t xml:space="preserve">8.2 </w:t>
      </w:r>
      <w:r>
        <w:rPr>
          <w:rFonts w:hint="eastAsia" w:ascii="宋体" w:hAnsi="宋体" w:eastAsia="宋体" w:cs="宋体"/>
          <w:color w:val="000000" w:themeColor="text1"/>
          <w:highlight w:val="none"/>
          <w14:textFill>
            <w14:solidFill>
              <w14:schemeClr w14:val="tx1"/>
            </w14:solidFill>
          </w14:textFill>
        </w:rPr>
        <w:t>汽车类科目三考试车44辆，小汽车科三路考考试车 44 辆（含34辆手动挡小型载客汽车，10辆小型自动挡载客汽车）。</w:t>
      </w:r>
    </w:p>
    <w:p>
      <w:pPr>
        <w:pStyle w:val="18"/>
        <w:spacing w:line="360" w:lineRule="auto"/>
        <w:ind w:left="280" w:firstLine="210" w:firstLineChars="100"/>
        <w:rPr>
          <w:color w:val="000000" w:themeColor="text1"/>
          <w:sz w:val="15"/>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8.3 </w:t>
      </w:r>
      <w:r>
        <w:rPr>
          <w:color w:val="000000" w:themeColor="text1"/>
          <w:highlight w:val="none"/>
          <w14:textFill>
            <w14:solidFill>
              <w14:schemeClr w14:val="tx1"/>
            </w14:solidFill>
          </w14:textFill>
        </w:rPr>
        <w:t>车辆技术要求：</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1)车辆必须属于《道路机动车辆生产企业及产品公告》管理范围，市场在售车型。</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2)车辆排放标准必须满足：GB17691-2005 国 V，GB3847-2005。</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按照省厅交管局《广东省机动车驾驶人考试车辆标志要求和样式》的要求，设置考试车辆标志。</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每辆考试车辆购买全保，其中第三者商业保险达 100 万元以上。</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车辆必须满足《中华人民共和国公共安全行业标准机动车驾驶人考试场地及其设施设置规范GA1029-2012》中考试车型要求：</w:t>
      </w:r>
    </w:p>
    <w:p>
      <w:p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①</w:t>
      </w:r>
      <w:r>
        <w:rPr>
          <w:color w:val="000000" w:themeColor="text1"/>
          <w:highlight w:val="none"/>
          <w14:textFill>
            <w14:solidFill>
              <w14:schemeClr w14:val="tx1"/>
            </w14:solidFill>
          </w14:textFill>
        </w:rPr>
        <w:t>小型汽车：车长大于等于4m的小型载客汽车；</w:t>
      </w:r>
    </w:p>
    <w:p>
      <w:pPr>
        <w:bidi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②</w:t>
      </w:r>
      <w:r>
        <w:rPr>
          <w:color w:val="000000" w:themeColor="text1"/>
          <w:highlight w:val="none"/>
          <w14:textFill>
            <w14:solidFill>
              <w14:schemeClr w14:val="tx1"/>
            </w14:solidFill>
          </w14:textFill>
        </w:rPr>
        <w:t>小型自动挡载客汽车：车长大于等于4m的小型自动挡载客汽车。</w:t>
      </w:r>
    </w:p>
    <w:p>
      <w:pPr>
        <w:spacing w:before="141" w:line="360" w:lineRule="auto"/>
        <w:ind w:right="3287"/>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9、辅助考试人员需求</w:t>
      </w:r>
    </w:p>
    <w:p>
      <w:pPr>
        <w:bidi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需辅助考试人员不少于</w:t>
      </w:r>
      <w:r>
        <w:rPr>
          <w:rFonts w:hint="eastAsia"/>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t>人。</w:t>
      </w:r>
    </w:p>
    <w:p>
      <w:pPr>
        <w:bidi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辅助考试人员，应当具备以下条件：</w:t>
      </w:r>
    </w:p>
    <w:p>
      <w:pPr>
        <w:numPr>
          <w:ilvl w:val="0"/>
          <w:numId w:val="0"/>
        </w:num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2.1 </w:t>
      </w:r>
      <w:r>
        <w:rPr>
          <w:rFonts w:hint="eastAsia" w:ascii="宋体" w:hAnsi="宋体" w:eastAsia="宋体" w:cs="宋体"/>
          <w:color w:val="000000" w:themeColor="text1"/>
          <w:sz w:val="21"/>
          <w:szCs w:val="21"/>
          <w:highlight w:val="none"/>
          <w14:textFill>
            <w14:solidFill>
              <w14:schemeClr w14:val="tx1"/>
            </w14:solidFill>
          </w14:textFill>
        </w:rPr>
        <w:t>具有高中或中专以上学历，年龄在 21 周岁至 50 周岁之间，具有良好的语言表达和沟通能力；</w:t>
      </w:r>
    </w:p>
    <w:p>
      <w:pPr>
        <w:numPr>
          <w:ilvl w:val="0"/>
          <w:numId w:val="0"/>
        </w:num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2.2 </w:t>
      </w:r>
      <w:r>
        <w:rPr>
          <w:rFonts w:hint="eastAsia" w:ascii="宋体" w:hAnsi="宋体" w:eastAsia="宋体" w:cs="宋体"/>
          <w:color w:val="000000" w:themeColor="text1"/>
          <w:sz w:val="21"/>
          <w:szCs w:val="21"/>
          <w:highlight w:val="none"/>
          <w14:textFill>
            <w14:solidFill>
              <w14:schemeClr w14:val="tx1"/>
            </w14:solidFill>
          </w14:textFill>
        </w:rPr>
        <w:t>持有相应驾驶证或者更高准驾车型驾驶证三年以上；</w:t>
      </w:r>
    </w:p>
    <w:p>
      <w:pPr>
        <w:numPr>
          <w:ilvl w:val="0"/>
          <w:numId w:val="0"/>
        </w:num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2.3 </w:t>
      </w:r>
      <w:r>
        <w:rPr>
          <w:rFonts w:hint="eastAsia" w:ascii="宋体" w:hAnsi="宋体" w:eastAsia="宋体" w:cs="宋体"/>
          <w:color w:val="000000" w:themeColor="text1"/>
          <w:sz w:val="21"/>
          <w:szCs w:val="21"/>
          <w:highlight w:val="none"/>
          <w14:textFill>
            <w14:solidFill>
              <w14:schemeClr w14:val="tx1"/>
            </w14:solidFill>
          </w14:textFill>
        </w:rPr>
        <w:t>身体健康，无传染性疾病，无癫痫病、精神病等可能危及行车安全的疾病病史；</w:t>
      </w:r>
    </w:p>
    <w:p>
      <w:pPr>
        <w:numPr>
          <w:ilvl w:val="0"/>
          <w:numId w:val="0"/>
        </w:num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2.4 </w:t>
      </w:r>
      <w:r>
        <w:rPr>
          <w:rFonts w:hint="eastAsia" w:ascii="宋体" w:hAnsi="宋体" w:eastAsia="宋体" w:cs="宋体"/>
          <w:color w:val="000000" w:themeColor="text1"/>
          <w:sz w:val="21"/>
          <w:szCs w:val="21"/>
          <w:highlight w:val="none"/>
          <w14:textFill>
            <w14:solidFill>
              <w14:schemeClr w14:val="tx1"/>
            </w14:solidFill>
          </w14:textFill>
        </w:rPr>
        <w:t>无酗酒行为或者吸食毒品记录；</w:t>
      </w:r>
    </w:p>
    <w:p>
      <w:pPr>
        <w:numPr>
          <w:ilvl w:val="0"/>
          <w:numId w:val="0"/>
        </w:num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2.5 </w:t>
      </w:r>
      <w:r>
        <w:rPr>
          <w:rFonts w:hint="eastAsia" w:ascii="宋体" w:hAnsi="宋体" w:eastAsia="宋体" w:cs="宋体"/>
          <w:color w:val="000000" w:themeColor="text1"/>
          <w:sz w:val="21"/>
          <w:szCs w:val="21"/>
          <w:highlight w:val="none"/>
          <w14:textFill>
            <w14:solidFill>
              <w14:schemeClr w14:val="tx1"/>
            </w14:solidFill>
          </w14:textFill>
        </w:rPr>
        <w:t>未发生驾驶机动车造成人员死亡的交通责任事故或者造成人员重伤负主要以上责任的交通事故， 无记满 12 分或者驾驶证被吊销记录；</w:t>
      </w:r>
    </w:p>
    <w:p>
      <w:pPr>
        <w:numPr>
          <w:ilvl w:val="0"/>
          <w:numId w:val="0"/>
        </w:num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2.6 </w:t>
      </w:r>
      <w:r>
        <w:rPr>
          <w:rFonts w:hint="eastAsia" w:ascii="宋体" w:hAnsi="宋体" w:eastAsia="宋体" w:cs="宋体"/>
          <w:color w:val="000000" w:themeColor="text1"/>
          <w:sz w:val="21"/>
          <w:szCs w:val="21"/>
          <w:highlight w:val="none"/>
          <w14:textFill>
            <w14:solidFill>
              <w14:schemeClr w14:val="tx1"/>
            </w14:solidFill>
          </w14:textFill>
        </w:rPr>
        <w:t>无交通肇事罪、危险驾驶罪情况的。</w:t>
      </w:r>
    </w:p>
    <w:p>
      <w:pPr>
        <w:numPr>
          <w:ilvl w:val="0"/>
          <w:numId w:val="0"/>
        </w:num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2.7 </w:t>
      </w:r>
      <w:r>
        <w:rPr>
          <w:rFonts w:hint="eastAsia" w:ascii="宋体" w:hAnsi="宋体" w:eastAsia="宋体" w:cs="宋体"/>
          <w:color w:val="000000" w:themeColor="text1"/>
          <w:sz w:val="21"/>
          <w:szCs w:val="21"/>
          <w:highlight w:val="none"/>
          <w14:textFill>
            <w14:solidFill>
              <w14:schemeClr w14:val="tx1"/>
            </w14:solidFill>
          </w14:textFill>
        </w:rPr>
        <w:t>无失信被执行人记录</w:t>
      </w:r>
    </w:p>
    <w:p>
      <w:pPr>
        <w:pStyle w:val="62"/>
        <w:tabs>
          <w:tab w:val="left" w:pos="651"/>
        </w:tabs>
        <w:spacing w:line="360" w:lineRule="auto"/>
        <w:ind w:left="0" w:leftChars="0" w:right="6071" w:firstLine="0" w:firstLineChars="0"/>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10、考试设施设备：</w:t>
      </w:r>
    </w:p>
    <w:p>
      <w:pPr>
        <w:pStyle w:val="18"/>
        <w:spacing w:line="360" w:lineRule="auto"/>
        <w:ind w:right="511" w:firstLine="380" w:firstLineChars="200"/>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按照《机动车驾驶证业务工作规范》</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公交管〔</w:t>
      </w:r>
      <w:r>
        <w:rPr>
          <w:color w:val="000000" w:themeColor="text1"/>
          <w:highlight w:val="none"/>
          <w14:textFill>
            <w14:solidFill>
              <w14:schemeClr w14:val="tx1"/>
            </w14:solidFill>
          </w14:textFill>
        </w:rPr>
        <w:t>2016〕136</w:t>
      </w:r>
      <w:r>
        <w:rPr>
          <w:color w:val="000000" w:themeColor="text1"/>
          <w:spacing w:val="-13"/>
          <w:highlight w:val="none"/>
          <w14:textFill>
            <w14:solidFill>
              <w14:schemeClr w14:val="tx1"/>
            </w14:solidFill>
          </w14:textFill>
        </w:rPr>
        <w:t xml:space="preserve"> 号</w:t>
      </w:r>
      <w:r>
        <w:rPr>
          <w:color w:val="000000" w:themeColor="text1"/>
          <w:spacing w:val="-3"/>
          <w:highlight w:val="none"/>
          <w14:textFill>
            <w14:solidFill>
              <w14:schemeClr w14:val="tx1"/>
            </w14:solidFill>
          </w14:textFill>
        </w:rPr>
        <w:t>）及有关配套规范等有关规定要求， 本项目投入服务需要包含以下主要设备：</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317"/>
        <w:gridCol w:w="161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461"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科目</w:t>
            </w:r>
          </w:p>
        </w:tc>
        <w:tc>
          <w:tcPr>
            <w:tcW w:w="3317" w:type="dxa"/>
            <w:noWrap w:val="0"/>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大类设备名称</w:t>
            </w:r>
          </w:p>
        </w:tc>
        <w:tc>
          <w:tcPr>
            <w:tcW w:w="1613"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数量</w:t>
            </w:r>
          </w:p>
        </w:tc>
        <w:tc>
          <w:tcPr>
            <w:tcW w:w="2131"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restart"/>
            <w:noWrap w:val="0"/>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科目一</w:t>
            </w:r>
          </w:p>
        </w:tc>
        <w:tc>
          <w:tcPr>
            <w:tcW w:w="3317" w:type="dxa"/>
            <w:noWrap w:val="0"/>
            <w:vAlign w:val="center"/>
          </w:tcPr>
          <w:p>
            <w:pPr>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文明驾驶考试控制中心系统</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文明驾驶考试区办公及考试电脑</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505" w:right="504"/>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文明驾驶考试门禁系统</w:t>
            </w:r>
          </w:p>
        </w:tc>
        <w:tc>
          <w:tcPr>
            <w:tcW w:w="1613" w:type="dxa"/>
            <w:noWrap w:val="0"/>
            <w:vAlign w:val="center"/>
          </w:tcPr>
          <w:p>
            <w:pPr>
              <w:pStyle w:val="157"/>
              <w:spacing w:before="114"/>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4"/>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文明驾驶考试候考室多媒体设备</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restart"/>
            <w:noWrap w:val="0"/>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科目二</w:t>
            </w: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小车监控中心服务器</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小车候考区设备</w:t>
            </w:r>
          </w:p>
        </w:tc>
        <w:tc>
          <w:tcPr>
            <w:tcW w:w="1613" w:type="dxa"/>
            <w:noWrap w:val="0"/>
            <w:vAlign w:val="center"/>
          </w:tcPr>
          <w:p>
            <w:pPr>
              <w:pStyle w:val="157"/>
              <w:spacing w:before="114"/>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4"/>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小车通讯系统</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小车车载设备</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505" w:right="504"/>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小车音视频设备</w:t>
            </w:r>
          </w:p>
        </w:tc>
        <w:tc>
          <w:tcPr>
            <w:tcW w:w="1613" w:type="dxa"/>
            <w:noWrap w:val="0"/>
            <w:vAlign w:val="center"/>
          </w:tcPr>
          <w:p>
            <w:pPr>
              <w:pStyle w:val="157"/>
              <w:spacing w:before="113"/>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3"/>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小车场地设备</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restart"/>
            <w:noWrap w:val="0"/>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科目三</w:t>
            </w: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小车监控中心服务器</w:t>
            </w:r>
          </w:p>
        </w:tc>
        <w:tc>
          <w:tcPr>
            <w:tcW w:w="1613" w:type="dxa"/>
            <w:noWrap w:val="0"/>
            <w:vAlign w:val="center"/>
          </w:tcPr>
          <w:p>
            <w:pPr>
              <w:pStyle w:val="157"/>
              <w:spacing w:before="113"/>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3"/>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小车候考室设备</w:t>
            </w:r>
          </w:p>
        </w:tc>
        <w:tc>
          <w:tcPr>
            <w:tcW w:w="1613" w:type="dxa"/>
            <w:noWrap w:val="0"/>
            <w:vAlign w:val="center"/>
          </w:tcPr>
          <w:p>
            <w:pPr>
              <w:pStyle w:val="157"/>
              <w:spacing w:before="114"/>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4"/>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小车音视频设备</w:t>
            </w:r>
          </w:p>
        </w:tc>
        <w:tc>
          <w:tcPr>
            <w:tcW w:w="1613" w:type="dxa"/>
            <w:noWrap w:val="0"/>
            <w:vAlign w:val="center"/>
          </w:tcPr>
          <w:p>
            <w:pPr>
              <w:pStyle w:val="157"/>
              <w:spacing w:before="116"/>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6"/>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小车智能车载设备</w:t>
            </w:r>
          </w:p>
        </w:tc>
        <w:tc>
          <w:tcPr>
            <w:tcW w:w="1613" w:type="dxa"/>
            <w:noWrap w:val="0"/>
            <w:vAlign w:val="center"/>
          </w:tcPr>
          <w:p>
            <w:pPr>
              <w:pStyle w:val="157"/>
              <w:spacing w:before="113"/>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3"/>
              <w:ind w:left="505" w:right="504"/>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小车通讯设备</w:t>
            </w:r>
          </w:p>
        </w:tc>
        <w:tc>
          <w:tcPr>
            <w:tcW w:w="1613" w:type="dxa"/>
            <w:noWrap w:val="0"/>
            <w:vAlign w:val="center"/>
          </w:tcPr>
          <w:p>
            <w:pPr>
              <w:pStyle w:val="157"/>
              <w:spacing w:before="113"/>
              <w:ind w:left="2"/>
              <w:jc w:val="center"/>
              <w:rPr>
                <w:rFonts w:hint="eastAsia" w:ascii="Calibri" w:hAnsi="Calibri"/>
                <w:color w:val="000000" w:themeColor="text1"/>
                <w:kern w:val="2"/>
                <w:sz w:val="21"/>
                <w:szCs w:val="24"/>
                <w:highlight w:val="none"/>
                <w:lang w:eastAsia="en-US"/>
                <w14:textFill>
                  <w14:solidFill>
                    <w14:schemeClr w14:val="tx1"/>
                  </w14:solidFill>
                </w14:textFill>
              </w:rPr>
            </w:pPr>
            <w:r>
              <w:rPr>
                <w:color w:val="000000" w:themeColor="text1"/>
                <w:sz w:val="21"/>
                <w:highlight w:val="none"/>
                <w:lang w:eastAsia="en-US"/>
                <w14:textFill>
                  <w14:solidFill>
                    <w14:schemeClr w14:val="tx1"/>
                  </w14:solidFill>
                </w14:textFill>
              </w:rPr>
              <w:t>套</w:t>
            </w:r>
          </w:p>
        </w:tc>
        <w:tc>
          <w:tcPr>
            <w:tcW w:w="2131" w:type="dxa"/>
            <w:noWrap w:val="0"/>
            <w:vAlign w:val="center"/>
          </w:tcPr>
          <w:p>
            <w:pPr>
              <w:pStyle w:val="157"/>
              <w:spacing w:before="113"/>
              <w:ind w:left="1"/>
              <w:jc w:val="center"/>
              <w:rPr>
                <w:rFonts w:hint="eastAsia" w:ascii="Calibri" w:hAnsi="Calibri"/>
                <w:color w:val="000000" w:themeColor="text1"/>
                <w:kern w:val="2"/>
                <w:sz w:val="21"/>
                <w:szCs w:val="24"/>
                <w:highlight w:val="none"/>
                <w:lang w:eastAsia="en-US"/>
                <w14:textFill>
                  <w14:solidFill>
                    <w14:schemeClr w14:val="tx1"/>
                  </w14:solidFill>
                </w14:textFill>
              </w:rPr>
            </w:pPr>
            <w:r>
              <w:rPr>
                <w:rFonts w:hint="eastAsia"/>
                <w:color w:val="000000" w:themeColor="text1"/>
                <w:sz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61" w:type="dxa"/>
            <w:vMerge w:val="continue"/>
            <w:noWrap w:val="0"/>
            <w:vAlign w:val="center"/>
          </w:tcPr>
          <w:p>
            <w:pPr>
              <w:jc w:val="center"/>
              <w:rPr>
                <w:rFonts w:hint="eastAsia"/>
                <w:color w:val="000000" w:themeColor="text1"/>
                <w:highlight w:val="none"/>
                <w14:textFill>
                  <w14:solidFill>
                    <w14:schemeClr w14:val="tx1"/>
                  </w14:solidFill>
                </w14:textFill>
              </w:rPr>
            </w:pPr>
          </w:p>
        </w:tc>
        <w:tc>
          <w:tcPr>
            <w:tcW w:w="3317" w:type="dxa"/>
            <w:noWrap w:val="0"/>
            <w:vAlign w:val="center"/>
          </w:tcPr>
          <w:p>
            <w:pPr>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小车电子地图和道路设备</w:t>
            </w:r>
          </w:p>
        </w:tc>
        <w:tc>
          <w:tcPr>
            <w:tcW w:w="1613" w:type="dxa"/>
            <w:noWrap w:val="0"/>
            <w:vAlign w:val="center"/>
          </w:tcPr>
          <w:p>
            <w:pPr>
              <w:jc w:val="center"/>
              <w:rPr>
                <w:rFonts w:hint="eastAsia"/>
                <w:color w:val="000000" w:themeColor="text1"/>
                <w:highlight w:val="none"/>
                <w:lang w:eastAsia="en-US"/>
                <w14:textFill>
                  <w14:solidFill>
                    <w14:schemeClr w14:val="tx1"/>
                  </w14:solidFill>
                </w14:textFill>
              </w:rPr>
            </w:pPr>
            <w:r>
              <w:rPr>
                <w:color w:val="000000" w:themeColor="text1"/>
                <w:highlight w:val="none"/>
                <w:lang w:eastAsia="en-US"/>
                <w14:textFill>
                  <w14:solidFill>
                    <w14:schemeClr w14:val="tx1"/>
                  </w14:solidFill>
                </w14:textFill>
              </w:rPr>
              <w:t>套</w:t>
            </w:r>
          </w:p>
        </w:tc>
        <w:tc>
          <w:tcPr>
            <w:tcW w:w="2131" w:type="dxa"/>
            <w:noWrap w:val="0"/>
            <w:vAlign w:val="center"/>
          </w:tcPr>
          <w:p>
            <w:pPr>
              <w:jc w:val="center"/>
              <w:rPr>
                <w:rFonts w:hint="eastAsia"/>
                <w:color w:val="000000" w:themeColor="text1"/>
                <w:highlight w:val="none"/>
                <w:lang w:eastAsia="en-US"/>
                <w14:textFill>
                  <w14:solidFill>
                    <w14:schemeClr w14:val="tx1"/>
                  </w14:solidFill>
                </w14:textFill>
              </w:rPr>
            </w:pPr>
            <w:r>
              <w:rPr>
                <w:rFonts w:hint="eastAsia"/>
                <w:color w:val="000000" w:themeColor="text1"/>
                <w:highlight w:val="none"/>
                <w14:textFill>
                  <w14:solidFill>
                    <w14:schemeClr w14:val="tx1"/>
                  </w14:solidFill>
                </w14:textFill>
              </w:rPr>
              <w:t>3</w:t>
            </w:r>
          </w:p>
        </w:tc>
      </w:tr>
    </w:tbl>
    <w:p>
      <w:pPr>
        <w:pStyle w:val="42"/>
        <w:ind w:firstLine="0" w:firstLineChars="0"/>
        <w:rPr>
          <w:rFonts w:hAnsi="宋体" w:cs="宋体"/>
          <w:color w:val="000000" w:themeColor="text1"/>
          <w:sz w:val="2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p>
    <w:p>
      <w:pPr>
        <w:pStyle w:val="4"/>
        <w:widowControl/>
        <w:numPr>
          <w:ilvl w:val="0"/>
          <w:numId w:val="0"/>
        </w:numPr>
        <w:autoSpaceDE w:val="0"/>
        <w:autoSpaceDN w:val="0"/>
        <w:adjustRightInd w:val="0"/>
        <w:snapToGrid w:val="0"/>
        <w:spacing w:beforeLines="150" w:after="0" w:line="360" w:lineRule="auto"/>
        <w:jc w:val="center"/>
        <w:textAlignment w:val="baseline"/>
        <w:rPr>
          <w:color w:val="000000" w:themeColor="text1"/>
          <w:kern w:val="0"/>
          <w:sz w:val="21"/>
          <w:szCs w:val="21"/>
          <w:highlight w:val="none"/>
          <w14:textFill>
            <w14:solidFill>
              <w14:schemeClr w14:val="tx1"/>
            </w14:solidFill>
          </w14:textFill>
        </w:rPr>
      </w:pPr>
      <w:bookmarkStart w:id="62" w:name="_Toc32285"/>
      <w:bookmarkStart w:id="63" w:name="_Toc357151175"/>
      <w:bookmarkStart w:id="64" w:name="_Toc351987768"/>
      <w:bookmarkStart w:id="65" w:name="_Toc351988709"/>
      <w:bookmarkStart w:id="66" w:name="_Toc353522392"/>
      <w:bookmarkStart w:id="67" w:name="_Toc351987964"/>
      <w:bookmarkStart w:id="68" w:name="_Toc369180022"/>
      <w:bookmarkStart w:id="69" w:name="_Toc351990145"/>
      <w:r>
        <w:rPr>
          <w:rFonts w:hint="eastAsia"/>
          <w:color w:val="000000" w:themeColor="text1"/>
          <w:kern w:val="0"/>
          <w:sz w:val="21"/>
          <w:szCs w:val="21"/>
          <w:highlight w:val="none"/>
          <w14:textFill>
            <w14:solidFill>
              <w14:schemeClr w14:val="tx1"/>
            </w14:solidFill>
          </w14:textFill>
        </w:rPr>
        <w:t>第三部分 谈判须知</w:t>
      </w:r>
      <w:bookmarkEnd w:id="62"/>
    </w:p>
    <w:p>
      <w:pPr>
        <w:pStyle w:val="4"/>
        <w:numPr>
          <w:ilvl w:val="0"/>
          <w:numId w:val="0"/>
        </w:numPr>
        <w:spacing w:line="360" w:lineRule="auto"/>
        <w:jc w:val="center"/>
        <w:rPr>
          <w:rFonts w:ascii="宋体" w:hAnsi="宋体"/>
          <w:color w:val="000000" w:themeColor="text1"/>
          <w:kern w:val="0"/>
          <w:sz w:val="24"/>
          <w:highlight w:val="none"/>
          <w14:textFill>
            <w14:solidFill>
              <w14:schemeClr w14:val="tx1"/>
            </w14:solidFill>
          </w14:textFill>
        </w:rPr>
      </w:pPr>
      <w:bookmarkStart w:id="70" w:name="_Toc434832495"/>
      <w:bookmarkStart w:id="71" w:name="_Toc1202"/>
      <w:bookmarkStart w:id="72" w:name="_Toc458956865"/>
      <w:r>
        <w:rPr>
          <w:rFonts w:hint="eastAsia" w:ascii="宋体" w:hAnsi="宋体"/>
          <w:color w:val="000000" w:themeColor="text1"/>
          <w:kern w:val="0"/>
          <w:sz w:val="24"/>
          <w:highlight w:val="none"/>
          <w14:textFill>
            <w14:solidFill>
              <w14:schemeClr w14:val="tx1"/>
            </w14:solidFill>
          </w14:textFill>
        </w:rPr>
        <w:t>谈判须知前附表</w:t>
      </w:r>
      <w:bookmarkEnd w:id="70"/>
      <w:bookmarkEnd w:id="71"/>
      <w:bookmarkEnd w:id="72"/>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lang w:val="en-US" w:eastAsia="zh-CN"/>
                <w14:textFill>
                  <w14:solidFill>
                    <w14:schemeClr w14:val="tx1"/>
                  </w14:solidFill>
                </w14:textFill>
              </w:rPr>
              <w:t>7</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hint="eastAsia" w:ascii="宋体" w:hAnsi="宋体"/>
                <w:b/>
                <w:bCs/>
                <w:color w:val="000000" w:themeColor="text1"/>
                <w:highlight w:val="none"/>
                <w:u w:val="single"/>
                <w:lang w:val="en-US" w:eastAsia="zh-CN"/>
                <w14:textFill>
                  <w14:solidFill>
                    <w14:schemeClr w14:val="tx1"/>
                  </w14:solidFill>
                </w14:textFill>
              </w:rPr>
              <w:t>6</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numPr>
                <w:ilvl w:val="1"/>
                <w:numId w:val="3"/>
              </w:numPr>
              <w:tabs>
                <w:tab w:val="left" w:pos="26"/>
                <w:tab w:val="clear" w:pos="783"/>
              </w:tabs>
              <w:autoSpaceDE w:val="0"/>
              <w:autoSpaceDN w:val="0"/>
              <w:adjustRightInd w:val="0"/>
              <w:ind w:left="26" w:firstLine="0"/>
              <w:textAlignment w:val="baseline"/>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招标文件中打“★”号条款必须实质性响应，负偏离（不满足要求）将导致投标无效。</w:t>
            </w:r>
          </w:p>
          <w:p>
            <w:pPr>
              <w:pStyle w:val="2"/>
              <w:tabs>
                <w:tab w:val="left" w:pos="26"/>
              </w:tabs>
              <w:ind w:left="26" w:firstLine="0"/>
              <w:rPr>
                <w:rFonts w:ascii="宋体"/>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8055"/>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w:p>
    <w:bookmarkEnd w:id="63"/>
    <w:bookmarkEnd w:id="64"/>
    <w:bookmarkEnd w:id="65"/>
    <w:bookmarkEnd w:id="66"/>
    <w:bookmarkEnd w:id="67"/>
    <w:bookmarkEnd w:id="68"/>
    <w:bookmarkEnd w:id="69"/>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3" w:name="_Toc24552"/>
      <w:bookmarkStart w:id="74" w:name="_Toc459971447"/>
      <w:r>
        <w:rPr>
          <w:rFonts w:hint="eastAsia" w:hAnsi="宋体" w:cs="Times New Roman"/>
          <w:b/>
          <w:color w:val="000000" w:themeColor="text1"/>
          <w:highlight w:val="none"/>
          <w14:textFill>
            <w14:solidFill>
              <w14:schemeClr w14:val="tx1"/>
            </w14:solidFill>
          </w14:textFill>
        </w:rPr>
        <w:t>一、说  明</w:t>
      </w:r>
      <w:bookmarkEnd w:id="73"/>
      <w:bookmarkEnd w:id="74"/>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 适用范围</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1.1本谈判文件适用于本</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谈判的政府采购项目。</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 定义</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“采购人”：是指本次采购项目的最终服务对象:阳江市公安局。</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 “采购代理机构”：是指广东业信采购招标有限公司。</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 “招标采购单位”是指：</w:t>
      </w:r>
      <w:r>
        <w:rPr>
          <w:rFonts w:hint="eastAsia" w:ascii="宋体" w:hAnsi="宋体"/>
          <w:color w:val="000000" w:themeColor="text1"/>
          <w:kern w:val="0"/>
          <w:szCs w:val="21"/>
          <w:highlight w:val="none"/>
          <w:u w:val="single"/>
          <w14:textFill>
            <w14:solidFill>
              <w14:schemeClr w14:val="tx1"/>
            </w14:solidFill>
          </w14:textFill>
        </w:rPr>
        <w:t>采购人</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 合格的货物和服务</w:t>
      </w:r>
    </w:p>
    <w:p>
      <w:pPr>
        <w:adjustRightInd w:val="0"/>
        <w:snapToGrid w:val="0"/>
        <w:spacing w:line="36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“服务”是指除货物和工程以外的其他政府采购对象,其中包括：响应供应商须承担的运输、安装、技术支持、培训以及谈判文件规定的其它服务。</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 谈判费用</w:t>
      </w:r>
    </w:p>
    <w:p>
      <w:pPr>
        <w:pStyle w:val="22"/>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响应供应商应承担所有与准备和参加谈判有关的费用。不论谈判的结果如何，政府采购代理机构和采购人均无义务和责任承担这些费用。</w:t>
      </w:r>
    </w:p>
    <w:p>
      <w:pPr>
        <w:pStyle w:val="22"/>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4.2本次采购向成交供应商收取的成交服务费，按国家有关规定执行。</w:t>
      </w:r>
    </w:p>
    <w:p>
      <w:pPr>
        <w:pStyle w:val="22"/>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5" w:name="_Toc31574"/>
      <w:bookmarkStart w:id="76" w:name="_Toc459971448"/>
      <w:r>
        <w:rPr>
          <w:rFonts w:hint="eastAsia" w:hAnsi="宋体" w:cs="Times New Roman"/>
          <w:b/>
          <w:color w:val="000000" w:themeColor="text1"/>
          <w:highlight w:val="none"/>
          <w14:textFill>
            <w14:solidFill>
              <w14:schemeClr w14:val="tx1"/>
            </w14:solidFill>
          </w14:textFill>
        </w:rPr>
        <w:t>二、谈判文件</w:t>
      </w:r>
      <w:bookmarkEnd w:id="75"/>
      <w:bookmarkEnd w:id="76"/>
    </w:p>
    <w:p>
      <w:pPr>
        <w:pStyle w:val="22"/>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  谈判文件的构成</w:t>
      </w:r>
    </w:p>
    <w:p>
      <w:pPr>
        <w:pStyle w:val="22"/>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5.1谈判文件由下列文件以及在</w:t>
      </w:r>
      <w:r>
        <w:rPr>
          <w:rFonts w:hint="eastAsia" w:hAnsi="宋体"/>
          <w:color w:val="000000" w:themeColor="text1"/>
          <w:highlight w:val="none"/>
          <w14:textFill>
            <w14:solidFill>
              <w14:schemeClr w14:val="tx1"/>
            </w14:solidFill>
          </w14:textFill>
        </w:rPr>
        <w:t>谈判</w:t>
      </w:r>
      <w:r>
        <w:rPr>
          <w:rFonts w:hint="eastAsia" w:hAnsi="宋体" w:cs="Times New Roman"/>
          <w:color w:val="000000" w:themeColor="text1"/>
          <w:highlight w:val="none"/>
          <w14:textFill>
            <w14:solidFill>
              <w14:schemeClr w14:val="tx1"/>
            </w14:solidFill>
          </w14:textFill>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谈判邀请</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谈判须知</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在谈判过程中由招标采购单位发出的修正和补充文件等；</w:t>
      </w:r>
    </w:p>
    <w:p>
      <w:pPr>
        <w:pStyle w:val="22"/>
        <w:adjustRightInd w:val="0"/>
        <w:snapToGrid w:val="0"/>
        <w:spacing w:line="360" w:lineRule="auto"/>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000000" w:themeColor="text1"/>
          <w:szCs w:val="2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7" w:name="_Toc29711"/>
      <w:bookmarkStart w:id="78" w:name="_Toc459971449"/>
      <w:r>
        <w:rPr>
          <w:rFonts w:hint="eastAsia" w:hAnsi="宋体" w:cs="Times New Roman"/>
          <w:b/>
          <w:color w:val="000000" w:themeColor="text1"/>
          <w:highlight w:val="none"/>
          <w14:textFill>
            <w14:solidFill>
              <w14:schemeClr w14:val="tx1"/>
            </w14:solidFill>
          </w14:textFill>
        </w:rPr>
        <w:t>三、单一来源谈判响应文件的编制</w:t>
      </w:r>
      <w:bookmarkEnd w:id="77"/>
      <w:bookmarkEnd w:id="78"/>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谈判响应文件的组成</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报价信封必须另单独分装，详见《单一来源谈判响应文件格式》。</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7 </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谈判响应文件编制基本要求</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响应供应商对单一来源谈判响应文件的编制应按要求装订和封装。</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7.3单一来源谈判响应文件必须按本文件的全部内容，包括所有的补充通知及附件进行编制。</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7.4如因响应供应商只填写和提供了本文件要求的部分内容和附件，而给谈判造成困难的，其可能导致的结果和责任由响应供应商自行承担。 </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8. 计量单位：</w:t>
      </w:r>
    </w:p>
    <w:p>
      <w:pPr>
        <w:spacing w:line="36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8.1除技术要求中另有规定外，本文件所要求使用的计量单位均采用国家法定的度、量、衡标准单位计量。</w:t>
      </w:r>
    </w:p>
    <w:p>
      <w:pPr>
        <w:spacing w:line="360" w:lineRule="auto"/>
        <w:ind w:left="360" w:hanging="360"/>
        <w:rPr>
          <w:rFonts w:ascii="宋体" w:hAnsi="宋体"/>
          <w:color w:val="000000" w:themeColor="text1"/>
          <w:szCs w:val="2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79" w:name="_Toc29258"/>
      <w:bookmarkStart w:id="80" w:name="_Toc459971450"/>
      <w:r>
        <w:rPr>
          <w:rFonts w:hint="eastAsia" w:hAnsi="宋体" w:cs="Times New Roman"/>
          <w:b/>
          <w:color w:val="000000" w:themeColor="text1"/>
          <w:highlight w:val="none"/>
          <w14:textFill>
            <w14:solidFill>
              <w14:schemeClr w14:val="tx1"/>
            </w14:solidFill>
          </w14:textFill>
        </w:rPr>
        <w:t>四、谈判报价要求和响应供应商资格证明文件的要求</w:t>
      </w:r>
      <w:bookmarkEnd w:id="79"/>
      <w:bookmarkEnd w:id="80"/>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9.</w:t>
      </w:r>
      <w:r>
        <w:rPr>
          <w:rFonts w:hint="eastAsia" w:hAnsi="宋体"/>
          <w:color w:val="000000" w:themeColor="text1"/>
          <w:kern w:val="0"/>
          <w:highlight w:val="none"/>
          <w14:textFill>
            <w14:solidFill>
              <w14:schemeClr w14:val="tx1"/>
            </w14:solidFill>
          </w14:textFill>
        </w:rPr>
        <w:t xml:space="preserve"> </w:t>
      </w:r>
      <w:r>
        <w:rPr>
          <w:rFonts w:hint="eastAsia" w:hAnsi="宋体" w:cs="Times New Roman"/>
          <w:color w:val="000000" w:themeColor="text1"/>
          <w:highlight w:val="none"/>
          <w14:textFill>
            <w14:solidFill>
              <w14:schemeClr w14:val="tx1"/>
            </w14:solidFill>
          </w14:textFill>
        </w:rPr>
        <w:t>响应供应商</w:t>
      </w:r>
      <w:r>
        <w:rPr>
          <w:rFonts w:hint="eastAsia" w:hAnsi="宋体"/>
          <w:color w:val="000000" w:themeColor="text1"/>
          <w:kern w:val="0"/>
          <w:highlight w:val="none"/>
          <w14:textFill>
            <w14:solidFill>
              <w14:schemeClr w14:val="tx1"/>
            </w14:solidFill>
          </w14:textFill>
        </w:rPr>
        <w:t>所提供的服务均应以人民币报价，</w:t>
      </w:r>
      <w:r>
        <w:rPr>
          <w:rFonts w:hint="eastAsia" w:hAnsi="宋体" w:cs="Times New Roman"/>
          <w:color w:val="000000" w:themeColor="text1"/>
          <w:highlight w:val="none"/>
          <w14:textFill>
            <w14:solidFill>
              <w14:schemeClr w14:val="tx1"/>
            </w14:solidFill>
          </w14:textFill>
        </w:rPr>
        <w:t>响应供应商应按照第二部分“</w:t>
      </w:r>
      <w:r>
        <w:rPr>
          <w:rFonts w:hint="eastAsia" w:hAnsi="宋体"/>
          <w:color w:val="000000" w:themeColor="text1"/>
          <w:kern w:val="0"/>
          <w:highlight w:val="none"/>
          <w14:textFill>
            <w14:solidFill>
              <w14:schemeClr w14:val="tx1"/>
            </w14:solidFill>
          </w14:textFill>
        </w:rPr>
        <w:t>采购项目服务内容及要求</w:t>
      </w:r>
      <w:r>
        <w:rPr>
          <w:rFonts w:hint="eastAsia" w:hAnsi="宋体" w:cs="Times New Roman"/>
          <w:color w:val="000000" w:themeColor="text1"/>
          <w:highlight w:val="none"/>
          <w14:textFill>
            <w14:solidFill>
              <w14:schemeClr w14:val="tx1"/>
            </w14:solidFill>
          </w14:textFill>
        </w:rPr>
        <w:t>”规定的内容、责任范围以及合同条款进行报价。</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10.在合同实施时，采购人将不予支付成交供应商没有列入的项目费用，并认为此项目的费用已包括在总报价中。</w:t>
      </w:r>
    </w:p>
    <w:p>
      <w:pPr>
        <w:pStyle w:val="22"/>
        <w:adjustRightInd w:val="0"/>
        <w:snapToGrid w:val="0"/>
        <w:spacing w:line="360" w:lineRule="auto"/>
        <w:ind w:left="420" w:hanging="420"/>
        <w:rPr>
          <w:rFonts w:hAnsi="宋体"/>
          <w:b/>
          <w:color w:val="000000" w:themeColor="text1"/>
          <w:kern w:val="0"/>
          <w:highlight w:val="none"/>
          <w14:textFill>
            <w14:solidFill>
              <w14:schemeClr w14:val="tx1"/>
            </w14:solidFill>
          </w14:textFill>
        </w:rPr>
      </w:pPr>
      <w:r>
        <w:rPr>
          <w:rFonts w:hint="eastAsia" w:hAnsi="宋体"/>
          <w:b/>
          <w:color w:val="000000" w:themeColor="text1"/>
          <w:kern w:val="0"/>
          <w:highlight w:val="none"/>
          <w14:textFill>
            <w14:solidFill>
              <w14:schemeClr w14:val="tx1"/>
            </w14:solidFill>
          </w14:textFill>
        </w:rPr>
        <w:t>11. 本项目最终总报价不能高于采购预算（或最高限价），否则其谈判响应将被确定为响应无效。</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2</w:t>
      </w:r>
      <w:r>
        <w:rPr>
          <w:rFonts w:hAnsi="宋体" w:cs="Times New Roman"/>
          <w:color w:val="000000" w:themeColor="text1"/>
          <w:highlight w:val="none"/>
          <w14:textFill>
            <w14:solidFill>
              <w14:schemeClr w14:val="tx1"/>
            </w14:solidFill>
          </w14:textFill>
        </w:rPr>
        <w:tab/>
      </w:r>
      <w:r>
        <w:rPr>
          <w:rFonts w:hint="eastAsia" w:hAnsi="宋体" w:cs="Times New Roman"/>
          <w:color w:val="000000" w:themeColor="text1"/>
          <w:highlight w:val="none"/>
          <w14:textFill>
            <w14:solidFill>
              <w14:schemeClr w14:val="tx1"/>
            </w14:solidFill>
          </w14:textFill>
        </w:rPr>
        <w:t>响应供应商资格证明文件</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2</w:t>
      </w:r>
      <w:r>
        <w:rPr>
          <w:rFonts w:hAnsi="宋体" w:cs="Times New Roman"/>
          <w:color w:val="000000" w:themeColor="text1"/>
          <w:highlight w:val="none"/>
          <w14:textFill>
            <w14:solidFill>
              <w14:schemeClr w14:val="tx1"/>
            </w14:solidFill>
          </w14:textFill>
        </w:rPr>
        <w:t>.1</w:t>
      </w:r>
      <w:r>
        <w:rPr>
          <w:rFonts w:hint="eastAsia" w:hAnsi="宋体" w:cs="Times New Roman"/>
          <w:color w:val="000000" w:themeColor="text1"/>
          <w:highlight w:val="none"/>
          <w14:textFill>
            <w14:solidFill>
              <w14:schemeClr w14:val="tx1"/>
            </w14:solidFill>
          </w14:textFill>
        </w:rPr>
        <w:t>响应供应商应按谈判文件的要求，提交证明其有资格参加谈判和成交后有履行合同能力的文件，并作为其</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谈判响应文件的组成部分。详见《谈判须知前附表》</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12.2资格证明文件必须真实有效，复印件必须加盖单位印章。</w:t>
      </w:r>
    </w:p>
    <w:p>
      <w:pPr>
        <w:pStyle w:val="22"/>
        <w:adjustRightInd w:val="0"/>
        <w:snapToGrid w:val="0"/>
        <w:spacing w:line="360" w:lineRule="auto"/>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13. 证明</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highlight w:val="none"/>
          <w14:textFill>
            <w14:solidFill>
              <w14:schemeClr w14:val="tx1"/>
            </w14:solidFill>
          </w14:textFill>
        </w:rPr>
        <w:t>谈判响应文件标的的合格性和符合谈判文件规定的文件：</w:t>
      </w:r>
    </w:p>
    <w:p>
      <w:pPr>
        <w:tabs>
          <w:tab w:val="left" w:pos="567"/>
        </w:tabs>
        <w:spacing w:line="36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 响应供应商提交证明其所提供的服务的合格性并符合谈判文件规定的声明文件。</w:t>
      </w:r>
    </w:p>
    <w:p>
      <w:pPr>
        <w:tabs>
          <w:tab w:val="left" w:pos="567"/>
        </w:tabs>
        <w:spacing w:line="36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证明服务与谈判文件的要求相一致的文件可以是文字资料、图纸、数据资料等。</w:t>
      </w:r>
    </w:p>
    <w:p>
      <w:pPr>
        <w:pStyle w:val="22"/>
        <w:adjustRightInd w:val="0"/>
        <w:snapToGrid w:val="0"/>
        <w:spacing w:line="360" w:lineRule="auto"/>
        <w:ind w:left="420" w:hanging="420"/>
        <w:rPr>
          <w:rFonts w:hAnsi="宋体"/>
          <w:b/>
          <w:color w:val="000000" w:themeColor="text1"/>
          <w:kern w:val="0"/>
          <w:highlight w:val="none"/>
          <w:u w:val="singl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1" w:name="_Toc459971451"/>
      <w:bookmarkStart w:id="82" w:name="_Toc8728"/>
      <w:r>
        <w:rPr>
          <w:rFonts w:hint="eastAsia" w:hAnsi="宋体" w:cs="Times New Roman"/>
          <w:b/>
          <w:color w:val="000000" w:themeColor="text1"/>
          <w:highlight w:val="none"/>
          <w14:textFill>
            <w14:solidFill>
              <w14:schemeClr w14:val="tx1"/>
            </w14:solidFill>
          </w14:textFill>
        </w:rPr>
        <w:t>五、谈判保证金</w:t>
      </w:r>
      <w:bookmarkEnd w:id="81"/>
      <w:bookmarkEnd w:id="82"/>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 谈判保证金</w:t>
      </w:r>
    </w:p>
    <w:p>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14.1 响应供应商应按谈判文件规定的金额和期限交纳谈判保证金，谈判保证金作为</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谈判响应文件的组成部分。</w:t>
      </w:r>
    </w:p>
    <w:p>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14.2谈判保证金金额、交纳形式、交纳时间及谈判保证金账户，详见《谈判须知前附表》。</w:t>
      </w:r>
    </w:p>
    <w:p>
      <w:pPr>
        <w:adjustRightInd w:val="0"/>
        <w:snapToGrid w:val="0"/>
        <w:spacing w:line="36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6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14.5</w:t>
      </w:r>
      <w:r>
        <w:rPr>
          <w:rFonts w:hint="eastAsia" w:ascii="宋体" w:hAnsi="宋体"/>
          <w:color w:val="000000" w:themeColor="text1"/>
          <w:kern w:val="0"/>
          <w:szCs w:val="21"/>
          <w:highlight w:val="none"/>
          <w14:textFill>
            <w14:solidFill>
              <w14:schemeClr w14:val="tx1"/>
            </w14:solidFill>
          </w14:textFill>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响应供应商在谈判文件规定的谈判有效期内撤回其单一来源谈判响应文件；</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成交响应供应商在规定期限内未能按本须知的规定提交履约保证金（如有）；</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成交后未按谈判文件中的规定缴付成交服务费；</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60" w:lineRule="auto"/>
        <w:ind w:left="500" w:leftChars="238"/>
        <w:rPr>
          <w:rFonts w:ascii="宋体" w:hAnsi="宋体"/>
          <w:color w:val="000000" w:themeColor="text1"/>
          <w:kern w:val="0"/>
          <w:szCs w:val="2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3" w:name="_Toc459971452"/>
      <w:bookmarkStart w:id="84" w:name="_Toc10267"/>
      <w:r>
        <w:rPr>
          <w:rFonts w:hint="eastAsia" w:hAnsi="宋体" w:cs="Times New Roman"/>
          <w:b/>
          <w:color w:val="000000" w:themeColor="text1"/>
          <w:highlight w:val="none"/>
          <w14:textFill>
            <w14:solidFill>
              <w14:schemeClr w14:val="tx1"/>
            </w14:solidFill>
          </w14:textFill>
        </w:rPr>
        <w:t>六、单一来源谈判响应文件的份数、封装和递交</w:t>
      </w:r>
      <w:bookmarkEnd w:id="83"/>
      <w:bookmarkEnd w:id="84"/>
    </w:p>
    <w:p>
      <w:pPr>
        <w:autoSpaceDE w:val="0"/>
        <w:autoSpaceDN w:val="0"/>
        <w:adjustRightInd w:val="0"/>
        <w:snapToGrid w:val="0"/>
        <w:spacing w:line="36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响应供应商应编制</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谈判响应文件份数详见《谈判须知前附表》，</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谈判响应文件的副本可采用正本的复印件。每套</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谈判响应文件须清楚地标明“正本”、“副本”。若副本与正本不符，以正本为准。</w:t>
      </w:r>
      <w:r>
        <w:rPr>
          <w:rFonts w:hint="eastAsia" w:ascii="宋体"/>
          <w:bCs/>
          <w:color w:val="000000" w:themeColor="text1"/>
          <w:highlight w:val="none"/>
          <w14:textFill>
            <w14:solidFill>
              <w14:schemeClr w14:val="tx1"/>
            </w14:solidFill>
          </w14:textFill>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15.2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谈判响应文件的正本需打印或用不褪色墨水书写，并由法定代表人或经其正式授权的代表签字。授权代表须出具书面授权证明，其《法定代表人授权书》应附在</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谈判响应文件中。</w:t>
      </w:r>
    </w:p>
    <w:p>
      <w:pPr>
        <w:pStyle w:val="22"/>
        <w:adjustRightInd w:val="0"/>
        <w:snapToGrid w:val="0"/>
        <w:spacing w:line="360" w:lineRule="auto"/>
        <w:ind w:left="473" w:hanging="472" w:hangingChars="225"/>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 xml:space="preserve">15.3 </w:t>
      </w:r>
      <w:r>
        <w:rPr>
          <w:rFonts w:hint="eastAsia" w:hAnsi="宋体"/>
          <w:color w:val="000000" w:themeColor="text1"/>
          <w:highlight w:val="none"/>
          <w14:textFill>
            <w14:solidFill>
              <w14:schemeClr w14:val="tx1"/>
            </w14:solidFill>
          </w14:textFill>
        </w:rPr>
        <w:t>单一来源</w:t>
      </w:r>
      <w:r>
        <w:rPr>
          <w:rFonts w:hint="eastAsia" w:hAnsi="宋体" w:cs="Times New Roman"/>
          <w:color w:val="000000" w:themeColor="text1"/>
          <w:kern w:val="0"/>
          <w:highlight w:val="none"/>
          <w14:textFill>
            <w14:solidFill>
              <w14:schemeClr w14:val="tx1"/>
            </w14:solidFill>
          </w14:textFill>
        </w:rPr>
        <w:t>谈判响应文件中的任何重要的插字、涂改和增删，必须由法定代表人或经其正式授权的代表在旁边签章或签字</w:t>
      </w:r>
      <w:r>
        <w:rPr>
          <w:rFonts w:hint="eastAsia"/>
          <w:bCs/>
          <w:color w:val="000000" w:themeColor="text1"/>
          <w:highlight w:val="none"/>
          <w14:textFill>
            <w14:solidFill>
              <w14:schemeClr w14:val="tx1"/>
            </w14:solidFill>
          </w14:textFill>
        </w:rPr>
        <w:t>并在修改处加盖公章</w:t>
      </w:r>
      <w:r>
        <w:rPr>
          <w:rFonts w:hint="eastAsia" w:hAnsi="宋体" w:cs="Times New Roman"/>
          <w:color w:val="000000" w:themeColor="text1"/>
          <w:kern w:val="0"/>
          <w:highlight w:val="none"/>
          <w14:textFill>
            <w14:solidFill>
              <w14:schemeClr w14:val="tx1"/>
            </w14:solidFill>
          </w14:textFill>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15.4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谈判响应文件的谈判有效期为从报价截止日起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16.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谈判响应文件的递交</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16.1 </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迟交的</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谈判响应文件，按《政府采购法》的规定，采购代理机构将拒收或原封退回在其规定的递交</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谈判响应文件截止时点之后收到的任何</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5" w:name="_Toc459971453"/>
      <w:bookmarkStart w:id="86" w:name="_Toc22263"/>
      <w:r>
        <w:rPr>
          <w:rFonts w:hint="eastAsia" w:hAnsi="宋体" w:cs="Times New Roman"/>
          <w:b/>
          <w:color w:val="000000" w:themeColor="text1"/>
          <w:highlight w:val="none"/>
          <w14:textFill>
            <w14:solidFill>
              <w14:schemeClr w14:val="tx1"/>
            </w14:solidFill>
          </w14:textFill>
        </w:rPr>
        <w:t>七、谈判的步骤</w:t>
      </w:r>
      <w:bookmarkEnd w:id="85"/>
      <w:bookmarkEnd w:id="86"/>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17.谈判文件的澄清</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17.2响应供应商在规定的时间内未要求对谈判文件澄清或提出疑问的，采购代理机构将视其为无异议。对谈判文件中描述有歧意或前后不一致的地方，评标委员会有权进行评判。</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 谈判</w:t>
      </w:r>
    </w:p>
    <w:p>
      <w:pPr>
        <w:pStyle w:val="22"/>
        <w:adjustRightInd w:val="0"/>
        <w:snapToGrid w:val="0"/>
        <w:spacing w:line="360" w:lineRule="auto"/>
        <w:ind w:left="420" w:hanging="420" w:hangingChars="200"/>
        <w:rPr>
          <w:rFonts w:hAnsi="宋体"/>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18.1单一来源小组成员从政府采购专家库随机抽取产生，详见</w:t>
      </w:r>
      <w:r>
        <w:rPr>
          <w:rFonts w:hint="eastAsia" w:hAnsi="宋体"/>
          <w:color w:val="000000" w:themeColor="text1"/>
          <w:kern w:val="0"/>
          <w:highlight w:val="none"/>
          <w14:textFill>
            <w14:solidFill>
              <w14:schemeClr w14:val="tx1"/>
            </w14:solidFill>
          </w14:textFill>
        </w:rPr>
        <w:t>《谈判须知前附表》</w:t>
      </w:r>
      <w:r>
        <w:rPr>
          <w:rFonts w:hint="eastAsia" w:hAnsi="宋体" w:cs="Times New Roman"/>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单一来源小组对</w:t>
      </w:r>
      <w:r>
        <w:rPr>
          <w:rFonts w:hint="eastAsia" w:hAnsi="宋体" w:cs="Times New Roman"/>
          <w:color w:val="000000" w:themeColor="text1"/>
          <w:highlight w:val="none"/>
          <w14:textFill>
            <w14:solidFill>
              <w14:schemeClr w14:val="tx1"/>
            </w14:solidFill>
          </w14:textFill>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在资格性审查、符合性检查时，如发现下列情形之一的，单一来源谈判响应文件将被视为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报价总金额</w:t>
      </w:r>
      <w:r>
        <w:rPr>
          <w:rFonts w:hint="eastAsia" w:ascii="宋体" w:hAnsi="宋体"/>
          <w:color w:val="000000" w:themeColor="text1"/>
          <w:kern w:val="0"/>
          <w:szCs w:val="21"/>
          <w:highlight w:val="none"/>
          <w14:textFill>
            <w14:solidFill>
              <w14:schemeClr w14:val="tx1"/>
            </w14:solidFill>
          </w14:textFill>
        </w:rPr>
        <w:t>超过本项目采购预算（或最高限价）；</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(4)不具备谈判文件中规定资格要求的；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(5)未按照谈判文件规定要求签署、盖章的； </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谈判响应文件无法定代表人签字或签字人无法定代表人有效授权的；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单一来源</w:t>
      </w:r>
      <w:r>
        <w:rPr>
          <w:rFonts w:hint="eastAsia" w:ascii="宋体" w:hAnsi="宋体"/>
          <w:color w:val="000000" w:themeColor="text1"/>
          <w:kern w:val="0"/>
          <w:szCs w:val="21"/>
          <w:highlight w:val="none"/>
          <w14:textFill>
            <w14:solidFill>
              <w14:schemeClr w14:val="tx1"/>
            </w14:solidFill>
          </w14:textFill>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(9)符合谈判文件中规定的被确定为响应无效的其它条款的。</w:t>
      </w:r>
    </w:p>
    <w:p>
      <w:pPr>
        <w:tabs>
          <w:tab w:val="left" w:pos="567"/>
        </w:tabs>
        <w:spacing w:line="360" w:lineRule="auto"/>
        <w:ind w:left="920" w:leftChars="258" w:hanging="378" w:hangingChars="1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18.2</w:t>
      </w:r>
      <w:r>
        <w:rPr>
          <w:rFonts w:hint="eastAsia" w:hAnsi="宋体"/>
          <w:color w:val="000000" w:themeColor="text1"/>
          <w:highlight w:val="none"/>
          <w14:textFill>
            <w14:solidFill>
              <w14:schemeClr w14:val="tx1"/>
            </w14:solidFill>
          </w14:textFill>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18.5  在谈判过程中，响应供应商提交的澄清文件和最终报价文件，由响应供应商法人代表或授权代表签署后生效，响应供应商应受其约束。</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18.</w:t>
      </w:r>
      <w:r>
        <w:rPr>
          <w:rFonts w:hAnsi="宋体" w:cs="Times New Roman"/>
          <w:color w:val="000000" w:themeColor="text1"/>
          <w:highlight w:val="none"/>
          <w14:textFill>
            <w14:solidFill>
              <w14:schemeClr w14:val="tx1"/>
            </w14:solidFill>
          </w14:textFill>
        </w:rPr>
        <w:t>6</w:t>
      </w:r>
      <w:r>
        <w:rPr>
          <w:rFonts w:hint="eastAsia" w:hAnsi="宋体" w:cs="Times New Roman"/>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单一来源小组进行综合评议审核，对供应商提供服务项目均能满足谈判文件规定最低要求条件时，才能推荐为成交的候选对象。</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w:t>
      </w:r>
      <w:r>
        <w:rPr>
          <w:rFonts w:hAnsi="宋体"/>
          <w:color w:val="000000" w:themeColor="text1"/>
          <w:highlight w:val="none"/>
          <w14:textFill>
            <w14:solidFill>
              <w14:schemeClr w14:val="tx1"/>
            </w14:solidFill>
          </w14:textFill>
        </w:rPr>
        <w:t>7</w:t>
      </w:r>
      <w:r>
        <w:rPr>
          <w:rFonts w:hint="eastAsia" w:hAnsi="宋体"/>
          <w:color w:val="000000" w:themeColor="text1"/>
          <w:highlight w:val="none"/>
          <w14:textFill>
            <w14:solidFill>
              <w14:schemeClr w14:val="tx1"/>
            </w14:solidFill>
          </w14:textFill>
        </w:rPr>
        <w:t xml:space="preserve"> 代理机构对谈判过程和重要谈判内容进行记录。</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7" w:name="_Toc17447"/>
      <w:bookmarkStart w:id="88" w:name="_Toc459971454"/>
      <w:r>
        <w:rPr>
          <w:rFonts w:hint="eastAsia" w:hAnsi="宋体" w:cs="Times New Roman"/>
          <w:b/>
          <w:color w:val="000000" w:themeColor="text1"/>
          <w:highlight w:val="none"/>
          <w14:textFill>
            <w14:solidFill>
              <w14:schemeClr w14:val="tx1"/>
            </w14:solidFill>
          </w14:textFill>
        </w:rPr>
        <w:t>八、确定成交供应商办法</w:t>
      </w:r>
      <w:bookmarkEnd w:id="87"/>
      <w:bookmarkEnd w:id="88"/>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19.确定成交供应商</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19.2 </w:t>
      </w:r>
      <w:r>
        <w:rPr>
          <w:rFonts w:hint="eastAsia" w:ascii="宋体" w:hAnsi="宋体"/>
          <w:color w:val="000000" w:themeColor="text1"/>
          <w:kern w:val="0"/>
          <w:szCs w:val="21"/>
          <w:highlight w:val="none"/>
          <w14:textFill>
            <w14:solidFill>
              <w14:schemeClr w14:val="tx1"/>
            </w14:solidFill>
          </w14:textFill>
        </w:rPr>
        <w:t>成交供应商确定后，采购代理机构在信息发布媒体上发布成交公告，向成交人发出《成交通知书》，《成交通知书》对成交人和采购人具有同等法律效力。</w:t>
      </w:r>
    </w:p>
    <w:p>
      <w:pPr>
        <w:pStyle w:val="22"/>
        <w:adjustRightInd w:val="0"/>
        <w:snapToGrid w:val="0"/>
        <w:spacing w:line="360" w:lineRule="auto"/>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 xml:space="preserve">20. </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采购人重新进行组织采购。</w:t>
      </w:r>
    </w:p>
    <w:p>
      <w:pPr>
        <w:tabs>
          <w:tab w:val="left" w:pos="0"/>
        </w:tabs>
        <w:adjustRightInd w:val="0"/>
        <w:snapToGrid w:val="0"/>
        <w:spacing w:line="36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21. 项目响应无效处理</w:t>
      </w: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21.1 根据《政府采购法》第三十六条规定，下列情况出现将被确定为响应无效：</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(1) 出现影响采购公正的违法、违规行为的； </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响应供应商的报价均超过了采购预算，采购人不能支付的；</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因重大变故，采购任务取消的。</w:t>
      </w:r>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89" w:name="_Toc459971455"/>
      <w:bookmarkStart w:id="90" w:name="_Toc6656"/>
      <w:r>
        <w:rPr>
          <w:rFonts w:hint="eastAsia" w:hAnsi="宋体" w:cs="Times New Roman"/>
          <w:b/>
          <w:color w:val="000000" w:themeColor="text1"/>
          <w:highlight w:val="none"/>
          <w14:textFill>
            <w14:solidFill>
              <w14:schemeClr w14:val="tx1"/>
            </w14:solidFill>
          </w14:textFill>
        </w:rPr>
        <w:t>九、质疑</w:t>
      </w:r>
      <w:bookmarkEnd w:id="89"/>
      <w:bookmarkEnd w:id="90"/>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91" w:name="_Toc345675374"/>
      <w:bookmarkStart w:id="92" w:name="_Toc24622"/>
      <w:bookmarkStart w:id="93" w:name="_Toc459971456"/>
      <w:bookmarkStart w:id="94" w:name="_Toc322033397"/>
      <w:r>
        <w:rPr>
          <w:rFonts w:hint="eastAsia" w:hAnsi="宋体" w:cs="Times New Roman"/>
          <w:b/>
          <w:color w:val="000000" w:themeColor="text1"/>
          <w:highlight w:val="none"/>
          <w14:textFill>
            <w14:solidFill>
              <w14:schemeClr w14:val="tx1"/>
            </w14:solidFill>
          </w14:textFill>
        </w:rPr>
        <w:t>十、成交服务费</w:t>
      </w:r>
      <w:bookmarkEnd w:id="91"/>
      <w:bookmarkEnd w:id="92"/>
      <w:bookmarkEnd w:id="93"/>
      <w:bookmarkEnd w:id="94"/>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成交服务费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 成交服务费币种与成交通知书中成交价的币种相同。</w:t>
      </w:r>
    </w:p>
    <w:p>
      <w:pPr>
        <w:spacing w:line="360" w:lineRule="auto"/>
        <w:ind w:left="720" w:hanging="7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23.3 成交服务费不列在投标报价中。</w:t>
      </w:r>
    </w:p>
    <w:p>
      <w:pPr>
        <w:spacing w:line="360" w:lineRule="auto"/>
        <w:ind w:left="720" w:hanging="720"/>
        <w:rPr>
          <w:rFonts w:ascii="宋体" w:hAnsi="宋体"/>
          <w:color w:val="000000" w:themeColor="text1"/>
          <w:szCs w:val="21"/>
          <w:highlight w:val="none"/>
          <w14:textFill>
            <w14:solidFill>
              <w14:schemeClr w14:val="tx1"/>
            </w14:solidFill>
          </w14:textFill>
        </w:rPr>
      </w:pPr>
      <w:bookmarkStart w:id="95" w:name="_Toc458508246"/>
      <w:bookmarkStart w:id="96" w:name="_Toc459971457"/>
      <w:bookmarkStart w:id="97" w:name="_Toc458155012"/>
      <w:r>
        <w:rPr>
          <w:rFonts w:hint="eastAsia" w:ascii="宋体" w:hAnsi="宋体"/>
          <w:color w:val="000000" w:themeColor="text1"/>
          <w:szCs w:val="21"/>
          <w:highlight w:val="none"/>
          <w14:textFill>
            <w14:solidFill>
              <w14:schemeClr w14:val="tx1"/>
            </w14:solidFill>
          </w14:textFill>
        </w:rPr>
        <w:t>23.4成交服务费</w:t>
      </w:r>
      <w:bookmarkEnd w:id="95"/>
      <w:bookmarkEnd w:id="96"/>
      <w:bookmarkEnd w:id="97"/>
      <w:r>
        <w:rPr>
          <w:rFonts w:hint="eastAsia" w:ascii="宋体" w:hAnsi="宋体"/>
          <w:color w:val="000000" w:themeColor="text1"/>
          <w:szCs w:val="21"/>
          <w:highlight w:val="none"/>
          <w14:textFill>
            <w14:solidFill>
              <w14:schemeClr w14:val="tx1"/>
            </w14:solidFill>
          </w14:textFill>
        </w:rPr>
        <w:t>由采购人支付。</w:t>
      </w:r>
    </w:p>
    <w:p>
      <w:pPr>
        <w:pStyle w:val="22"/>
        <w:adjustRightInd w:val="0"/>
        <w:snapToGrid w:val="0"/>
        <w:spacing w:line="360" w:lineRule="auto"/>
        <w:outlineLvl w:val="1"/>
        <w:rPr>
          <w:rFonts w:hint="eastAsia" w:hAnsi="宋体" w:cs="Times New Roman"/>
          <w:b/>
          <w:color w:val="000000" w:themeColor="text1"/>
          <w:highlight w:val="none"/>
          <w14:textFill>
            <w14:solidFill>
              <w14:schemeClr w14:val="tx1"/>
            </w14:solidFill>
          </w14:textFill>
        </w:rPr>
      </w:pPr>
      <w:bookmarkStart w:id="98" w:name="_Toc459971458"/>
      <w:bookmarkStart w:id="99" w:name="_Toc536594109"/>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100" w:name="_Toc5795"/>
      <w:r>
        <w:rPr>
          <w:rFonts w:hint="eastAsia" w:hAnsi="宋体" w:cs="Times New Roman"/>
          <w:b/>
          <w:color w:val="000000" w:themeColor="text1"/>
          <w:highlight w:val="none"/>
          <w14:textFill>
            <w14:solidFill>
              <w14:schemeClr w14:val="tx1"/>
            </w14:solidFill>
          </w14:textFill>
        </w:rPr>
        <w:t>十一、合同的订立和履行</w:t>
      </w:r>
      <w:bookmarkEnd w:id="98"/>
      <w:bookmarkEnd w:id="100"/>
    </w:p>
    <w:bookmarkEnd w:id="99"/>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24.合同的订立</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24.3履约保证金</w:t>
      </w:r>
      <w:r>
        <w:rPr>
          <w:rFonts w:hint="eastAsia" w:ascii="宋体" w:hAnsi="宋体"/>
          <w:b/>
          <w:snapToGrid w:val="0"/>
          <w:color w:val="000000" w:themeColor="text1"/>
          <w:kern w:val="0"/>
          <w:szCs w:val="21"/>
          <w:highlight w:val="none"/>
          <w14:textFill>
            <w14:solidFill>
              <w14:schemeClr w14:val="tx1"/>
            </w14:solidFill>
          </w14:textFill>
        </w:rPr>
        <w:t>(如有)</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(3)采购人认可的其它方式。</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 合同的履行</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发票</w:t>
      </w:r>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p>
    <w:p>
      <w:pPr>
        <w:pStyle w:val="22"/>
        <w:adjustRightInd w:val="0"/>
        <w:snapToGrid w:val="0"/>
        <w:spacing w:line="360" w:lineRule="auto"/>
        <w:outlineLvl w:val="1"/>
        <w:rPr>
          <w:rFonts w:hAnsi="宋体" w:cs="Times New Roman"/>
          <w:b/>
          <w:color w:val="000000" w:themeColor="text1"/>
          <w:highlight w:val="none"/>
          <w14:textFill>
            <w14:solidFill>
              <w14:schemeClr w14:val="tx1"/>
            </w14:solidFill>
          </w14:textFill>
        </w:rPr>
      </w:pPr>
      <w:bookmarkStart w:id="101" w:name="_Toc345675376"/>
      <w:bookmarkStart w:id="102" w:name="_Toc30641"/>
      <w:bookmarkStart w:id="103" w:name="_Toc322033399"/>
      <w:bookmarkStart w:id="104" w:name="_Toc459971459"/>
      <w:r>
        <w:rPr>
          <w:rFonts w:hint="eastAsia" w:hAnsi="宋体" w:cs="Times New Roman"/>
          <w:b/>
          <w:color w:val="000000" w:themeColor="text1"/>
          <w:highlight w:val="none"/>
          <w14:textFill>
            <w14:solidFill>
              <w14:schemeClr w14:val="tx1"/>
            </w14:solidFill>
          </w14:textFill>
        </w:rPr>
        <w:t>十二、适用法律</w:t>
      </w:r>
      <w:bookmarkEnd w:id="101"/>
      <w:bookmarkEnd w:id="102"/>
      <w:bookmarkEnd w:id="103"/>
      <w:bookmarkEnd w:id="104"/>
    </w:p>
    <w:p>
      <w:pPr>
        <w:spacing w:line="36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pStyle w:val="3"/>
        <w:numPr>
          <w:ilvl w:val="0"/>
          <w:numId w:val="0"/>
        </w:numPr>
        <w:jc w:val="center"/>
        <w:rPr>
          <w:rFonts w:ascii="宋体" w:hAnsi="宋体"/>
          <w:color w:val="000000" w:themeColor="text1"/>
          <w:sz w:val="21"/>
          <w:szCs w:val="21"/>
          <w:highlight w:val="none"/>
          <w14:textFill>
            <w14:solidFill>
              <w14:schemeClr w14:val="tx1"/>
            </w14:solidFill>
          </w14:textFill>
        </w:rPr>
      </w:pPr>
      <w:bookmarkStart w:id="105" w:name="_Toc337632367"/>
      <w:bookmarkStart w:id="106" w:name="_Toc366072538"/>
      <w:bookmarkStart w:id="107" w:name="_Toc333238642"/>
      <w:bookmarkStart w:id="108" w:name="_Toc333237797"/>
      <w:bookmarkStart w:id="109" w:name="_Toc339020104"/>
      <w:bookmarkStart w:id="110" w:name="_Toc331512907"/>
      <w:bookmarkStart w:id="111" w:name="_Toc330459994"/>
      <w:bookmarkStart w:id="112" w:name="_Toc333237686"/>
      <w:bookmarkStart w:id="113" w:name="_Toc350756459"/>
      <w:bookmarkStart w:id="114" w:name="_Toc331684047"/>
      <w:bookmarkStart w:id="115" w:name="_Toc350438758"/>
      <w:bookmarkStart w:id="116" w:name="_Toc336681589"/>
      <w:bookmarkStart w:id="117" w:name="_Toc342296769"/>
      <w:bookmarkStart w:id="118" w:name="_Toc333935696"/>
      <w:bookmarkStart w:id="119" w:name="_Toc339441096"/>
      <w:bookmarkStart w:id="120" w:name="_Toc340677079"/>
      <w:bookmarkStart w:id="121" w:name="_Toc339020024"/>
      <w:bookmarkStart w:id="122" w:name="_Toc333935355"/>
      <w:bookmarkStart w:id="123" w:name="_Toc332206717"/>
      <w:bookmarkStart w:id="124" w:name="_Toc349127635"/>
      <w:bookmarkStart w:id="125" w:name="_Toc345513910"/>
      <w:bookmarkStart w:id="126" w:name="_Toc374454610"/>
      <w:bookmarkStart w:id="127" w:name="_Toc341348347"/>
      <w:bookmarkStart w:id="128" w:name="_Toc365967081"/>
      <w:bookmarkStart w:id="129" w:name="_Toc336681944"/>
      <w:bookmarkStart w:id="130" w:name="_Toc342060383"/>
      <w:bookmarkStart w:id="131" w:name="_Toc340672878"/>
      <w:bookmarkStart w:id="132" w:name="_Toc332270355"/>
      <w:bookmarkStart w:id="133" w:name="_Toc365985187"/>
      <w:bookmarkStart w:id="134" w:name="_Toc339362309"/>
      <w:bookmarkStart w:id="135" w:name="_Toc349143598"/>
      <w:bookmarkStart w:id="136" w:name="_Toc339019898"/>
      <w:bookmarkStart w:id="137" w:name="_Toc340507451"/>
      <w:bookmarkStart w:id="138" w:name="_Toc339020242"/>
      <w:bookmarkStart w:id="139" w:name="_Toc10482"/>
      <w:bookmarkStart w:id="140" w:name="_Toc2696"/>
      <w:bookmarkStart w:id="141" w:name="_Toc459971462"/>
      <w:r>
        <w:rPr>
          <w:rFonts w:hint="eastAsia" w:ascii="宋体" w:hAnsi="宋体"/>
          <w:color w:val="000000" w:themeColor="text1"/>
          <w:sz w:val="21"/>
          <w:szCs w:val="21"/>
          <w:highlight w:val="none"/>
          <w14:textFill>
            <w14:solidFill>
              <w14:schemeClr w14:val="tx1"/>
            </w14:solidFill>
          </w14:textFill>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2" w:name="_Hlt97188170"/>
      <w:bookmarkEnd w:id="142"/>
      <w:r>
        <w:rPr>
          <w:rFonts w:hint="eastAsia" w:ascii="宋体" w:hAnsi="宋体"/>
          <w:color w:val="000000" w:themeColor="text1"/>
          <w:sz w:val="21"/>
          <w:szCs w:val="21"/>
          <w:highlight w:val="none"/>
          <w14:textFill>
            <w14:solidFill>
              <w14:schemeClr w14:val="tx1"/>
            </w14:solidFill>
          </w14:textFill>
        </w:rPr>
        <w:t>采购项目合同（参考范本）</w:t>
      </w:r>
      <w:bookmarkEnd w:id="139"/>
      <w:bookmarkEnd w:id="140"/>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1"/>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1"/>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2"/>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2"/>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3" w:name="_Toc13026"/>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spacing w:before="100" w:beforeAutospacing="1" w:after="100" w:afterAutospacing="1" w:line="240"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第五部分  单一来源谈判响应文件格式</w:t>
      </w:r>
      <w:bookmarkEnd w:id="141"/>
      <w:bookmarkEnd w:id="143"/>
    </w:p>
    <w:p>
      <w:pPr>
        <w:pStyle w:val="4"/>
        <w:numPr>
          <w:ilvl w:val="0"/>
          <w:numId w:val="0"/>
        </w:numPr>
        <w:jc w:val="center"/>
        <w:rPr>
          <w:rFonts w:ascii="宋体" w:hAnsi="宋体" w:eastAsia="宋体"/>
          <w:color w:val="000000" w:themeColor="text1"/>
          <w:sz w:val="21"/>
          <w:szCs w:val="21"/>
          <w:highlight w:val="none"/>
          <w14:textFill>
            <w14:solidFill>
              <w14:schemeClr w14:val="tx1"/>
            </w14:solidFill>
          </w14:textFill>
        </w:rPr>
      </w:pPr>
      <w:bookmarkStart w:id="144" w:name="_Toc200414513"/>
      <w:bookmarkStart w:id="145" w:name="_Toc11052"/>
      <w:r>
        <w:rPr>
          <w:rFonts w:hint="eastAsia" w:ascii="宋体" w:hAnsi="宋体" w:eastAsia="宋体"/>
          <w:color w:val="000000" w:themeColor="text1"/>
          <w:sz w:val="21"/>
          <w:szCs w:val="21"/>
          <w:highlight w:val="none"/>
          <w14:textFill>
            <w14:solidFill>
              <w14:schemeClr w14:val="tx1"/>
            </w14:solidFill>
          </w14:textFill>
        </w:rPr>
        <w:t>封面格式</w:t>
      </w:r>
      <w:bookmarkEnd w:id="144"/>
      <w:bookmarkEnd w:id="145"/>
    </w:p>
    <w:p>
      <w:pPr>
        <w:pStyle w:val="2"/>
        <w:rPr>
          <w:rFonts w:hAnsi="宋体"/>
          <w:bCs/>
          <w:color w:val="000000" w:themeColor="text1"/>
          <w:szCs w:val="24"/>
          <w:highlight w:val="none"/>
          <w14:textFill>
            <w14:solidFill>
              <w14:schemeClr w14:val="tx1"/>
            </w14:solidFill>
          </w14:textFill>
        </w:rPr>
      </w:pPr>
    </w:p>
    <w:p>
      <w:pPr>
        <w:pStyle w:val="2"/>
        <w:rPr>
          <w:rFonts w:hAnsi="宋体"/>
          <w:bCs/>
          <w:color w:val="000000" w:themeColor="text1"/>
          <w:szCs w:val="24"/>
          <w:highlight w:val="none"/>
          <w14:textFill>
            <w14:solidFill>
              <w14:schemeClr w14:val="tx1"/>
            </w14:solidFill>
          </w14:textFill>
        </w:rPr>
      </w:pPr>
    </w:p>
    <w:p>
      <w:pPr>
        <w:pStyle w:val="2"/>
        <w:spacing w:line="440" w:lineRule="exact"/>
        <w:ind w:left="315" w:leftChars="150" w:firstLineChars="200"/>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谈判响应文件的封面格式由供应商自拟，并应注明“谈判响应文件、项目编号、项目名称、供应商名称及地址、法定代表人或授权代理人、联系电话、传真、邮编，并加盖供应商公章。如：</w:t>
      </w:r>
    </w:p>
    <w:p>
      <w:pPr>
        <w:pStyle w:val="2"/>
        <w:rPr>
          <w:rFonts w:hAnsi="宋体"/>
          <w:bCs/>
          <w:color w:val="000000" w:themeColor="text1"/>
          <w:szCs w:val="24"/>
          <w:highlight w:val="none"/>
          <w14:textFill>
            <w14:solidFill>
              <w14:schemeClr w14:val="tx1"/>
            </w14:solidFill>
          </w14:textFill>
        </w:rPr>
      </w:pPr>
    </w:p>
    <w:p>
      <w:pPr>
        <w:pStyle w:val="2"/>
        <w:rPr>
          <w:rFonts w:hAnsi="宋体"/>
          <w:bCs/>
          <w:color w:val="000000" w:themeColor="text1"/>
          <w:szCs w:val="24"/>
          <w:highlight w:val="none"/>
          <w14:textFill>
            <w14:solidFill>
              <w14:schemeClr w14:val="tx1"/>
            </w14:solidFill>
          </w14:textFill>
        </w:rPr>
      </w:pPr>
    </w:p>
    <w:p>
      <w:pPr>
        <w:pStyle w:val="2"/>
        <w:rPr>
          <w:rFonts w:hAnsi="宋体"/>
          <w:bCs/>
          <w:color w:val="000000" w:themeColor="text1"/>
          <w:szCs w:val="24"/>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谈判响应文件（□正本、□副本）</w:t>
      </w:r>
    </w:p>
    <w:p>
      <w:pPr>
        <w:pStyle w:val="2"/>
        <w:spacing w:line="440" w:lineRule="exact"/>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
          <w:bCs/>
          <w:color w:val="000000" w:themeColor="text1"/>
          <w:szCs w:val="24"/>
          <w:highlight w:val="none"/>
          <w:u w:val="single"/>
          <w:lang w:eastAsia="zh-CN"/>
          <w14:textFill>
            <w14:solidFill>
              <w14:schemeClr w14:val="tx1"/>
            </w14:solidFill>
          </w14:textFill>
        </w:rPr>
        <w:t>YXCG-20211216</w:t>
      </w:r>
      <w:r>
        <w:rPr>
          <w:rFonts w:hint="eastAsia" w:hAnsi="宋体"/>
          <w:b/>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 xml:space="preserve">             </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 xml:space="preserve">项目名称，由供应商填写               </w:t>
      </w:r>
      <w:r>
        <w:rPr>
          <w:rFonts w:hint="eastAsia" w:hAnsi="宋体"/>
          <w:bCs/>
          <w:color w:val="000000" w:themeColor="text1"/>
          <w:szCs w:val="24"/>
          <w:highlight w:val="none"/>
          <w:u w:val="single"/>
          <w14:textFill>
            <w14:solidFill>
              <w14:schemeClr w14:val="tx1"/>
            </w14:solidFill>
          </w14:textFill>
        </w:rPr>
        <w:t xml:space="preserve">         </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供应商名称（加盖公章）：</w:t>
      </w:r>
      <w:r>
        <w:rPr>
          <w:rFonts w:hint="eastAsia" w:hAnsi="宋体"/>
          <w:bCs/>
          <w:color w:val="000000" w:themeColor="text1"/>
          <w:szCs w:val="24"/>
          <w:highlight w:val="none"/>
          <w:u w:val="single"/>
          <w14:textFill>
            <w14:solidFill>
              <w14:schemeClr w14:val="tx1"/>
            </w14:solidFill>
          </w14:textFill>
        </w:rPr>
        <w:t xml:space="preserve">                                                   </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r>
        <w:rPr>
          <w:rFonts w:hint="eastAsia" w:hAnsi="宋体"/>
          <w:bCs/>
          <w:color w:val="000000" w:themeColor="text1"/>
          <w:szCs w:val="24"/>
          <w:highlight w:val="none"/>
          <w:u w:val="single"/>
          <w14:textFill>
            <w14:solidFill>
              <w14:schemeClr w14:val="tx1"/>
            </w14:solidFill>
          </w14:textFill>
        </w:rPr>
        <w:t xml:space="preserve">                                                              </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r>
        <w:rPr>
          <w:rFonts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u w:val="single"/>
          <w14:textFill>
            <w14:solidFill>
              <w14:schemeClr w14:val="tx1"/>
            </w14:solidFill>
          </w14:textFill>
        </w:rPr>
        <w:t xml:space="preserve">                  </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u w:val="single"/>
          <w14:textFill>
            <w14:solidFill>
              <w14:schemeClr w14:val="tx1"/>
            </w14:solidFill>
          </w14:textFill>
        </w:rPr>
        <w:t xml:space="preserve">                           </w:t>
      </w:r>
      <w:r>
        <w:rPr>
          <w:rFonts w:hAnsi="宋体"/>
          <w:bCs/>
          <w:color w:val="000000" w:themeColor="text1"/>
          <w:szCs w:val="24"/>
          <w:highlight w:val="non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传真：</w:t>
      </w:r>
      <w:r>
        <w:rPr>
          <w:rFonts w:hint="eastAsia" w:hAnsi="宋体"/>
          <w:bCs/>
          <w:color w:val="000000" w:themeColor="text1"/>
          <w:szCs w:val="24"/>
          <w:highlight w:val="none"/>
          <w:u w:val="single"/>
          <w14:textFill>
            <w14:solidFill>
              <w14:schemeClr w14:val="tx1"/>
            </w14:solidFill>
          </w14:textFill>
        </w:rPr>
        <w:t xml:space="preserve">                            </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r>
        <w:rPr>
          <w:rFonts w:hint="eastAsia" w:hAnsi="宋体"/>
          <w:bCs/>
          <w:color w:val="000000" w:themeColor="text1"/>
          <w:szCs w:val="24"/>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年</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月</w:t>
      </w:r>
      <w:r>
        <w:rPr>
          <w:rFonts w:hint="eastAsia" w:hAnsi="宋体"/>
          <w:bCs/>
          <w:color w:val="000000" w:themeColor="text1"/>
          <w:szCs w:val="24"/>
          <w:highlight w:val="none"/>
          <w:u w:val="single"/>
          <w14:textFill>
            <w14:solidFill>
              <w14:schemeClr w14:val="tx1"/>
            </w14:solidFill>
          </w14:textFill>
        </w:rPr>
        <w:t xml:space="preserve">      </w:t>
      </w:r>
      <w:r>
        <w:rPr>
          <w:rFonts w:hint="eastAsia" w:hAnsi="宋体"/>
          <w:bCs/>
          <w:color w:val="000000" w:themeColor="text1"/>
          <w:szCs w:val="24"/>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46" w:name="_Toc29294"/>
      <w:bookmarkStart w:id="147" w:name="_Toc519865432"/>
      <w:bookmarkStart w:id="148"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46"/>
      <w:bookmarkEnd w:id="147"/>
      <w:bookmarkEnd w:id="148"/>
    </w:p>
    <w:tbl>
      <w:tblPr>
        <w:tblStyle w:val="4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833"/>
        <w:gridCol w:w="2420"/>
        <w:gridCol w:w="18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2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82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35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6" w:type="dxa"/>
            <w:vMerge w:val="restart"/>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w:t>
            </w:r>
          </w:p>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格</w:t>
            </w:r>
          </w:p>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w:t>
            </w:r>
          </w:p>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833"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2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82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056"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833"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2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单位负责人为同一人或者存在直接控股、管理关系的不同投标人，不得参加本项目同一合同项下的政府采购活动（提供《谈判邀请函》承诺）</w:t>
            </w:r>
          </w:p>
        </w:tc>
        <w:tc>
          <w:tcPr>
            <w:tcW w:w="182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056"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833"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2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为本采购项目提供整体设计、规范编制或者项目管理、监理、检测等服务的，不得再参加本项目的其他招标采购活动。</w:t>
            </w:r>
            <w:r>
              <w:rPr>
                <w:rFonts w:hint="eastAsia" w:ascii="宋体" w:hAnsi="宋体"/>
                <w:color w:val="000000" w:themeColor="text1"/>
                <w:szCs w:val="21"/>
                <w:highlight w:val="none"/>
                <w:lang w:val="zh-CN"/>
                <w14:textFill>
                  <w14:solidFill>
                    <w14:schemeClr w14:val="tx1"/>
                  </w14:solidFill>
                </w14:textFill>
              </w:rPr>
              <w:t>（提供《谈判邀请函》承诺）</w:t>
            </w:r>
          </w:p>
        </w:tc>
        <w:tc>
          <w:tcPr>
            <w:tcW w:w="182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56"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833"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20"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82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56" w:type="dxa"/>
            <w:vMerge w:val="restart"/>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w:t>
            </w:r>
          </w:p>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w:t>
            </w:r>
          </w:p>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w:t>
            </w:r>
          </w:p>
          <w:p>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833"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2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2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833"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2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2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833" w:type="dxa"/>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2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2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833"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2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2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833" w:type="dxa"/>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2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2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5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833"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2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82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5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   月   日</w:t>
      </w:r>
    </w:p>
    <w:p>
      <w:pPr>
        <w:pStyle w:val="4"/>
        <w:numPr>
          <w:ilvl w:val="0"/>
          <w:numId w:val="0"/>
        </w:numPr>
        <w:jc w:val="center"/>
        <w:rPr>
          <w:color w:val="000000" w:themeColor="text1"/>
          <w:sz w:val="28"/>
          <w:szCs w:val="28"/>
          <w:highlight w:val="none"/>
          <w14:textFill>
            <w14:solidFill>
              <w14:schemeClr w14:val="tx1"/>
            </w14:solidFill>
          </w14:textFill>
        </w:rPr>
      </w:pPr>
      <w:bookmarkStart w:id="149" w:name="_Toc200414515"/>
      <w:bookmarkStart w:id="150" w:name="_Toc29938"/>
      <w:r>
        <w:rPr>
          <w:rFonts w:hint="eastAsia"/>
          <w:color w:val="000000" w:themeColor="text1"/>
          <w:sz w:val="28"/>
          <w:szCs w:val="28"/>
          <w:highlight w:val="none"/>
          <w14:textFill>
            <w14:solidFill>
              <w14:schemeClr w14:val="tx1"/>
            </w14:solidFill>
          </w14:textFill>
        </w:rPr>
        <w:t>（一）无重大违法记录声明函</w:t>
      </w:r>
      <w:bookmarkEnd w:id="149"/>
      <w:bookmarkEnd w:id="150"/>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针对贵方组织的</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2022-2023年阳江市购买机动车驾驶人全科目考场服务项目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供应商法定代表人或授权代理人（签字）：</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numPr>
          <w:ilvl w:val="0"/>
          <w:numId w:val="0"/>
        </w:numPr>
        <w:jc w:val="center"/>
        <w:rPr>
          <w:color w:val="000000" w:themeColor="text1"/>
          <w:kern w:val="0"/>
          <w:sz w:val="28"/>
          <w:szCs w:val="28"/>
          <w:highlight w:val="none"/>
          <w14:textFill>
            <w14:solidFill>
              <w14:schemeClr w14:val="tx1"/>
            </w14:solidFill>
          </w14:textFill>
        </w:rPr>
      </w:pPr>
      <w:bookmarkStart w:id="151" w:name="_Toc200414516"/>
      <w:bookmarkStart w:id="152" w:name="_Toc27260"/>
      <w:r>
        <w:rPr>
          <w:rFonts w:hint="eastAsia"/>
          <w:color w:val="000000" w:themeColor="text1"/>
          <w:kern w:val="0"/>
          <w:sz w:val="28"/>
          <w:szCs w:val="28"/>
          <w:highlight w:val="none"/>
          <w14:textFill>
            <w14:solidFill>
              <w14:schemeClr w14:val="tx1"/>
            </w14:solidFill>
          </w14:textFill>
        </w:rPr>
        <w:t>（二）法定代表人证明书</w:t>
      </w:r>
      <w:bookmarkEnd w:id="151"/>
      <w:bookmarkEnd w:id="152"/>
    </w:p>
    <w:p>
      <w:pPr>
        <w:pStyle w:val="2"/>
        <w:rPr>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，为法定代表人，特此证明。</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14:textFill>
            <w14:solidFill>
              <w14:schemeClr w14:val="tx1"/>
            </w14:solidFill>
          </w14:textFill>
        </w:rPr>
        <w:t xml:space="preserve">    </w:t>
      </w: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jc w:val="center"/>
        <w:rPr>
          <w:color w:val="000000" w:themeColor="text1"/>
          <w:sz w:val="28"/>
          <w:szCs w:val="28"/>
          <w:highlight w:val="none"/>
          <w14:textFill>
            <w14:solidFill>
              <w14:schemeClr w14:val="tx1"/>
            </w14:solidFill>
          </w14:textFill>
        </w:rPr>
      </w:pPr>
      <w:bookmarkStart w:id="153" w:name="_Toc200414517"/>
      <w:bookmarkStart w:id="154" w:name="_Toc16588"/>
      <w:r>
        <w:rPr>
          <w:rFonts w:hint="eastAsia"/>
          <w:color w:val="000000" w:themeColor="text1"/>
          <w:sz w:val="28"/>
          <w:szCs w:val="28"/>
          <w:highlight w:val="none"/>
          <w14:textFill>
            <w14:solidFill>
              <w14:schemeClr w14:val="tx1"/>
            </w14:solidFill>
          </w14:textFill>
        </w:rPr>
        <w:t>（三）法定代表人授权书</w:t>
      </w:r>
      <w:bookmarkEnd w:id="153"/>
      <w:bookmarkEnd w:id="154"/>
    </w:p>
    <w:p>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谈判项目（项目编号: </w:t>
      </w:r>
      <w:r>
        <w:rPr>
          <w:rFonts w:hint="eastAsia" w:ascii="宋体" w:hAnsi="宋体" w:cs="宋体"/>
          <w:b/>
          <w:color w:val="000000" w:themeColor="text1"/>
          <w:szCs w:val="21"/>
          <w:highlight w:val="none"/>
          <w:u w:val="single"/>
          <w:lang w:eastAsia="zh-CN"/>
          <w14:textFill>
            <w14:solidFill>
              <w14:schemeClr w14:val="tx1"/>
            </w14:solidFill>
          </w14:textFill>
        </w:rPr>
        <w:t>YXCG-20211216</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szCs w:val="21"/>
          <w:highlight w:val="none"/>
          <w14:textFill>
            <w14:solidFill>
              <w14:schemeClr w14:val="tx1"/>
            </w14:solidFill>
          </w14:textFill>
        </w:rPr>
      </w:pPr>
    </w:p>
    <w:p>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亲自递交谈判响应文件和参加谈判的，不须提供该委托书，但需提供法定代表人证明书及法定代表人的身份证复印件。）</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rPr>
          <w:rFonts w:ascii="宋体" w:hAnsi="宋体"/>
          <w:color w:val="000000" w:themeColor="text1"/>
          <w:szCs w:val="21"/>
          <w:highlight w:val="none"/>
          <w:u w:val="single"/>
          <w14:textFill>
            <w14:solidFill>
              <w14:schemeClr w14:val="tx1"/>
            </w14:solidFill>
          </w14:textFill>
        </w:rPr>
      </w:pPr>
    </w:p>
    <w:p>
      <w:pPr>
        <w:pStyle w:val="4"/>
        <w:numPr>
          <w:ilvl w:val="0"/>
          <w:numId w:val="0"/>
        </w:numPr>
        <w:jc w:val="center"/>
        <w:rPr>
          <w:color w:val="000000" w:themeColor="text1"/>
          <w:sz w:val="28"/>
          <w:szCs w:val="28"/>
          <w:highlight w:val="none"/>
          <w14:textFill>
            <w14:solidFill>
              <w14:schemeClr w14:val="tx1"/>
            </w14:solidFill>
          </w14:textFill>
        </w:rPr>
      </w:pPr>
      <w:bookmarkStart w:id="155" w:name="_Toc200414519"/>
      <w:bookmarkStart w:id="156" w:name="_Toc20097"/>
      <w:r>
        <w:rPr>
          <w:rFonts w:hint="eastAsia"/>
          <w:color w:val="000000" w:themeColor="text1"/>
          <w:sz w:val="28"/>
          <w:szCs w:val="28"/>
          <w:highlight w:val="none"/>
          <w14:textFill>
            <w14:solidFill>
              <w14:schemeClr w14:val="tx1"/>
            </w14:solidFill>
          </w14:textFill>
        </w:rPr>
        <w:t>（四）</w:t>
      </w:r>
      <w:bookmarkEnd w:id="155"/>
      <w:bookmarkStart w:id="157" w:name="_Toc200414522"/>
      <w:r>
        <w:rPr>
          <w:rFonts w:hint="eastAsia"/>
          <w:color w:val="000000" w:themeColor="text1"/>
          <w:sz w:val="28"/>
          <w:szCs w:val="28"/>
          <w:highlight w:val="none"/>
          <w14:textFill>
            <w14:solidFill>
              <w14:schemeClr w14:val="tx1"/>
            </w14:solidFill>
          </w14:textFill>
        </w:rPr>
        <w:t>财务报表、缴税证明、社会保险登记证明</w:t>
      </w:r>
      <w:bookmarkEnd w:id="156"/>
      <w:bookmarkEnd w:id="157"/>
    </w:p>
    <w:p>
      <w:pPr>
        <w:tabs>
          <w:tab w:val="center" w:pos="4483"/>
        </w:tabs>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项目编号: </w:t>
      </w:r>
      <w:r>
        <w:rPr>
          <w:rFonts w:hint="eastAsia" w:ascii="宋体" w:hAnsi="宋体"/>
          <w:b/>
          <w:color w:val="000000" w:themeColor="text1"/>
          <w:kern w:val="0"/>
          <w:szCs w:val="21"/>
          <w:highlight w:val="none"/>
          <w:u w:val="single"/>
          <w:lang w:eastAsia="zh-CN"/>
          <w14:textFill>
            <w14:solidFill>
              <w14:schemeClr w14:val="tx1"/>
            </w14:solidFill>
          </w14:textFill>
        </w:rPr>
        <w:t>YXCG-20211216</w:t>
      </w:r>
    </w:p>
    <w:p>
      <w:pPr>
        <w:tabs>
          <w:tab w:val="center" w:pos="4483"/>
        </w:tabs>
        <w:rPr>
          <w:rFonts w:hint="eastAsia" w:ascii="宋体" w:hAnsi="宋体" w:eastAsia="宋体"/>
          <w:b/>
          <w:color w:val="000000" w:themeColor="text1"/>
          <w:kern w:val="0"/>
          <w:szCs w:val="21"/>
          <w:highlight w:val="none"/>
          <w:u w:val="singl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项目名称：</w:t>
      </w:r>
      <w:r>
        <w:rPr>
          <w:rFonts w:hint="eastAsia" w:ascii="宋体" w:hAnsi="宋体"/>
          <w:b/>
          <w:color w:val="000000" w:themeColor="text1"/>
          <w:kern w:val="0"/>
          <w:szCs w:val="21"/>
          <w:highlight w:val="none"/>
          <w:u w:val="single"/>
          <w:lang w:eastAsia="zh-CN"/>
          <w14:textFill>
            <w14:solidFill>
              <w14:schemeClr w14:val="tx1"/>
            </w14:solidFill>
          </w14:textFill>
        </w:rPr>
        <w:t>2022-2023年阳江市购买机动车驾驶人全科目考场服务项目</w:t>
      </w:r>
    </w:p>
    <w:p>
      <w:pPr>
        <w:tabs>
          <w:tab w:val="center" w:pos="4483"/>
        </w:tabs>
        <w:rPr>
          <w:rFonts w:ascii="宋体" w:hAnsi="宋体"/>
          <w:b/>
          <w:bCs/>
          <w:color w:val="000000" w:themeColor="text1"/>
          <w:highlight w:val="none"/>
          <w:u w:val="single"/>
          <w14:textFill>
            <w14:solidFill>
              <w14:schemeClr w14:val="tx1"/>
            </w14:solidFill>
          </w14:textFill>
        </w:rPr>
      </w:pPr>
    </w:p>
    <w:p>
      <w:pPr>
        <w:tabs>
          <w:tab w:val="center" w:pos="4483"/>
        </w:tabs>
        <w:rPr>
          <w:rFonts w:ascii="宋体" w:hAnsi="宋体"/>
          <w:b/>
          <w:bCs/>
          <w:color w:val="000000" w:themeColor="text1"/>
          <w:highlight w:val="none"/>
          <w:u w:val="single"/>
          <w14:textFill>
            <w14:solidFill>
              <w14:schemeClr w14:val="tx1"/>
            </w14:solidFill>
          </w14:textFill>
        </w:rPr>
      </w:pPr>
    </w:p>
    <w:p>
      <w:pPr>
        <w:tabs>
          <w:tab w:val="center" w:pos="4483"/>
        </w:tabs>
        <w:rPr>
          <w:rFonts w:ascii="宋体" w:hAnsi="宋体"/>
          <w:color w:val="000000" w:themeColor="text1"/>
          <w:kern w:val="0"/>
          <w:szCs w:val="21"/>
          <w:highlight w:val="none"/>
          <w14:textFill>
            <w14:solidFill>
              <w14:schemeClr w14:val="tx1"/>
            </w14:solidFill>
          </w14:textFill>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提供财务报表复印件加盖公章、缴税证明复印件加盖公章、社会保险登记证明复印件加盖公章</w:t>
      </w:r>
    </w:p>
    <w:p>
      <w:pPr>
        <w:pStyle w:val="4"/>
        <w:numPr>
          <w:ilvl w:val="0"/>
          <w:numId w:val="0"/>
        </w:numPr>
        <w:jc w:val="center"/>
        <w:rPr>
          <w:color w:val="000000" w:themeColor="text1"/>
          <w:sz w:val="28"/>
          <w:szCs w:val="28"/>
          <w:highlight w:val="none"/>
          <w14:textFill>
            <w14:solidFill>
              <w14:schemeClr w14:val="tx1"/>
            </w14:solidFill>
          </w14:textFill>
        </w:rPr>
      </w:pPr>
      <w:bookmarkStart w:id="158" w:name="_Toc200414523"/>
      <w:bookmarkStart w:id="159" w:name="_Toc4901"/>
      <w:r>
        <w:rPr>
          <w:rFonts w:hint="eastAsia"/>
          <w:color w:val="000000" w:themeColor="text1"/>
          <w:sz w:val="28"/>
          <w:szCs w:val="28"/>
          <w:highlight w:val="none"/>
          <w14:textFill>
            <w14:solidFill>
              <w14:schemeClr w14:val="tx1"/>
            </w14:solidFill>
          </w14:textFill>
        </w:rPr>
        <w:t>（五） 资格审查文件要求提交的其它有效证明文件</w:t>
      </w:r>
      <w:bookmarkEnd w:id="158"/>
      <w:bookmarkEnd w:id="159"/>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2、财务报表复印件加盖公章；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4、无重大违法记录声明函；</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法定代表人证明书；</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6、法定代表人授权书；</w:t>
      </w:r>
    </w:p>
    <w:p>
      <w:pPr>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spacing w:line="440" w:lineRule="exact"/>
        <w:ind w:firstLine="420"/>
        <w:rPr>
          <w:rFonts w:ascii="宋体" w:hAnsi="宋体"/>
          <w:color w:val="000000" w:themeColor="text1"/>
          <w:szCs w:val="21"/>
          <w:highlight w:val="none"/>
          <w14:textFill>
            <w14:solidFill>
              <w14:schemeClr w14:val="tx1"/>
            </w14:solidFill>
          </w14:textFill>
        </w:rPr>
      </w:pPr>
    </w:p>
    <w:p>
      <w:pPr>
        <w:pStyle w:val="4"/>
        <w:numPr>
          <w:ilvl w:val="0"/>
          <w:numId w:val="0"/>
        </w:numPr>
        <w:spacing w:line="276" w:lineRule="auto"/>
        <w:ind w:firstLine="2249" w:firstLineChars="800"/>
        <w:rPr>
          <w:color w:val="000000" w:themeColor="text1"/>
          <w:sz w:val="28"/>
          <w:szCs w:val="28"/>
          <w:highlight w:val="none"/>
          <w14:textFill>
            <w14:solidFill>
              <w14:schemeClr w14:val="tx1"/>
            </w14:solidFill>
          </w14:textFill>
        </w:rPr>
      </w:pPr>
      <w:bookmarkStart w:id="160" w:name="_Toc23775"/>
      <w:bookmarkStart w:id="161" w:name="_Toc200414524"/>
      <w:r>
        <w:rPr>
          <w:rFonts w:hint="eastAsia"/>
          <w:color w:val="000000" w:themeColor="text1"/>
          <w:sz w:val="28"/>
          <w:szCs w:val="28"/>
          <w:highlight w:val="none"/>
          <w14:textFill>
            <w14:solidFill>
              <w14:schemeClr w14:val="tx1"/>
            </w14:solidFill>
          </w14:textFill>
        </w:rPr>
        <w:t>第二章  谈判响应文件商务及技术部分</w:t>
      </w:r>
      <w:bookmarkEnd w:id="160"/>
      <w:bookmarkEnd w:id="161"/>
    </w:p>
    <w:p>
      <w:pPr>
        <w:pStyle w:val="4"/>
        <w:numPr>
          <w:ilvl w:val="0"/>
          <w:numId w:val="0"/>
        </w:numPr>
        <w:spacing w:line="276" w:lineRule="auto"/>
        <w:ind w:firstLine="3373" w:firstLineChars="1200"/>
        <w:rPr>
          <w:color w:val="000000" w:themeColor="text1"/>
          <w:sz w:val="28"/>
          <w:szCs w:val="28"/>
          <w:highlight w:val="none"/>
          <w14:textFill>
            <w14:solidFill>
              <w14:schemeClr w14:val="tx1"/>
            </w14:solidFill>
          </w14:textFill>
        </w:rPr>
      </w:pPr>
      <w:bookmarkStart w:id="162" w:name="_Toc200414525"/>
      <w:bookmarkStart w:id="163" w:name="_Toc21999"/>
      <w:r>
        <w:rPr>
          <w:rFonts w:hint="eastAsia"/>
          <w:color w:val="000000" w:themeColor="text1"/>
          <w:sz w:val="28"/>
          <w:szCs w:val="28"/>
          <w:highlight w:val="none"/>
          <w14:textFill>
            <w14:solidFill>
              <w14:schemeClr w14:val="tx1"/>
            </w14:solidFill>
          </w14:textFill>
        </w:rPr>
        <w:t>附件一：谈判邀请函</w:t>
      </w:r>
      <w:bookmarkEnd w:id="162"/>
      <w:bookmarkEnd w:id="163"/>
    </w:p>
    <w:p>
      <w:pPr>
        <w:widowControl/>
        <w:spacing w:line="400" w:lineRule="exact"/>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exact"/>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ascii="宋体" w:hAnsi="宋体"/>
          <w:bCs/>
          <w:color w:val="000000" w:themeColor="text1"/>
          <w:szCs w:val="21"/>
          <w:highlight w:val="none"/>
          <w14:textFill>
            <w14:solidFill>
              <w14:schemeClr w14:val="tx1"/>
            </w14:solidFill>
          </w14:textFill>
        </w:rPr>
        <w:t>），我方正式响应谈判文件内容并提交下述文件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和电子文件</w:t>
      </w:r>
      <w:r>
        <w:rPr>
          <w:rFonts w:hint="eastAsia" w:ascii="宋体" w:hAnsi="宋体"/>
          <w:b/>
          <w:bCs/>
          <w:color w:val="000000" w:themeColor="text1"/>
          <w:szCs w:val="21"/>
          <w:highlight w:val="none"/>
          <w:u w:val="single"/>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份</w:t>
      </w:r>
      <w:r>
        <w:rPr>
          <w:rFonts w:hint="eastAsia" w:ascii="宋体" w:hAnsi="宋体"/>
          <w:bCs/>
          <w:color w:val="000000" w:themeColor="text1"/>
          <w:szCs w:val="21"/>
          <w:highlight w:val="none"/>
          <w14:textFill>
            <w14:solidFill>
              <w14:schemeClr w14:val="tx1"/>
            </w14:solidFill>
          </w14:textFill>
        </w:rPr>
        <w:t>：</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谈判邀请函；</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承诺书；</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3、报价一览表；</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4、谈判分项报价表；</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5、商务条款偏离一览表；</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6、技术条款偏离一览表；</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7、项目实施方案；</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8、同类业绩一览表； </w:t>
      </w:r>
    </w:p>
    <w:p>
      <w:pPr>
        <w:widowControl/>
        <w:adjustRightInd w:val="0"/>
        <w:snapToGrid w:val="0"/>
        <w:spacing w:line="360" w:lineRule="exact"/>
        <w:ind w:left="630" w:left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9、谈判供应商提交的其他资料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形式提交的谈判保证金，金额为大写</w:t>
      </w:r>
      <w:r>
        <w:rPr>
          <w:rFonts w:hint="eastAsia" w:ascii="宋体"/>
          <w:color w:val="000000" w:themeColor="text1"/>
          <w:szCs w:val="21"/>
          <w:highlight w:val="none"/>
          <w14:textFill>
            <w14:solidFill>
              <w14:schemeClr w14:val="tx1"/>
            </w14:solidFill>
          </w14:textFill>
        </w:rPr>
        <w:t>人民币</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exact"/>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所附投标价格表中规定的应提交的</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单位负责人为同一人或者存在直接控股、管理关系的不同投标人，不得参加本项目同一合同项下的政府采购活动。</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为本采购项目提供整体设计、规范编制或者项目管理、监理、检测等服务的，不得再参加本项目的其他招标采购活动。</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2"/>
        <w:spacing w:line="36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4"/>
        <w:numPr>
          <w:ilvl w:val="0"/>
          <w:numId w:val="0"/>
        </w:numPr>
        <w:jc w:val="center"/>
        <w:rPr>
          <w:color w:val="000000" w:themeColor="text1"/>
          <w:sz w:val="28"/>
          <w:szCs w:val="28"/>
          <w:highlight w:val="none"/>
          <w14:textFill>
            <w14:solidFill>
              <w14:schemeClr w14:val="tx1"/>
            </w14:solidFill>
          </w14:textFill>
        </w:rPr>
      </w:pPr>
      <w:bookmarkStart w:id="164" w:name="_Toc342312465"/>
      <w:bookmarkStart w:id="165" w:name="_Toc340672891"/>
      <w:bookmarkStart w:id="166" w:name="_Toc350756472"/>
      <w:bookmarkStart w:id="167" w:name="_Toc339362322"/>
      <w:bookmarkStart w:id="168" w:name="_Toc332270369"/>
      <w:bookmarkStart w:id="169" w:name="_Toc337632380"/>
      <w:bookmarkStart w:id="170" w:name="_Toc339441109"/>
      <w:bookmarkStart w:id="171" w:name="_Toc343247122"/>
      <w:bookmarkStart w:id="172" w:name="_Toc366072551"/>
      <w:bookmarkStart w:id="173" w:name="_Toc339020037"/>
      <w:bookmarkStart w:id="174" w:name="_Toc331684064"/>
      <w:bookmarkStart w:id="175" w:name="_Toc331512923"/>
      <w:bookmarkStart w:id="176" w:name="_Toc342398152"/>
      <w:bookmarkStart w:id="177" w:name="_Toc336681957"/>
      <w:bookmarkStart w:id="178" w:name="_Toc333238656"/>
      <w:bookmarkStart w:id="179" w:name="_Toc339020117"/>
      <w:bookmarkStart w:id="180" w:name="_Toc340507464"/>
      <w:bookmarkStart w:id="181" w:name="_Toc343248440"/>
      <w:bookmarkStart w:id="182" w:name="_Toc339019911"/>
      <w:bookmarkStart w:id="183" w:name="_Toc333237811"/>
      <w:bookmarkStart w:id="184" w:name="_Toc340677092"/>
      <w:bookmarkStart w:id="185" w:name="_Toc333935709"/>
      <w:bookmarkStart w:id="186" w:name="_Toc350438771"/>
      <w:bookmarkStart w:id="187" w:name="_Toc333935368"/>
      <w:bookmarkStart w:id="188" w:name="_Toc343612942"/>
      <w:bookmarkStart w:id="189" w:name="_Toc342060397"/>
      <w:bookmarkStart w:id="190" w:name="_Toc336681602"/>
      <w:bookmarkStart w:id="191" w:name="_Toc330460008"/>
      <w:bookmarkStart w:id="192" w:name="_Toc339020255"/>
      <w:bookmarkStart w:id="193" w:name="_Toc365985200"/>
      <w:bookmarkStart w:id="194" w:name="_Toc365967094"/>
      <w:bookmarkStart w:id="195" w:name="_Toc342296783"/>
      <w:bookmarkStart w:id="196" w:name="_Toc78816017"/>
      <w:bookmarkStart w:id="197" w:name="_Toc341348362"/>
      <w:bookmarkStart w:id="198" w:name="_Toc332206731"/>
      <w:bookmarkStart w:id="199" w:name="_Toc333237700"/>
      <w:bookmarkStart w:id="200" w:name="_Toc345312619"/>
      <w:bookmarkStart w:id="201" w:name="_Toc427330699"/>
      <w:bookmarkStart w:id="202" w:name="_Toc20593"/>
      <w:bookmarkStart w:id="203" w:name="_Toc438589238"/>
      <w:r>
        <w:rPr>
          <w:rFonts w:hint="eastAsia"/>
          <w:color w:val="000000" w:themeColor="text1"/>
          <w:sz w:val="28"/>
          <w:szCs w:val="28"/>
          <w:highlight w:val="none"/>
          <w14:textFill>
            <w14:solidFill>
              <w14:schemeClr w14:val="tx1"/>
            </w14:solidFill>
          </w14:textFill>
        </w:rPr>
        <w:t>附件二：</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color w:val="000000" w:themeColor="text1"/>
          <w:sz w:val="28"/>
          <w:szCs w:val="28"/>
          <w:highlight w:val="none"/>
          <w14:textFill>
            <w14:solidFill>
              <w14:schemeClr w14:val="tx1"/>
            </w14:solidFill>
          </w14:textFill>
        </w:rPr>
        <w:t>承诺书</w:t>
      </w:r>
      <w:bookmarkEnd w:id="201"/>
      <w:bookmarkEnd w:id="202"/>
      <w:bookmarkEnd w:id="203"/>
    </w:p>
    <w:p>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w:t>
      </w:r>
    </w:p>
    <w:p>
      <w:pPr>
        <w:spacing w:line="500" w:lineRule="exact"/>
        <w:ind w:firstLine="420" w:firstLineChars="200"/>
        <w:rPr>
          <w:rFonts w:ascii="宋体" w:hAnsi="宋体"/>
          <w:color w:val="000000" w:themeColor="text1"/>
          <w:szCs w:val="21"/>
          <w:highlight w:val="none"/>
          <w14:textFill>
            <w14:solidFill>
              <w14:schemeClr w14:val="tx1"/>
            </w14:solidFill>
          </w14:textFill>
        </w:rPr>
      </w:pPr>
    </w:p>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为满足</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(项目编号:             )</w:t>
      </w:r>
      <w:r>
        <w:rPr>
          <w:rFonts w:hint="eastAsia" w:ascii="宋体" w:hAnsi="宋体"/>
          <w:color w:val="000000" w:themeColor="text1"/>
          <w:szCs w:val="21"/>
          <w:highlight w:val="none"/>
          <w14:textFill>
            <w14:solidFill>
              <w14:schemeClr w14:val="tx1"/>
            </w14:solidFill>
          </w14:textFill>
        </w:rPr>
        <w:t>的要求，我方</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（供应商全称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在此承诺所提供的投标材料均为真实的，否则，愿意承担相应的法律责任和赔偿经济损失。</w:t>
      </w:r>
    </w:p>
    <w:p>
      <w:pPr>
        <w:spacing w:line="440" w:lineRule="exact"/>
        <w:ind w:firstLine="420" w:firstLineChars="200"/>
        <w:rPr>
          <w:rFonts w:ascii="宋体" w:hAnsi="宋体"/>
          <w:color w:val="000000" w:themeColor="text1"/>
          <w:szCs w:val="2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4"/>
        <w:numPr>
          <w:ilvl w:val="0"/>
          <w:numId w:val="0"/>
        </w:numPr>
        <w:jc w:val="center"/>
        <w:rPr>
          <w:color w:val="000000" w:themeColor="text1"/>
          <w:sz w:val="28"/>
          <w:szCs w:val="28"/>
          <w:highlight w:val="none"/>
          <w14:textFill>
            <w14:solidFill>
              <w14:schemeClr w14:val="tx1"/>
            </w14:solidFill>
          </w14:textFill>
        </w:rPr>
      </w:pPr>
      <w:bookmarkStart w:id="204" w:name="_Toc200414526"/>
      <w:bookmarkStart w:id="205" w:name="_Toc13958"/>
      <w:r>
        <w:rPr>
          <w:rFonts w:hint="eastAsia"/>
          <w:color w:val="000000" w:themeColor="text1"/>
          <w:sz w:val="28"/>
          <w:szCs w:val="28"/>
          <w:highlight w:val="none"/>
          <w14:textFill>
            <w14:solidFill>
              <w14:schemeClr w14:val="tx1"/>
            </w14:solidFill>
          </w14:textFill>
        </w:rPr>
        <w:t>附件三：报价一览表</w:t>
      </w:r>
      <w:bookmarkEnd w:id="204"/>
      <w:bookmarkEnd w:id="205"/>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2022-2023年阳江市购买机动车驾驶人全科目考场服务项目</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rPr>
          <w:rFonts w:ascii="宋体" w:hAnsi="宋体"/>
          <w:bCs/>
          <w:color w:val="000000" w:themeColor="text1"/>
          <w:szCs w:val="21"/>
          <w:highlight w:val="none"/>
          <w:u w:val="single"/>
          <w14:textFill>
            <w14:solidFill>
              <w14:schemeClr w14:val="tx1"/>
            </w14:solidFill>
          </w14:textFill>
        </w:rPr>
      </w:pPr>
    </w:p>
    <w:tbl>
      <w:tblPr>
        <w:tblStyle w:val="43"/>
        <w:tblpPr w:leftFromText="180" w:rightFromText="180" w:vertAnchor="text" w:tblpY="1"/>
        <w:tblOverlap w:val="never"/>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942" w:type="dxa"/>
            <w:vAlign w:val="center"/>
          </w:tcPr>
          <w:p>
            <w:pPr>
              <w:spacing w:line="46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46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460" w:lineRule="exact"/>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pPr>
              <w:spacing w:line="46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1942" w:type="dxa"/>
            <w:vAlign w:val="center"/>
          </w:tcPr>
          <w:p>
            <w:pPr>
              <w:spacing w:line="460" w:lineRule="exact"/>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4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460" w:lineRule="exact"/>
              <w:rPr>
                <w:rFonts w:ascii="宋体" w:hAnsi="宋体"/>
                <w:bCs/>
                <w:color w:val="000000" w:themeColor="text1"/>
                <w:highlight w:val="none"/>
                <w14:textFill>
                  <w14:solidFill>
                    <w14:schemeClr w14:val="tx1"/>
                  </w14:solidFill>
                </w14:textFill>
              </w:rPr>
            </w:pPr>
          </w:p>
          <w:p>
            <w:pPr>
              <w:spacing w:line="4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460" w:lineRule="exact"/>
              <w:rPr>
                <w:rFonts w:ascii="宋体" w:hAnsi="宋体"/>
                <w:bCs/>
                <w:color w:val="000000" w:themeColor="text1"/>
                <w:highlight w:val="none"/>
                <w14:textFill>
                  <w14:solidFill>
                    <w14:schemeClr w14:val="tx1"/>
                  </w14:solidFill>
                </w14:textFill>
              </w:rPr>
            </w:pPr>
          </w:p>
        </w:tc>
        <w:tc>
          <w:tcPr>
            <w:tcW w:w="1501" w:type="dxa"/>
            <w:vAlign w:val="center"/>
          </w:tcPr>
          <w:p>
            <w:pPr>
              <w:spacing w:line="460" w:lineRule="exact"/>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rPr>
                <w:rFonts w:ascii="宋体" w:hAnsi="宋体"/>
                <w:bCs/>
                <w:color w:val="000000" w:themeColor="text1"/>
                <w:szCs w:val="21"/>
                <w:highlight w:val="none"/>
                <w14:textFill>
                  <w14:solidFill>
                    <w14:schemeClr w14:val="tx1"/>
                  </w14:solidFill>
                </w14:textFill>
              </w:rPr>
            </w:pPr>
          </w:p>
        </w:tc>
      </w:tr>
    </w:tbl>
    <w:p>
      <w:pPr>
        <w:spacing w:line="460" w:lineRule="exact"/>
        <w:rPr>
          <w:rFonts w:ascii="宋体" w:hAnsi="宋体"/>
          <w:bCs/>
          <w:color w:val="000000" w:themeColor="text1"/>
          <w:highlight w:val="none"/>
          <w:u w:val="single"/>
          <w14:textFill>
            <w14:solidFill>
              <w14:schemeClr w14:val="tx1"/>
            </w14:solidFill>
          </w14:textFill>
        </w:rPr>
      </w:pPr>
    </w:p>
    <w:p>
      <w:pPr>
        <w:spacing w:line="4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5"/>
        </w:numPr>
        <w:tabs>
          <w:tab w:val="left" w:pos="845"/>
        </w:tabs>
        <w:spacing w:line="46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5"/>
        </w:numPr>
        <w:tabs>
          <w:tab w:val="left" w:pos="845"/>
        </w:tabs>
        <w:spacing w:line="46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所投项目的内容必须填写完整。</w:t>
      </w:r>
    </w:p>
    <w:p>
      <w:pPr>
        <w:numPr>
          <w:ilvl w:val="0"/>
          <w:numId w:val="15"/>
        </w:numPr>
        <w:tabs>
          <w:tab w:val="left" w:pos="845"/>
        </w:tabs>
        <w:spacing w:line="460" w:lineRule="exact"/>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46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460" w:lineRule="exact"/>
        <w:rPr>
          <w:rFonts w:ascii="宋体" w:hAnsi="宋体"/>
          <w:bCs/>
          <w:color w:val="000000" w:themeColor="text1"/>
          <w:highlight w:val="none"/>
          <w:u w:val="singl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pPr>
    </w:p>
    <w:p>
      <w:pPr>
        <w:pStyle w:val="22"/>
        <w:spacing w:line="400" w:lineRule="exact"/>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0"/>
          <w:numId w:val="0"/>
        </w:numPr>
        <w:spacing w:line="240" w:lineRule="auto"/>
        <w:jc w:val="center"/>
        <w:rPr>
          <w:color w:val="000000" w:themeColor="text1"/>
          <w:sz w:val="28"/>
          <w:szCs w:val="28"/>
          <w:highlight w:val="none"/>
          <w14:textFill>
            <w14:solidFill>
              <w14:schemeClr w14:val="tx1"/>
            </w14:solidFill>
          </w14:textFill>
        </w:rPr>
      </w:pPr>
      <w:bookmarkStart w:id="206" w:name="_Toc200414527"/>
      <w:bookmarkStart w:id="207" w:name="_Toc12137"/>
      <w:r>
        <w:rPr>
          <w:rFonts w:hint="eastAsia"/>
          <w:color w:val="000000" w:themeColor="text1"/>
          <w:sz w:val="28"/>
          <w:szCs w:val="28"/>
          <w:highlight w:val="none"/>
          <w14:textFill>
            <w14:solidFill>
              <w14:schemeClr w14:val="tx1"/>
            </w14:solidFill>
          </w14:textFill>
        </w:rPr>
        <w:t>附件四：谈判分项报价</w:t>
      </w:r>
      <w:r>
        <w:rPr>
          <w:color w:val="000000" w:themeColor="text1"/>
          <w:sz w:val="28"/>
          <w:szCs w:val="28"/>
          <w:highlight w:val="none"/>
          <w14:textFill>
            <w14:solidFill>
              <w14:schemeClr w14:val="tx1"/>
            </w14:solidFill>
          </w14:textFill>
        </w:rPr>
        <w:t>表</w:t>
      </w:r>
      <w:bookmarkEnd w:id="206"/>
      <w:bookmarkEnd w:id="207"/>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7560" w:hanging="7560" w:hangingChars="3600"/>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2022-2023年阳江市购买机动车驾驶人全科目考场服务项目</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43"/>
        <w:tblpPr w:leftFromText="180" w:rightFromText="180" w:vertAnchor="text" w:tblpY="1"/>
        <w:tblOverlap w:val="never"/>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内容</w:t>
            </w: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1287"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项目内容</w:t>
            </w: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时间</w:t>
            </w: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单价</w:t>
            </w: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总价</w:t>
            </w: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szCs w:val="2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保险费</w:t>
            </w:r>
          </w:p>
        </w:tc>
        <w:tc>
          <w:tcPr>
            <w:tcW w:w="6412" w:type="dxa"/>
            <w:gridSpan w:val="6"/>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税金</w:t>
            </w:r>
          </w:p>
        </w:tc>
        <w:tc>
          <w:tcPr>
            <w:tcW w:w="6412" w:type="dxa"/>
            <w:gridSpan w:val="6"/>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技术服务费</w:t>
            </w:r>
          </w:p>
        </w:tc>
        <w:tc>
          <w:tcPr>
            <w:tcW w:w="6412" w:type="dxa"/>
            <w:gridSpan w:val="6"/>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培训费</w:t>
            </w:r>
          </w:p>
        </w:tc>
        <w:tc>
          <w:tcPr>
            <w:tcW w:w="6412" w:type="dxa"/>
            <w:gridSpan w:val="6"/>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质量保证期内的服务费用</w:t>
            </w:r>
          </w:p>
        </w:tc>
        <w:tc>
          <w:tcPr>
            <w:tcW w:w="6412" w:type="dxa"/>
            <w:gridSpan w:val="6"/>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w:t>
            </w:r>
          </w:p>
        </w:tc>
        <w:tc>
          <w:tcPr>
            <w:tcW w:w="1842"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其他费用</w:t>
            </w:r>
          </w:p>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2"/>
              <w:snapToGrid w:val="0"/>
              <w:ind w:firstLine="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w:t>
            </w:r>
          </w:p>
        </w:tc>
        <w:tc>
          <w:tcPr>
            <w:tcW w:w="1842" w:type="dxa"/>
            <w:vAlign w:val="center"/>
          </w:tcPr>
          <w:p>
            <w:pPr>
              <w:pStyle w:val="2"/>
              <w:snapToGrid w:val="0"/>
              <w:ind w:firstLine="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报价总价</w:t>
            </w:r>
          </w:p>
        </w:tc>
        <w:tc>
          <w:tcPr>
            <w:tcW w:w="3208" w:type="dxa"/>
            <w:gridSpan w:val="3"/>
            <w:vAlign w:val="center"/>
          </w:tcPr>
          <w:p>
            <w:pPr>
              <w:pStyle w:val="2"/>
              <w:snapToGrid w:val="0"/>
              <w:ind w:firstLine="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（大写）人民币</w:t>
            </w:r>
          </w:p>
        </w:tc>
        <w:tc>
          <w:tcPr>
            <w:tcW w:w="3204" w:type="dxa"/>
            <w:gridSpan w:val="3"/>
            <w:vAlign w:val="center"/>
          </w:tcPr>
          <w:p>
            <w:pPr>
              <w:pStyle w:val="2"/>
              <w:snapToGrid w:val="0"/>
              <w:ind w:firstLine="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2"/>
              <w:snapToGrid w:val="0"/>
              <w:ind w:firstLine="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12</w:t>
            </w:r>
          </w:p>
        </w:tc>
        <w:tc>
          <w:tcPr>
            <w:tcW w:w="1842" w:type="dxa"/>
            <w:vAlign w:val="center"/>
          </w:tcPr>
          <w:p>
            <w:pPr>
              <w:pStyle w:val="2"/>
              <w:snapToGrid w:val="0"/>
              <w:ind w:firstLine="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备注</w:t>
            </w:r>
          </w:p>
        </w:tc>
        <w:tc>
          <w:tcPr>
            <w:tcW w:w="6412" w:type="dxa"/>
            <w:gridSpan w:val="6"/>
            <w:vAlign w:val="center"/>
          </w:tcPr>
          <w:p>
            <w:pPr>
              <w:pStyle w:val="2"/>
              <w:snapToGrid w:val="0"/>
              <w:ind w:firstLine="0"/>
              <w:jc w:val="center"/>
              <w:rPr>
                <w:bCs/>
                <w:color w:val="000000" w:themeColor="text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注：1、如本表格式内容不能满足需要，供应商可自行划表填写，但必须体现以上内容。</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sz w:val="28"/>
          <w:szCs w:val="28"/>
          <w:highlight w:val="none"/>
          <w14:textFill>
            <w14:solidFill>
              <w14:schemeClr w14:val="tx1"/>
            </w14:solidFill>
          </w14:textFill>
        </w:rPr>
      </w:pPr>
      <w:bookmarkStart w:id="208" w:name="_Toc200414528"/>
      <w:r>
        <w:rPr>
          <w:rFonts w:hint="eastAsia"/>
          <w:color w:val="000000" w:themeColor="text1"/>
          <w:sz w:val="28"/>
          <w:szCs w:val="28"/>
          <w:highlight w:val="none"/>
          <w14:textFill>
            <w14:solidFill>
              <w14:schemeClr w14:val="tx1"/>
            </w14:solidFill>
          </w14:textFill>
        </w:rPr>
        <w:br w:type="page"/>
      </w:r>
    </w:p>
    <w:p>
      <w:pPr>
        <w:pStyle w:val="4"/>
        <w:numPr>
          <w:ilvl w:val="0"/>
          <w:numId w:val="0"/>
        </w:numPr>
        <w:jc w:val="center"/>
        <w:rPr>
          <w:color w:val="000000" w:themeColor="text1"/>
          <w:sz w:val="28"/>
          <w:szCs w:val="28"/>
          <w:highlight w:val="none"/>
          <w14:textFill>
            <w14:solidFill>
              <w14:schemeClr w14:val="tx1"/>
            </w14:solidFill>
          </w14:textFill>
        </w:rPr>
      </w:pPr>
      <w:bookmarkStart w:id="209" w:name="_Toc32653"/>
      <w:r>
        <w:rPr>
          <w:rFonts w:hint="eastAsia"/>
          <w:color w:val="000000" w:themeColor="text1"/>
          <w:sz w:val="28"/>
          <w:szCs w:val="28"/>
          <w:highlight w:val="none"/>
          <w14:textFill>
            <w14:solidFill>
              <w14:schemeClr w14:val="tx1"/>
            </w14:solidFill>
          </w14:textFill>
        </w:rPr>
        <w:t>附件五：商务条款偏离一览表</w:t>
      </w:r>
      <w:bookmarkEnd w:id="208"/>
      <w:bookmarkEnd w:id="209"/>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eastAsia" w:ascii="宋体" w:hAnsi="宋体" w:eastAsia="宋体"/>
          <w:color w:val="000000" w:themeColor="text1"/>
          <w:spacing w:val="10"/>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2022-2023年阳江市购买机动车驾驶人全科目考场服务项目</w:t>
      </w:r>
    </w:p>
    <w:tbl>
      <w:tblPr>
        <w:tblStyle w:val="43"/>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说明：1）对“偏离”一栏，填写“无偏离、负偏离、正偏离”；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pStyle w:val="4"/>
        <w:numPr>
          <w:ilvl w:val="0"/>
          <w:numId w:val="0"/>
        </w:numPr>
        <w:jc w:val="center"/>
        <w:rPr>
          <w:color w:val="000000" w:themeColor="text1"/>
          <w:sz w:val="28"/>
          <w:szCs w:val="28"/>
          <w:highlight w:val="none"/>
          <w14:textFill>
            <w14:solidFill>
              <w14:schemeClr w14:val="tx1"/>
            </w14:solidFill>
          </w14:textFill>
        </w:rPr>
      </w:pPr>
      <w:bookmarkStart w:id="210" w:name="_Toc200414529"/>
      <w:bookmarkStart w:id="211" w:name="_Toc27180"/>
      <w:r>
        <w:rPr>
          <w:rFonts w:hint="eastAsia"/>
          <w:color w:val="000000" w:themeColor="text1"/>
          <w:sz w:val="28"/>
          <w:szCs w:val="28"/>
          <w:highlight w:val="none"/>
          <w14:textFill>
            <w14:solidFill>
              <w14:schemeClr w14:val="tx1"/>
            </w14:solidFill>
          </w14:textFill>
        </w:rPr>
        <w:t>附件六：技术条款偏离一览表</w:t>
      </w:r>
      <w:bookmarkEnd w:id="210"/>
      <w:bookmarkEnd w:id="211"/>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2022-2023年阳江市购买机动车驾驶人全科目考场服务项目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43"/>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2" w:type="default"/>
          <w:pgSz w:w="11906" w:h="16838"/>
          <w:pgMar w:top="1418" w:right="1474" w:bottom="1418" w:left="1474" w:header="851" w:footer="851" w:gutter="0"/>
          <w:cols w:space="425" w:num="1"/>
          <w:titlePg/>
          <w:docGrid w:linePitch="312" w:charSpace="0"/>
        </w:sectPr>
      </w:pPr>
    </w:p>
    <w:p>
      <w:pPr>
        <w:pStyle w:val="4"/>
        <w:numPr>
          <w:ilvl w:val="0"/>
          <w:numId w:val="0"/>
        </w:numPr>
        <w:spacing w:line="400" w:lineRule="exact"/>
        <w:jc w:val="center"/>
        <w:rPr>
          <w:color w:val="000000" w:themeColor="text1"/>
          <w:sz w:val="28"/>
          <w:szCs w:val="28"/>
          <w:highlight w:val="none"/>
          <w14:textFill>
            <w14:solidFill>
              <w14:schemeClr w14:val="tx1"/>
            </w14:solidFill>
          </w14:textFill>
        </w:rPr>
      </w:pPr>
      <w:bookmarkStart w:id="212" w:name="_Toc340672895"/>
      <w:bookmarkStart w:id="213" w:name="_Toc350756476"/>
      <w:bookmarkStart w:id="214" w:name="_Toc341348366"/>
      <w:bookmarkStart w:id="215" w:name="_Toc339020041"/>
      <w:bookmarkStart w:id="216" w:name="_Toc333238660"/>
      <w:bookmarkStart w:id="217" w:name="_Toc339020121"/>
      <w:bookmarkStart w:id="218" w:name="_Toc350438775"/>
      <w:bookmarkStart w:id="219" w:name="_Toc365967098"/>
      <w:bookmarkStart w:id="220" w:name="_Toc427330702"/>
      <w:bookmarkStart w:id="221" w:name="_Toc342312469"/>
      <w:bookmarkStart w:id="222" w:name="_Toc340507468"/>
      <w:bookmarkStart w:id="223" w:name="_Toc438589241"/>
      <w:bookmarkStart w:id="224" w:name="_Toc340677096"/>
      <w:bookmarkStart w:id="225" w:name="_Toc366072555"/>
      <w:bookmarkStart w:id="226" w:name="_Toc333935713"/>
      <w:bookmarkStart w:id="227" w:name="_Toc343612946"/>
      <w:bookmarkStart w:id="228" w:name="_Toc333237704"/>
      <w:bookmarkStart w:id="229" w:name="_Toc332270373"/>
      <w:bookmarkStart w:id="230" w:name="_Toc345312623"/>
      <w:bookmarkStart w:id="231" w:name="_Toc343248444"/>
      <w:bookmarkStart w:id="232" w:name="_Toc339362326"/>
      <w:bookmarkStart w:id="233" w:name="_Toc343247126"/>
      <w:bookmarkStart w:id="234" w:name="_Toc342060401"/>
      <w:bookmarkStart w:id="235" w:name="_Toc339019915"/>
      <w:bookmarkStart w:id="236" w:name="_Toc330460012"/>
      <w:bookmarkStart w:id="237" w:name="_Toc342398156"/>
      <w:bookmarkStart w:id="238" w:name="_Toc331512927"/>
      <w:bookmarkStart w:id="239" w:name="_Toc333237815"/>
      <w:bookmarkStart w:id="240" w:name="_Toc336681606"/>
      <w:bookmarkStart w:id="241" w:name="_Toc365985204"/>
      <w:bookmarkStart w:id="242" w:name="_Toc339020259"/>
      <w:bookmarkStart w:id="243" w:name="_Toc332206735"/>
      <w:bookmarkStart w:id="244" w:name="_Toc333935372"/>
      <w:bookmarkStart w:id="245" w:name="_Toc336681961"/>
      <w:bookmarkStart w:id="246" w:name="_Toc337632384"/>
      <w:bookmarkStart w:id="247" w:name="_Toc339441113"/>
      <w:bookmarkStart w:id="248" w:name="_Toc342296787"/>
      <w:bookmarkStart w:id="249" w:name="_Toc331684068"/>
      <w:bookmarkStart w:id="250" w:name="_Toc14043"/>
      <w:r>
        <w:rPr>
          <w:rFonts w:hint="eastAsia"/>
          <w:color w:val="000000" w:themeColor="text1"/>
          <w:sz w:val="28"/>
          <w:szCs w:val="28"/>
          <w:highlight w:val="none"/>
          <w14:textFill>
            <w14:solidFill>
              <w14:schemeClr w14:val="tx1"/>
            </w14:solidFill>
          </w14:textFill>
        </w:rPr>
        <w:t>附件七：</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color w:val="000000" w:themeColor="text1"/>
          <w:sz w:val="28"/>
          <w:szCs w:val="28"/>
          <w:highlight w:val="none"/>
          <w14:textFill>
            <w14:solidFill>
              <w14:schemeClr w14:val="tx1"/>
            </w14:solidFill>
          </w14:textFill>
        </w:rPr>
        <w:t>项目实施方案</w:t>
      </w:r>
      <w:bookmarkEnd w:id="250"/>
    </w:p>
    <w:p>
      <w:pPr>
        <w:adjustRightInd w:val="0"/>
        <w:snapToGrid w:val="0"/>
        <w:spacing w:line="360" w:lineRule="auto"/>
        <w:ind w:left="1054" w:hanging="1054"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
          <w:bCs/>
          <w:caps/>
          <w:color w:val="000000" w:themeColor="text1"/>
          <w:highlight w:val="none"/>
          <w:u w:val="single"/>
          <w14:textFill>
            <w14:solidFill>
              <w14:schemeClr w14:val="tx1"/>
            </w14:solidFill>
          </w14:textFill>
        </w:rPr>
        <w:t>项目编号：</w:t>
      </w:r>
      <w:r>
        <w:rPr>
          <w:rFonts w:hint="eastAsia" w:ascii="宋体" w:hAnsi="宋体"/>
          <w:b/>
          <w:bCs/>
          <w:caps/>
          <w:color w:val="000000" w:themeColor="text1"/>
          <w:highlight w:val="none"/>
          <w:u w:val="single"/>
          <w:lang w:eastAsia="zh-CN"/>
          <w14:textFill>
            <w14:solidFill>
              <w14:schemeClr w14:val="tx1"/>
            </w14:solidFill>
          </w14:textFill>
        </w:rPr>
        <w:t>YXCG-20211216</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
          <w:bCs/>
          <w:caps/>
          <w:color w:val="000000" w:themeColor="text1"/>
          <w:highlight w:val="none"/>
          <w:u w:val="single"/>
          <w14:textFill>
            <w14:solidFill>
              <w14:schemeClr w14:val="tx1"/>
            </w14:solidFill>
          </w14:textFill>
        </w:rPr>
        <w:t>项目名称：</w:t>
      </w:r>
      <w:r>
        <w:rPr>
          <w:rFonts w:hint="eastAsia" w:ascii="宋体" w:hAnsi="宋体"/>
          <w:b/>
          <w:bCs/>
          <w:caps/>
          <w:color w:val="000000" w:themeColor="text1"/>
          <w:highlight w:val="none"/>
          <w:u w:val="single"/>
          <w:lang w:eastAsia="zh-CN"/>
          <w14:textFill>
            <w14:solidFill>
              <w14:schemeClr w14:val="tx1"/>
            </w14:solidFill>
          </w14:textFill>
        </w:rPr>
        <w:t>2022-2023年阳江市购买机动车驾驶人全科目考场服务项目</w:t>
      </w:r>
      <w:r>
        <w:rPr>
          <w:rFonts w:hint="eastAsia" w:ascii="宋体" w:hAnsi="宋体"/>
          <w:b/>
          <w:bCs/>
          <w:caps/>
          <w:color w:val="000000" w:themeColor="text1"/>
          <w:highlight w:val="none"/>
          <w:u w:val="single"/>
          <w14:textFill>
            <w14:solidFill>
              <w14:schemeClr w14:val="tx1"/>
            </w14:solidFill>
          </w14:textFill>
        </w:rPr>
        <w:t xml:space="preserve"> </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80" w:lineRule="auto"/>
        <w:rPr>
          <w:rFonts w:ascii="宋体" w:hAnsi="宋体"/>
          <w:bCs/>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0"/>
          <w:numId w:val="0"/>
        </w:numPr>
        <w:jc w:val="center"/>
        <w:rPr>
          <w:color w:val="000000" w:themeColor="text1"/>
          <w:sz w:val="28"/>
          <w:szCs w:val="28"/>
          <w:highlight w:val="none"/>
          <w14:textFill>
            <w14:solidFill>
              <w14:schemeClr w14:val="tx1"/>
            </w14:solidFill>
          </w14:textFill>
        </w:rPr>
      </w:pPr>
      <w:bookmarkStart w:id="251" w:name="_Toc4632"/>
      <w:bookmarkStart w:id="252" w:name="_Toc200414533"/>
      <w:r>
        <w:rPr>
          <w:rFonts w:hint="eastAsia"/>
          <w:color w:val="000000" w:themeColor="text1"/>
          <w:sz w:val="28"/>
          <w:szCs w:val="28"/>
          <w:highlight w:val="none"/>
          <w14:textFill>
            <w14:solidFill>
              <w14:schemeClr w14:val="tx1"/>
            </w14:solidFill>
          </w14:textFill>
        </w:rPr>
        <w:t>附件八：同类业绩一览表</w:t>
      </w:r>
      <w:bookmarkEnd w:id="251"/>
      <w:bookmarkEnd w:id="252"/>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2022-2023年阳江市购买机动车驾驶人全科目考场服务项目</w:t>
      </w:r>
    </w:p>
    <w:tbl>
      <w:tblPr>
        <w:tblStyle w:val="43"/>
        <w:tblW w:w="1020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24"/>
        <w:gridCol w:w="1754"/>
        <w:gridCol w:w="976"/>
        <w:gridCol w:w="1098"/>
        <w:gridCol w:w="1091"/>
        <w:gridCol w:w="1091"/>
        <w:gridCol w:w="109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11"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52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75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货物名称</w:t>
            </w:r>
          </w:p>
        </w:tc>
        <w:tc>
          <w:tcPr>
            <w:tcW w:w="97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销售数（套）</w:t>
            </w:r>
          </w:p>
        </w:tc>
        <w:tc>
          <w:tcPr>
            <w:tcW w:w="1098"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091"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091"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091"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77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52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75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97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8"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091"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77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afterLines="50" w:line="360" w:lineRule="auto"/>
        <w:ind w:firstLineChars="200"/>
        <w:rPr>
          <w:rFonts w:hAnsi="宋体"/>
          <w:bCs/>
          <w:color w:val="000000" w:themeColor="text1"/>
          <w:highlight w:val="none"/>
          <w14:textFill>
            <w14:solidFill>
              <w14:schemeClr w14:val="tx1"/>
            </w14:solidFill>
          </w14:textFill>
        </w:rPr>
      </w:pPr>
    </w:p>
    <w:p>
      <w:pPr>
        <w:pStyle w:val="2"/>
        <w:snapToGrid w:val="0"/>
        <w:spacing w:afterLines="50" w:line="360" w:lineRule="auto"/>
        <w:ind w:firstLineChars="20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供应商法定代表人或授权代理人（签字）：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4"/>
        <w:numPr>
          <w:ilvl w:val="0"/>
          <w:numId w:val="0"/>
        </w:numPr>
        <w:jc w:val="center"/>
        <w:rPr>
          <w:color w:val="000000" w:themeColor="text1"/>
          <w:sz w:val="28"/>
          <w:szCs w:val="28"/>
          <w:highlight w:val="none"/>
          <w14:textFill>
            <w14:solidFill>
              <w14:schemeClr w14:val="tx1"/>
            </w14:solidFill>
          </w14:textFill>
        </w:rPr>
      </w:pPr>
      <w:bookmarkStart w:id="253" w:name="_Toc200414535"/>
      <w:bookmarkStart w:id="254" w:name="_Toc18358"/>
      <w:r>
        <w:rPr>
          <w:rFonts w:hint="eastAsia"/>
          <w:color w:val="000000" w:themeColor="text1"/>
          <w:sz w:val="28"/>
          <w:szCs w:val="28"/>
          <w:highlight w:val="none"/>
          <w14:textFill>
            <w14:solidFill>
              <w14:schemeClr w14:val="tx1"/>
            </w14:solidFill>
          </w14:textFill>
        </w:rPr>
        <w:t>附件九：谈判供应商提交的其他资料</w:t>
      </w:r>
      <w:bookmarkEnd w:id="253"/>
      <w:bookmarkEnd w:id="254"/>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YXCG-20211216</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2022-2023年阳江市购买机动车驾驶人全科目考场服务项目</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2"/>
        <w:spacing w:line="360" w:lineRule="auto"/>
        <w:rPr>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一、</w:t>
      </w:r>
    </w:p>
    <w:p>
      <w:pPr>
        <w:pStyle w:val="2"/>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二、</w:t>
      </w:r>
    </w:p>
    <w:p>
      <w:pPr>
        <w:pStyle w:val="2"/>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三、</w:t>
      </w:r>
      <w:r>
        <w:rPr>
          <w:rFonts w:hAnsi="宋体"/>
          <w:bCs/>
          <w:color w:val="000000" w:themeColor="text1"/>
          <w:szCs w:val="21"/>
          <w:highlight w:val="none"/>
          <w14:textFill>
            <w14:solidFill>
              <w14:schemeClr w14:val="tx1"/>
            </w14:solidFill>
          </w14:textFill>
        </w:rPr>
        <w:t>...</w:t>
      </w:r>
    </w:p>
    <w:p>
      <w:pPr>
        <w:pStyle w:val="2"/>
        <w:spacing w:line="360" w:lineRule="auto"/>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四、</w:t>
      </w:r>
      <w:r>
        <w:rPr>
          <w:rFonts w:hAnsi="宋体"/>
          <w:bCs/>
          <w:color w:val="000000" w:themeColor="text1"/>
          <w:szCs w:val="21"/>
          <w:highlight w:val="none"/>
          <w14:textFill>
            <w14:solidFill>
              <w14:schemeClr w14:val="tx1"/>
            </w14:solidFill>
          </w14:textFill>
        </w:rPr>
        <w:t>...</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rPr>
          <w:color w:val="000000" w:themeColor="text1"/>
          <w:szCs w:val="21"/>
          <w:highlight w:val="none"/>
          <w14:textFill>
            <w14:solidFill>
              <w14:schemeClr w14:val="tx1"/>
            </w14:solidFill>
          </w14:textFill>
        </w:rPr>
      </w:pPr>
    </w:p>
    <w:p>
      <w:pPr>
        <w:adjustRightInd w:val="0"/>
        <w:snapToGrid w:val="0"/>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（供应商认为本节无须提交的，应当注明“本节空白”字样）。</w:t>
      </w: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2"/>
        <w:spacing w:line="460" w:lineRule="exact"/>
        <w:rPr>
          <w:color w:val="000000" w:themeColor="text1"/>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255" w:name="_Toc459822893"/>
      <w:bookmarkStart w:id="256" w:name="_Toc28492"/>
      <w:r>
        <w:rPr>
          <w:rFonts w:hint="eastAsia"/>
          <w:color w:val="000000" w:themeColor="text1"/>
          <w:sz w:val="52"/>
          <w:highlight w:val="none"/>
          <w14:textFill>
            <w14:solidFill>
              <w14:schemeClr w14:val="tx1"/>
            </w14:solidFill>
          </w14:textFill>
        </w:rPr>
        <w:t>其 他 格 式</w:t>
      </w:r>
      <w:bookmarkEnd w:id="255"/>
      <w:bookmarkEnd w:id="256"/>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5"/>
        <w:tabs>
          <w:tab w:val="left" w:pos="142"/>
        </w:tabs>
        <w:spacing w:afterLines="50" w:line="360" w:lineRule="auto"/>
        <w:jc w:val="center"/>
        <w:rPr>
          <w:color w:val="000000" w:themeColor="text1"/>
          <w:sz w:val="28"/>
          <w:highlight w:val="none"/>
          <w14:textFill>
            <w14:solidFill>
              <w14:schemeClr w14:val="tx1"/>
            </w14:solidFill>
          </w14:textFill>
        </w:rPr>
      </w:pPr>
      <w:bookmarkStart w:id="257" w:name="_Toc1000"/>
      <w:bookmarkStart w:id="258" w:name="_Toc459822894"/>
      <w:r>
        <w:rPr>
          <w:rFonts w:hint="eastAsia"/>
          <w:color w:val="000000" w:themeColor="text1"/>
          <w:sz w:val="28"/>
          <w:highlight w:val="none"/>
          <w14:textFill>
            <w14:solidFill>
              <w14:schemeClr w14:val="tx1"/>
            </w14:solidFill>
          </w14:textFill>
        </w:rPr>
        <w:t>投标保证金退付书</w:t>
      </w:r>
      <w:bookmarkEnd w:id="257"/>
      <w:bookmarkEnd w:id="258"/>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本公司为本项目的投标已提交了足额投标保证金，请贵司在符合退还条件时请代划入下列账户：</w:t>
      </w:r>
    </w:p>
    <w:tbl>
      <w:tblPr>
        <w:tblStyle w:val="43"/>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3"/>
                <w:rFonts w:hint="eastAsia" w:ascii="宋体" w:hAnsi="宋体" w:eastAsia="宋体" w:cs="宋体"/>
                <w:color w:val="000000" w:themeColor="text1"/>
                <w:spacing w:val="10"/>
                <w:sz w:val="21"/>
                <w:szCs w:val="21"/>
                <w:highlight w:val="none"/>
                <w:lang w:val="zh-CN" w:eastAsia="zh-CN"/>
                <w14:textFill>
                  <w14:solidFill>
                    <w14:schemeClr w14:val="tx1"/>
                  </w14:solidFill>
                </w14:textFill>
              </w:rPr>
            </w:pPr>
            <w:r>
              <w:rPr>
                <w:rFonts w:hint="eastAsia" w:ascii="宋体" w:hAnsi="宋体" w:cs="宋体"/>
                <w:b/>
                <w:bCs/>
                <w:color w:val="000000" w:themeColor="text1"/>
                <w:szCs w:val="21"/>
                <w:highlight w:val="none"/>
                <w:u w:val="single"/>
                <w:lang w:eastAsia="zh-CN"/>
                <w14:textFill>
                  <w14:solidFill>
                    <w14:schemeClr w14:val="tx1"/>
                  </w14:solidFill>
                </w14:textFill>
              </w:rPr>
              <w:t>2022-2023年阳江市购买机动车驾驶人全科目考场服务项目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cs="宋体"/>
                <w:color w:val="000000" w:themeColor="text1"/>
                <w:spacing w:val="10"/>
                <w:sz w:val="21"/>
                <w:szCs w:val="21"/>
                <w:highlight w:val="none"/>
                <w:lang w:val="zh-CN"/>
                <w14:textFill>
                  <w14:solidFill>
                    <w14:schemeClr w14:val="tx1"/>
                  </w14:solidFill>
                </w14:textFill>
              </w:rPr>
              <w:t>YXCG-20211216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u w:val="singl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开户银行</w:t>
            </w: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u w:val="singl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14:textFill>
                  <w14:solidFill>
                    <w14:schemeClr w14:val="tx1"/>
                  </w14:solidFill>
                </w14:textFill>
              </w:rPr>
            </w:pPr>
            <w:r>
              <w:rPr>
                <w:rStyle w:val="133"/>
                <w:rFonts w:hint="eastAsia" w:ascii="宋体" w:hAnsi="宋体" w:eastAsia="宋体" w:cs="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注：保证金退还账户必须为对公账户。</w:t>
      </w:r>
    </w:p>
    <w:tbl>
      <w:tblPr>
        <w:tblStyle w:val="43"/>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trPr>
        <w:tc>
          <w:tcPr>
            <w:tcW w:w="9391" w:type="dxa"/>
            <w:shd w:val="clear" w:color="auto" w:fill="auto"/>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spacing w:line="460" w:lineRule="exact"/>
        <w:ind w:firstLine="0"/>
        <w:rPr>
          <w:rFonts w:ascii="宋体" w:hAnsi="宋体"/>
          <w:b/>
          <w:color w:val="000000" w:themeColor="text1"/>
          <w:szCs w:val="21"/>
          <w:highlight w:val="none"/>
          <w14:textFill>
            <w14:solidFill>
              <w14:schemeClr w14:val="tx1"/>
            </w14:solidFill>
          </w14:textFill>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000000" w:themeColor="text1"/>
          <w:szCs w:val="21"/>
          <w:highlight w:val="none"/>
          <w14:textFill>
            <w14:solidFill>
              <w14:schemeClr w14:val="tx1"/>
            </w14:solidFill>
          </w14:textFill>
        </w:rPr>
        <w:t>注：本退付书原件须放入唱标信封内，勿装订在投标文件内。</w:t>
      </w: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pStyle w:val="2"/>
        <w:spacing w:line="460" w:lineRule="exact"/>
        <w:ind w:firstLine="0"/>
        <w:rPr>
          <w:rFonts w:ascii="宋体" w:hAnsi="宋体"/>
          <w:b/>
          <w:color w:val="000000" w:themeColor="text1"/>
          <w:szCs w:val="21"/>
          <w:highlight w:val="none"/>
          <w14:textFill>
            <w14:solidFill>
              <w14:schemeClr w14:val="tx1"/>
            </w14:solidFill>
          </w14:textFill>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dobe 仿宋 Std R">
    <w:altName w:val="微软雅黑"/>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8"/>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8"/>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8"/>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3E2E224E"/>
    <w:multiLevelType w:val="multilevel"/>
    <w:tmpl w:val="3E2E224E"/>
    <w:lvl w:ilvl="0" w:tentative="0">
      <w:start w:val="4"/>
      <w:numFmt w:val="decimal"/>
      <w:lvlText w:val="%1"/>
      <w:lvlJc w:val="left"/>
      <w:pPr>
        <w:ind w:left="280" w:hanging="370"/>
      </w:pPr>
      <w:rPr>
        <w:rFonts w:hint="default"/>
        <w:lang w:val="en-US" w:eastAsia="zh-CN" w:bidi="ar-SA"/>
      </w:rPr>
    </w:lvl>
    <w:lvl w:ilvl="1" w:tentative="0">
      <w:start w:val="1"/>
      <w:numFmt w:val="decimal"/>
      <w:lvlText w:val="%1.%2"/>
      <w:lvlJc w:val="left"/>
      <w:pPr>
        <w:ind w:left="280" w:hanging="370"/>
      </w:pPr>
      <w:rPr>
        <w:rFonts w:hint="default" w:ascii="宋体" w:hAnsi="宋体" w:eastAsia="宋体" w:cs="宋体"/>
        <w:w w:val="100"/>
        <w:sz w:val="21"/>
        <w:szCs w:val="21"/>
        <w:lang w:val="en-US" w:eastAsia="zh-CN" w:bidi="ar-SA"/>
      </w:rPr>
    </w:lvl>
    <w:lvl w:ilvl="2" w:tentative="0">
      <w:start w:val="0"/>
      <w:numFmt w:val="bullet"/>
      <w:lvlText w:val="•"/>
      <w:lvlJc w:val="left"/>
      <w:pPr>
        <w:ind w:left="2241" w:hanging="370"/>
      </w:pPr>
      <w:rPr>
        <w:rFonts w:hint="default"/>
        <w:lang w:val="en-US" w:eastAsia="zh-CN" w:bidi="ar-SA"/>
      </w:rPr>
    </w:lvl>
    <w:lvl w:ilvl="3" w:tentative="0">
      <w:start w:val="0"/>
      <w:numFmt w:val="bullet"/>
      <w:lvlText w:val="•"/>
      <w:lvlJc w:val="left"/>
      <w:pPr>
        <w:ind w:left="3221" w:hanging="370"/>
      </w:pPr>
      <w:rPr>
        <w:rFonts w:hint="default"/>
        <w:lang w:val="en-US" w:eastAsia="zh-CN" w:bidi="ar-SA"/>
      </w:rPr>
    </w:lvl>
    <w:lvl w:ilvl="4" w:tentative="0">
      <w:start w:val="0"/>
      <w:numFmt w:val="bullet"/>
      <w:lvlText w:val="•"/>
      <w:lvlJc w:val="left"/>
      <w:pPr>
        <w:ind w:left="4202" w:hanging="370"/>
      </w:pPr>
      <w:rPr>
        <w:rFonts w:hint="default"/>
        <w:lang w:val="en-US" w:eastAsia="zh-CN" w:bidi="ar-SA"/>
      </w:rPr>
    </w:lvl>
    <w:lvl w:ilvl="5" w:tentative="0">
      <w:start w:val="0"/>
      <w:numFmt w:val="bullet"/>
      <w:lvlText w:val="•"/>
      <w:lvlJc w:val="left"/>
      <w:pPr>
        <w:ind w:left="5183" w:hanging="370"/>
      </w:pPr>
      <w:rPr>
        <w:rFonts w:hint="default"/>
        <w:lang w:val="en-US" w:eastAsia="zh-CN" w:bidi="ar-SA"/>
      </w:rPr>
    </w:lvl>
    <w:lvl w:ilvl="6" w:tentative="0">
      <w:start w:val="0"/>
      <w:numFmt w:val="bullet"/>
      <w:lvlText w:val="•"/>
      <w:lvlJc w:val="left"/>
      <w:pPr>
        <w:ind w:left="6163" w:hanging="370"/>
      </w:pPr>
      <w:rPr>
        <w:rFonts w:hint="default"/>
        <w:lang w:val="en-US" w:eastAsia="zh-CN" w:bidi="ar-SA"/>
      </w:rPr>
    </w:lvl>
    <w:lvl w:ilvl="7" w:tentative="0">
      <w:start w:val="0"/>
      <w:numFmt w:val="bullet"/>
      <w:lvlText w:val="•"/>
      <w:lvlJc w:val="left"/>
      <w:pPr>
        <w:ind w:left="7144" w:hanging="370"/>
      </w:pPr>
      <w:rPr>
        <w:rFonts w:hint="default"/>
        <w:lang w:val="en-US" w:eastAsia="zh-CN" w:bidi="ar-SA"/>
      </w:rPr>
    </w:lvl>
    <w:lvl w:ilvl="8" w:tentative="0">
      <w:start w:val="0"/>
      <w:numFmt w:val="bullet"/>
      <w:lvlText w:val="•"/>
      <w:lvlJc w:val="left"/>
      <w:pPr>
        <w:ind w:left="8125" w:hanging="370"/>
      </w:pPr>
      <w:rPr>
        <w:rFonts w:hint="default"/>
        <w:lang w:val="en-US" w:eastAsia="zh-CN" w:bidi="ar-SA"/>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693E4D19"/>
    <w:multiLevelType w:val="multilevel"/>
    <w:tmpl w:val="693E4D19"/>
    <w:lvl w:ilvl="0" w:tentative="0">
      <w:start w:val="3"/>
      <w:numFmt w:val="decimal"/>
      <w:lvlText w:val="%1"/>
      <w:lvlJc w:val="left"/>
      <w:pPr>
        <w:ind w:left="1019" w:hanging="423"/>
      </w:pPr>
      <w:rPr>
        <w:rFonts w:hint="default"/>
        <w:lang w:val="en-US" w:eastAsia="zh-CN" w:bidi="ar-SA"/>
      </w:rPr>
    </w:lvl>
    <w:lvl w:ilvl="1" w:tentative="0">
      <w:start w:val="1"/>
      <w:numFmt w:val="decimal"/>
      <w:lvlText w:val="%1.%2"/>
      <w:lvlJc w:val="left"/>
      <w:pPr>
        <w:ind w:left="1019" w:hanging="423"/>
      </w:pPr>
      <w:rPr>
        <w:rFonts w:hint="default" w:ascii="宋体" w:hAnsi="宋体" w:eastAsia="宋体" w:cs="宋体"/>
        <w:b/>
        <w:bCs/>
        <w:w w:val="99"/>
        <w:sz w:val="21"/>
        <w:szCs w:val="21"/>
        <w:lang w:val="en-US" w:eastAsia="zh-CN" w:bidi="ar-SA"/>
      </w:rPr>
    </w:lvl>
    <w:lvl w:ilvl="2" w:tentative="0">
      <w:start w:val="0"/>
      <w:numFmt w:val="bullet"/>
      <w:lvlText w:val="•"/>
      <w:lvlJc w:val="left"/>
      <w:pPr>
        <w:ind w:left="2833" w:hanging="423"/>
      </w:pPr>
      <w:rPr>
        <w:rFonts w:hint="default"/>
        <w:lang w:val="en-US" w:eastAsia="zh-CN" w:bidi="ar-SA"/>
      </w:rPr>
    </w:lvl>
    <w:lvl w:ilvl="3" w:tentative="0">
      <w:start w:val="0"/>
      <w:numFmt w:val="bullet"/>
      <w:lvlText w:val="•"/>
      <w:lvlJc w:val="left"/>
      <w:pPr>
        <w:ind w:left="3739" w:hanging="423"/>
      </w:pPr>
      <w:rPr>
        <w:rFonts w:hint="default"/>
        <w:lang w:val="en-US" w:eastAsia="zh-CN" w:bidi="ar-SA"/>
      </w:rPr>
    </w:lvl>
    <w:lvl w:ilvl="4" w:tentative="0">
      <w:start w:val="0"/>
      <w:numFmt w:val="bullet"/>
      <w:lvlText w:val="•"/>
      <w:lvlJc w:val="left"/>
      <w:pPr>
        <w:ind w:left="4646" w:hanging="423"/>
      </w:pPr>
      <w:rPr>
        <w:rFonts w:hint="default"/>
        <w:lang w:val="en-US" w:eastAsia="zh-CN" w:bidi="ar-SA"/>
      </w:rPr>
    </w:lvl>
    <w:lvl w:ilvl="5" w:tentative="0">
      <w:start w:val="0"/>
      <w:numFmt w:val="bullet"/>
      <w:lvlText w:val="•"/>
      <w:lvlJc w:val="left"/>
      <w:pPr>
        <w:ind w:left="5553" w:hanging="423"/>
      </w:pPr>
      <w:rPr>
        <w:rFonts w:hint="default"/>
        <w:lang w:val="en-US" w:eastAsia="zh-CN" w:bidi="ar-SA"/>
      </w:rPr>
    </w:lvl>
    <w:lvl w:ilvl="6" w:tentative="0">
      <w:start w:val="0"/>
      <w:numFmt w:val="bullet"/>
      <w:lvlText w:val="•"/>
      <w:lvlJc w:val="left"/>
      <w:pPr>
        <w:ind w:left="6459" w:hanging="423"/>
      </w:pPr>
      <w:rPr>
        <w:rFonts w:hint="default"/>
        <w:lang w:val="en-US" w:eastAsia="zh-CN" w:bidi="ar-SA"/>
      </w:rPr>
    </w:lvl>
    <w:lvl w:ilvl="7" w:tentative="0">
      <w:start w:val="0"/>
      <w:numFmt w:val="bullet"/>
      <w:lvlText w:val="•"/>
      <w:lvlJc w:val="left"/>
      <w:pPr>
        <w:ind w:left="7366" w:hanging="423"/>
      </w:pPr>
      <w:rPr>
        <w:rFonts w:hint="default"/>
        <w:lang w:val="en-US" w:eastAsia="zh-CN" w:bidi="ar-SA"/>
      </w:rPr>
    </w:lvl>
    <w:lvl w:ilvl="8" w:tentative="0">
      <w:start w:val="0"/>
      <w:numFmt w:val="bullet"/>
      <w:lvlText w:val="•"/>
      <w:lvlJc w:val="left"/>
      <w:pPr>
        <w:ind w:left="8273" w:hanging="423"/>
      </w:pPr>
      <w:rPr>
        <w:rFonts w:hint="default"/>
        <w:lang w:val="en-US" w:eastAsia="zh-CN" w:bidi="ar-SA"/>
      </w:r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3"/>
  </w:num>
  <w:num w:numId="2">
    <w:abstractNumId w:val="12"/>
  </w:num>
  <w:num w:numId="3">
    <w:abstractNumId w:val="0"/>
  </w:num>
  <w:num w:numId="4">
    <w:abstractNumId w:val="5"/>
  </w:num>
  <w:num w:numId="5">
    <w:abstractNumId w:val="10"/>
  </w:num>
  <w:num w:numId="6">
    <w:abstractNumId w:val="2"/>
  </w:num>
  <w:num w:numId="7">
    <w:abstractNumId w:val="4"/>
  </w:num>
  <w:num w:numId="8">
    <w:abstractNumId w:val="6"/>
  </w:num>
  <w:num w:numId="9">
    <w:abstractNumId w:val="13"/>
  </w:num>
  <w:num w:numId="10">
    <w:abstractNumId w:val="8"/>
  </w:num>
  <w:num w:numId="11">
    <w:abstractNumId w:val="7"/>
  </w:num>
  <w:num w:numId="12">
    <w:abstractNumId w:val="9"/>
  </w:num>
  <w:num w:numId="13">
    <w:abstractNumId w:val="1"/>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33B1098"/>
    <w:rsid w:val="041736D9"/>
    <w:rsid w:val="04796711"/>
    <w:rsid w:val="05347652"/>
    <w:rsid w:val="057D00EF"/>
    <w:rsid w:val="059A1C9D"/>
    <w:rsid w:val="05F05787"/>
    <w:rsid w:val="060002E9"/>
    <w:rsid w:val="060B0A71"/>
    <w:rsid w:val="062F59C1"/>
    <w:rsid w:val="06AA0A01"/>
    <w:rsid w:val="073D700A"/>
    <w:rsid w:val="07FC4512"/>
    <w:rsid w:val="0830185F"/>
    <w:rsid w:val="08E54F34"/>
    <w:rsid w:val="0A2E457F"/>
    <w:rsid w:val="0A311901"/>
    <w:rsid w:val="0A563D67"/>
    <w:rsid w:val="0ACA785C"/>
    <w:rsid w:val="0B077103"/>
    <w:rsid w:val="0B7A0A9C"/>
    <w:rsid w:val="0B9D7F6A"/>
    <w:rsid w:val="0BDE7E15"/>
    <w:rsid w:val="0C4454F0"/>
    <w:rsid w:val="0E3463B3"/>
    <w:rsid w:val="0F15187D"/>
    <w:rsid w:val="0F9B7012"/>
    <w:rsid w:val="0FA0248B"/>
    <w:rsid w:val="11633345"/>
    <w:rsid w:val="11BF61FC"/>
    <w:rsid w:val="135A4481"/>
    <w:rsid w:val="1596620C"/>
    <w:rsid w:val="15A970FC"/>
    <w:rsid w:val="160015E1"/>
    <w:rsid w:val="16E01D8D"/>
    <w:rsid w:val="189017A6"/>
    <w:rsid w:val="18AC1037"/>
    <w:rsid w:val="19ED4482"/>
    <w:rsid w:val="1ABB279C"/>
    <w:rsid w:val="1AF51954"/>
    <w:rsid w:val="1B9F7EB6"/>
    <w:rsid w:val="1C5E0E6C"/>
    <w:rsid w:val="1C7143DF"/>
    <w:rsid w:val="1C8C51C6"/>
    <w:rsid w:val="1DA0430A"/>
    <w:rsid w:val="1DEB15A3"/>
    <w:rsid w:val="1E41397D"/>
    <w:rsid w:val="1EA97168"/>
    <w:rsid w:val="1F2E7C9E"/>
    <w:rsid w:val="1F4724AC"/>
    <w:rsid w:val="1F590CB5"/>
    <w:rsid w:val="1F7A041D"/>
    <w:rsid w:val="20E90E22"/>
    <w:rsid w:val="20FD4C2E"/>
    <w:rsid w:val="219B6B4D"/>
    <w:rsid w:val="223F1D24"/>
    <w:rsid w:val="22455FAA"/>
    <w:rsid w:val="22C80F21"/>
    <w:rsid w:val="23004123"/>
    <w:rsid w:val="2301534A"/>
    <w:rsid w:val="23653D29"/>
    <w:rsid w:val="23B34CA4"/>
    <w:rsid w:val="240B167F"/>
    <w:rsid w:val="24354CBD"/>
    <w:rsid w:val="254F18D4"/>
    <w:rsid w:val="25AB1587"/>
    <w:rsid w:val="26CE635A"/>
    <w:rsid w:val="272760F1"/>
    <w:rsid w:val="27D173CF"/>
    <w:rsid w:val="28214C6A"/>
    <w:rsid w:val="28E34FEC"/>
    <w:rsid w:val="297C317A"/>
    <w:rsid w:val="2A4D1789"/>
    <w:rsid w:val="2AC770E5"/>
    <w:rsid w:val="2B740DA4"/>
    <w:rsid w:val="2D7602FA"/>
    <w:rsid w:val="2DC91946"/>
    <w:rsid w:val="2E110313"/>
    <w:rsid w:val="2E3738EA"/>
    <w:rsid w:val="2E3968BD"/>
    <w:rsid w:val="2E604BFD"/>
    <w:rsid w:val="30773381"/>
    <w:rsid w:val="31105727"/>
    <w:rsid w:val="31163C58"/>
    <w:rsid w:val="319B6A24"/>
    <w:rsid w:val="32300A82"/>
    <w:rsid w:val="325165D4"/>
    <w:rsid w:val="32C134AE"/>
    <w:rsid w:val="33877857"/>
    <w:rsid w:val="339903C8"/>
    <w:rsid w:val="341C43C3"/>
    <w:rsid w:val="34347541"/>
    <w:rsid w:val="34B94451"/>
    <w:rsid w:val="351C2D9C"/>
    <w:rsid w:val="352A4A7C"/>
    <w:rsid w:val="35B648A5"/>
    <w:rsid w:val="35D8031A"/>
    <w:rsid w:val="362E16C5"/>
    <w:rsid w:val="367B5C9F"/>
    <w:rsid w:val="37681083"/>
    <w:rsid w:val="37B13643"/>
    <w:rsid w:val="394F31E7"/>
    <w:rsid w:val="3A860190"/>
    <w:rsid w:val="3C121C80"/>
    <w:rsid w:val="3C1D51E8"/>
    <w:rsid w:val="3D8C2BCB"/>
    <w:rsid w:val="3DD011E4"/>
    <w:rsid w:val="3DD531EB"/>
    <w:rsid w:val="3E10293F"/>
    <w:rsid w:val="3EBB16B4"/>
    <w:rsid w:val="404B2F5D"/>
    <w:rsid w:val="404C25FD"/>
    <w:rsid w:val="40B1639D"/>
    <w:rsid w:val="40CC7591"/>
    <w:rsid w:val="41354BF0"/>
    <w:rsid w:val="424D4BC9"/>
    <w:rsid w:val="43BF0570"/>
    <w:rsid w:val="43F34A3C"/>
    <w:rsid w:val="44092CAA"/>
    <w:rsid w:val="458C04F3"/>
    <w:rsid w:val="45DC270F"/>
    <w:rsid w:val="478F6979"/>
    <w:rsid w:val="48EB7E8E"/>
    <w:rsid w:val="48EE3125"/>
    <w:rsid w:val="49373C2C"/>
    <w:rsid w:val="49CB1FA4"/>
    <w:rsid w:val="4B594EA0"/>
    <w:rsid w:val="4BF72A64"/>
    <w:rsid w:val="4C55171E"/>
    <w:rsid w:val="4C711190"/>
    <w:rsid w:val="4DFB5F75"/>
    <w:rsid w:val="4E177E9A"/>
    <w:rsid w:val="4F530BD7"/>
    <w:rsid w:val="501B2E97"/>
    <w:rsid w:val="50B605B9"/>
    <w:rsid w:val="52204890"/>
    <w:rsid w:val="528E034E"/>
    <w:rsid w:val="52A81CF3"/>
    <w:rsid w:val="54E6255F"/>
    <w:rsid w:val="59127760"/>
    <w:rsid w:val="591B36A2"/>
    <w:rsid w:val="59910DF7"/>
    <w:rsid w:val="59F26D84"/>
    <w:rsid w:val="5A0B353B"/>
    <w:rsid w:val="5A376A6B"/>
    <w:rsid w:val="5AFB46D9"/>
    <w:rsid w:val="5B8B10A3"/>
    <w:rsid w:val="5BE84057"/>
    <w:rsid w:val="5C42534F"/>
    <w:rsid w:val="5D6E7FE8"/>
    <w:rsid w:val="5DE963D8"/>
    <w:rsid w:val="5E310498"/>
    <w:rsid w:val="5EE155D3"/>
    <w:rsid w:val="5EF455D8"/>
    <w:rsid w:val="5FAC49FB"/>
    <w:rsid w:val="60C610F9"/>
    <w:rsid w:val="61DE0AFC"/>
    <w:rsid w:val="625F15E5"/>
    <w:rsid w:val="62A964F7"/>
    <w:rsid w:val="63963E28"/>
    <w:rsid w:val="63CC1485"/>
    <w:rsid w:val="6420257D"/>
    <w:rsid w:val="658B403A"/>
    <w:rsid w:val="67527B6C"/>
    <w:rsid w:val="68451AAF"/>
    <w:rsid w:val="690D0CCA"/>
    <w:rsid w:val="69522FD3"/>
    <w:rsid w:val="69923CFB"/>
    <w:rsid w:val="6B372B75"/>
    <w:rsid w:val="6B4013F9"/>
    <w:rsid w:val="6B8605F4"/>
    <w:rsid w:val="6C32718C"/>
    <w:rsid w:val="6DBE6668"/>
    <w:rsid w:val="6E401453"/>
    <w:rsid w:val="6FCD684B"/>
    <w:rsid w:val="70340760"/>
    <w:rsid w:val="711D585E"/>
    <w:rsid w:val="72965E7A"/>
    <w:rsid w:val="731927C5"/>
    <w:rsid w:val="73366658"/>
    <w:rsid w:val="75800D25"/>
    <w:rsid w:val="75CC7FA2"/>
    <w:rsid w:val="761A6B08"/>
    <w:rsid w:val="763D788C"/>
    <w:rsid w:val="77654F47"/>
    <w:rsid w:val="792F796E"/>
    <w:rsid w:val="798F10CC"/>
    <w:rsid w:val="7AE21E7B"/>
    <w:rsid w:val="7B9A68D1"/>
    <w:rsid w:val="7BC04D73"/>
    <w:rsid w:val="7BDD0EA4"/>
    <w:rsid w:val="7CD01E6D"/>
    <w:rsid w:val="7D475DE2"/>
    <w:rsid w:val="7DB2735C"/>
    <w:rsid w:val="7DB75DAD"/>
    <w:rsid w:val="7E065469"/>
    <w:rsid w:val="7F1F715E"/>
    <w:rsid w:val="7F23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qFormat/>
    <w:uiPriority w:val="0"/>
    <w:pPr>
      <w:keepNext/>
      <w:keepLines/>
      <w:spacing w:before="240" w:after="64" w:line="320" w:lineRule="auto"/>
      <w:outlineLvl w:val="6"/>
    </w:pPr>
    <w:rPr>
      <w:b/>
      <w:sz w:val="24"/>
      <w:szCs w:val="20"/>
    </w:rPr>
  </w:style>
  <w:style w:type="paragraph" w:styleId="10">
    <w:name w:val="heading 8"/>
    <w:basedOn w:val="1"/>
    <w:next w:val="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78"/>
    <w:qFormat/>
    <w:uiPriority w:val="0"/>
    <w:pPr>
      <w:ind w:firstLine="420"/>
    </w:pPr>
    <w:rPr>
      <w:szCs w:val="20"/>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caption"/>
    <w:basedOn w:val="1"/>
    <w:next w:val="1"/>
    <w:link w:val="68"/>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80"/>
    <w:semiHidden/>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3"/>
    <w:qFormat/>
    <w:uiPriority w:val="0"/>
    <w:pPr>
      <w:ind w:firstLine="830" w:firstLineChars="352"/>
    </w:pPr>
    <w:rPr>
      <w:rFonts w:ascii="仿宋_GB2312" w:eastAsia="仿宋_GB2312"/>
      <w:sz w:val="32"/>
      <w:szCs w:val="20"/>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7"/>
    <w:qFormat/>
    <w:uiPriority w:val="0"/>
    <w:rPr>
      <w:rFonts w:ascii="宋体" w:hAnsi="Courier New" w:cs="Courier New"/>
      <w:szCs w:val="21"/>
    </w:rPr>
  </w:style>
  <w:style w:type="paragraph" w:styleId="23">
    <w:name w:val="toc 8"/>
    <w:basedOn w:val="1"/>
    <w:next w:val="1"/>
    <w:qFormat/>
    <w:uiPriority w:val="0"/>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qFormat/>
    <w:uiPriority w:val="0"/>
    <w:pPr>
      <w:spacing w:after="120" w:line="480" w:lineRule="auto"/>
      <w:ind w:left="420" w:leftChars="200"/>
    </w:pPr>
  </w:style>
  <w:style w:type="paragraph" w:styleId="27">
    <w:name w:val="Balloon Text"/>
    <w:basedOn w:val="1"/>
    <w:semiHidden/>
    <w:qFormat/>
    <w:uiPriority w:val="0"/>
    <w:rPr>
      <w:sz w:val="18"/>
      <w:szCs w:val="18"/>
    </w:rPr>
  </w:style>
  <w:style w:type="paragraph" w:styleId="28">
    <w:name w:val="footer"/>
    <w:basedOn w:val="1"/>
    <w:link w:val="66"/>
    <w:qFormat/>
    <w:uiPriority w:val="99"/>
    <w:pPr>
      <w:tabs>
        <w:tab w:val="center" w:pos="4153"/>
        <w:tab w:val="right" w:pos="8306"/>
      </w:tabs>
      <w:snapToGrid w:val="0"/>
      <w:jc w:val="left"/>
    </w:pPr>
    <w:rPr>
      <w:sz w:val="18"/>
      <w:szCs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trike/>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0"/>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0"/>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qFormat/>
    <w:uiPriority w:val="0"/>
    <w:pPr>
      <w:spacing w:before="240" w:after="60"/>
      <w:jc w:val="center"/>
      <w:outlineLvl w:val="0"/>
    </w:pPr>
    <w:rPr>
      <w:rFonts w:ascii="Arial" w:hAnsi="Arial" w:cs="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paragraph" w:styleId="42">
    <w:name w:val="Body Text First Indent 2"/>
    <w:basedOn w:val="19"/>
    <w:unhideWhenUsed/>
    <w:qFormat/>
    <w:uiPriority w:val="99"/>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FollowedHyperlink"/>
    <w:basedOn w:val="45"/>
    <w:qFormat/>
    <w:uiPriority w:val="0"/>
    <w:rPr>
      <w:color w:val="800080"/>
      <w:u w:val="single"/>
    </w:rPr>
  </w:style>
  <w:style w:type="character" w:styleId="49">
    <w:name w:val="Emphasis"/>
    <w:basedOn w:val="45"/>
    <w:qFormat/>
    <w:uiPriority w:val="0"/>
  </w:style>
  <w:style w:type="character" w:styleId="50">
    <w:name w:val="HTML Definition"/>
    <w:basedOn w:val="45"/>
    <w:qFormat/>
    <w:uiPriority w:val="0"/>
  </w:style>
  <w:style w:type="character" w:styleId="51">
    <w:name w:val="HTML Acronym"/>
    <w:basedOn w:val="45"/>
    <w:qFormat/>
    <w:uiPriority w:val="0"/>
  </w:style>
  <w:style w:type="character" w:styleId="52">
    <w:name w:val="HTML Variable"/>
    <w:basedOn w:val="45"/>
    <w:qFormat/>
    <w:uiPriority w:val="0"/>
  </w:style>
  <w:style w:type="character" w:styleId="53">
    <w:name w:val="Hyperlink"/>
    <w:basedOn w:val="45"/>
    <w:qFormat/>
    <w:uiPriority w:val="99"/>
    <w:rPr>
      <w:color w:val="0000FF"/>
      <w:u w:val="single"/>
    </w:rPr>
  </w:style>
  <w:style w:type="character" w:styleId="54">
    <w:name w:val="HTML Code"/>
    <w:basedOn w:val="45"/>
    <w:qFormat/>
    <w:uiPriority w:val="0"/>
    <w:rPr>
      <w:rFonts w:ascii="Courier New" w:hAnsi="Courier New"/>
      <w:sz w:val="20"/>
    </w:rPr>
  </w:style>
  <w:style w:type="character" w:styleId="55">
    <w:name w:val="annotation reference"/>
    <w:basedOn w:val="45"/>
    <w:semiHidden/>
    <w:qFormat/>
    <w:uiPriority w:val="0"/>
    <w:rPr>
      <w:sz w:val="21"/>
      <w:szCs w:val="21"/>
    </w:rPr>
  </w:style>
  <w:style w:type="character" w:styleId="56">
    <w:name w:val="HTML Cite"/>
    <w:basedOn w:val="45"/>
    <w:qFormat/>
    <w:uiPriority w:val="0"/>
  </w:style>
  <w:style w:type="character" w:customStyle="1" w:styleId="57">
    <w:name w:val="标题 2 Char"/>
    <w:basedOn w:val="45"/>
    <w:qFormat/>
    <w:uiPriority w:val="0"/>
    <w:rPr>
      <w:rFonts w:ascii="Arial" w:hAnsi="Arial" w:eastAsia="黑体"/>
      <w:b/>
      <w:bCs/>
      <w:kern w:val="2"/>
      <w:sz w:val="32"/>
      <w:szCs w:val="32"/>
      <w:lang w:val="en-US" w:eastAsia="zh-CN" w:bidi="ar-SA"/>
    </w:rPr>
  </w:style>
  <w:style w:type="character" w:customStyle="1" w:styleId="58">
    <w:name w:val="font1"/>
    <w:basedOn w:val="45"/>
    <w:qFormat/>
    <w:uiPriority w:val="0"/>
    <w:rPr>
      <w:sz w:val="18"/>
      <w:szCs w:val="18"/>
      <w:u w:val="none"/>
    </w:rPr>
  </w:style>
  <w:style w:type="character" w:customStyle="1" w:styleId="59">
    <w:name w:val="nine-11"/>
    <w:basedOn w:val="45"/>
    <w:qFormat/>
    <w:uiPriority w:val="0"/>
    <w:rPr>
      <w:rFonts w:hint="default"/>
      <w:sz w:val="18"/>
      <w:szCs w:val="18"/>
    </w:rPr>
  </w:style>
  <w:style w:type="character" w:customStyle="1" w:styleId="60">
    <w:name w:val="mark8"/>
    <w:basedOn w:val="45"/>
    <w:qFormat/>
    <w:uiPriority w:val="0"/>
    <w:rPr>
      <w:b/>
      <w:bCs/>
      <w:sz w:val="21"/>
      <w:szCs w:val="21"/>
    </w:rPr>
  </w:style>
  <w:style w:type="character" w:customStyle="1" w:styleId="61">
    <w:name w:val="列出段落 Char"/>
    <w:link w:val="62"/>
    <w:qFormat/>
    <w:uiPriority w:val="0"/>
    <w:rPr>
      <w:rFonts w:ascii="Calibri" w:hAnsi="Calibri"/>
      <w:kern w:val="2"/>
      <w:sz w:val="21"/>
      <w:szCs w:val="22"/>
    </w:rPr>
  </w:style>
  <w:style w:type="paragraph" w:styleId="62">
    <w:name w:val="List Paragraph"/>
    <w:basedOn w:val="1"/>
    <w:link w:val="61"/>
    <w:qFormat/>
    <w:uiPriority w:val="0"/>
    <w:pPr>
      <w:ind w:firstLine="420" w:firstLineChars="200"/>
    </w:pPr>
    <w:rPr>
      <w:rFonts w:ascii="Calibri" w:hAnsi="Calibri"/>
      <w:szCs w:val="22"/>
    </w:rPr>
  </w:style>
  <w:style w:type="character" w:customStyle="1" w:styleId="63">
    <w:name w:val="正文文本缩进 Char"/>
    <w:basedOn w:val="45"/>
    <w:link w:val="19"/>
    <w:qFormat/>
    <w:uiPriority w:val="0"/>
    <w:rPr>
      <w:rFonts w:ascii="仿宋_GB2312" w:eastAsia="仿宋_GB2312"/>
      <w:kern w:val="2"/>
      <w:sz w:val="32"/>
    </w:rPr>
  </w:style>
  <w:style w:type="character" w:customStyle="1" w:styleId="64">
    <w:name w:val="xl25 Char"/>
    <w:basedOn w:val="45"/>
    <w:link w:val="65"/>
    <w:qFormat/>
    <w:uiPriority w:val="0"/>
    <w:rPr>
      <w:rFonts w:ascii="宋体" w:hAnsi="宋体" w:eastAsia="宋体"/>
      <w:sz w:val="21"/>
      <w:szCs w:val="21"/>
      <w:lang w:val="en-US" w:eastAsia="zh-CN" w:bidi="ar-SA"/>
    </w:rPr>
  </w:style>
  <w:style w:type="paragraph" w:customStyle="1" w:styleId="65">
    <w:name w:val="xl25"/>
    <w:basedOn w:val="1"/>
    <w:link w:val="64"/>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6">
    <w:name w:val="页脚 Char"/>
    <w:basedOn w:val="45"/>
    <w:link w:val="28"/>
    <w:qFormat/>
    <w:uiPriority w:val="99"/>
    <w:rPr>
      <w:rFonts w:eastAsia="宋体"/>
      <w:kern w:val="2"/>
      <w:sz w:val="18"/>
      <w:szCs w:val="18"/>
      <w:lang w:val="en-US" w:eastAsia="zh-CN" w:bidi="ar-SA"/>
    </w:rPr>
  </w:style>
  <w:style w:type="character" w:customStyle="1" w:styleId="67">
    <w:name w:val="纯文本 Char"/>
    <w:basedOn w:val="45"/>
    <w:link w:val="22"/>
    <w:qFormat/>
    <w:uiPriority w:val="0"/>
    <w:rPr>
      <w:rFonts w:ascii="宋体" w:hAnsi="Courier New" w:eastAsia="宋体" w:cs="Courier New"/>
      <w:kern w:val="2"/>
      <w:sz w:val="21"/>
      <w:szCs w:val="21"/>
      <w:lang w:val="en-US" w:eastAsia="zh-CN" w:bidi="ar-SA"/>
    </w:rPr>
  </w:style>
  <w:style w:type="character" w:customStyle="1" w:styleId="68">
    <w:name w:val="题注 Char"/>
    <w:link w:val="13"/>
    <w:qFormat/>
    <w:uiPriority w:val="0"/>
    <w:rPr>
      <w:rFonts w:ascii="Arial" w:hAnsi="Arial" w:eastAsia="黑体" w:cs="Arial"/>
      <w:kern w:val="2"/>
    </w:rPr>
  </w:style>
  <w:style w:type="character" w:customStyle="1" w:styleId="69">
    <w:name w:val="mark"/>
    <w:basedOn w:val="45"/>
    <w:qFormat/>
    <w:uiPriority w:val="0"/>
  </w:style>
  <w:style w:type="character" w:customStyle="1" w:styleId="70">
    <w:name w:val="标题 3 Char"/>
    <w:basedOn w:val="45"/>
    <w:link w:val="5"/>
    <w:qFormat/>
    <w:uiPriority w:val="0"/>
    <w:rPr>
      <w:rFonts w:eastAsia="宋体"/>
      <w:b/>
      <w:bCs/>
      <w:kern w:val="2"/>
      <w:sz w:val="32"/>
      <w:szCs w:val="32"/>
      <w:lang w:val="en-US" w:eastAsia="zh-CN" w:bidi="ar-SA"/>
    </w:rPr>
  </w:style>
  <w:style w:type="character" w:customStyle="1" w:styleId="71">
    <w:name w:val="正文 A Char Char"/>
    <w:link w:val="72"/>
    <w:qFormat/>
    <w:uiPriority w:val="0"/>
    <w:rPr>
      <w:rFonts w:ascii="仿宋_GB2312" w:hAnsi="Heiti SC Light" w:eastAsia="仿宋_GB2312"/>
      <w:kern w:val="2"/>
      <w:sz w:val="24"/>
      <w:lang w:val="en-US" w:eastAsia="zh-CN" w:bidi="ar-SA"/>
    </w:rPr>
  </w:style>
  <w:style w:type="paragraph" w:customStyle="1" w:styleId="72">
    <w:name w:val="正文 A"/>
    <w:link w:val="7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3">
    <w:name w:val="Char Char3"/>
    <w:basedOn w:val="45"/>
    <w:qFormat/>
    <w:uiPriority w:val="0"/>
    <w:rPr>
      <w:rFonts w:eastAsia="宋体"/>
      <w:kern w:val="2"/>
      <w:sz w:val="18"/>
      <w:lang w:val="en-US" w:eastAsia="zh-CN" w:bidi="ar-SA"/>
    </w:rPr>
  </w:style>
  <w:style w:type="character" w:customStyle="1" w:styleId="74">
    <w:name w:val="正文缩进 Char2"/>
    <w:basedOn w:val="45"/>
    <w:link w:val="75"/>
    <w:qFormat/>
    <w:uiPriority w:val="0"/>
    <w:rPr>
      <w:rFonts w:eastAsia="宋体"/>
      <w:szCs w:val="24"/>
      <w:lang w:bidi="ar-SA"/>
    </w:rPr>
  </w:style>
  <w:style w:type="paragraph" w:customStyle="1" w:styleId="75">
    <w:name w:val="正文缩进1"/>
    <w:basedOn w:val="1"/>
    <w:link w:val="74"/>
    <w:qFormat/>
    <w:uiPriority w:val="0"/>
    <w:pPr>
      <w:ind w:firstLine="420" w:firstLineChars="200"/>
    </w:pPr>
    <w:rPr>
      <w:kern w:val="0"/>
      <w:sz w:val="20"/>
    </w:rPr>
  </w:style>
  <w:style w:type="character" w:customStyle="1" w:styleId="76">
    <w:name w:val="Char Char8"/>
    <w:basedOn w:val="45"/>
    <w:qFormat/>
    <w:uiPriority w:val="0"/>
    <w:rPr>
      <w:rFonts w:ascii="宋体" w:hAnsi="Courier New" w:eastAsia="宋体"/>
      <w:kern w:val="2"/>
      <w:sz w:val="21"/>
      <w:lang w:val="en-US" w:eastAsia="zh-CN" w:bidi="ar-SA"/>
    </w:rPr>
  </w:style>
  <w:style w:type="character" w:customStyle="1" w:styleId="77">
    <w:name w:val="Char Char10"/>
    <w:basedOn w:val="45"/>
    <w:qFormat/>
    <w:uiPriority w:val="0"/>
    <w:rPr>
      <w:rFonts w:eastAsia="宋体"/>
      <w:kern w:val="2"/>
      <w:sz w:val="18"/>
      <w:szCs w:val="18"/>
      <w:lang w:val="en-US" w:eastAsia="zh-CN" w:bidi="ar-SA"/>
    </w:rPr>
  </w:style>
  <w:style w:type="character" w:customStyle="1" w:styleId="78">
    <w:name w:val="正文缩进 Char"/>
    <w:basedOn w:val="45"/>
    <w:link w:val="2"/>
    <w:qFormat/>
    <w:uiPriority w:val="0"/>
    <w:rPr>
      <w:rFonts w:eastAsia="宋体"/>
      <w:kern w:val="2"/>
      <w:sz w:val="21"/>
      <w:lang w:val="en-US" w:eastAsia="zh-CN" w:bidi="ar-SA"/>
    </w:rPr>
  </w:style>
  <w:style w:type="character" w:customStyle="1" w:styleId="79">
    <w:name w:val="页眉 Char"/>
    <w:basedOn w:val="45"/>
    <w:link w:val="29"/>
    <w:qFormat/>
    <w:uiPriority w:val="99"/>
    <w:rPr>
      <w:strike/>
      <w:kern w:val="2"/>
      <w:sz w:val="18"/>
      <w:szCs w:val="18"/>
    </w:rPr>
  </w:style>
  <w:style w:type="character" w:customStyle="1" w:styleId="80">
    <w:name w:val="批注文字 Char"/>
    <w:basedOn w:val="45"/>
    <w:link w:val="16"/>
    <w:semiHidden/>
    <w:qFormat/>
    <w:uiPriority w:val="0"/>
    <w:rPr>
      <w:kern w:val="2"/>
      <w:sz w:val="21"/>
      <w:szCs w:val="24"/>
    </w:rPr>
  </w:style>
  <w:style w:type="paragraph" w:customStyle="1" w:styleId="8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2">
    <w:name w:val="Char Char3 Char Char"/>
    <w:basedOn w:val="1"/>
    <w:qFormat/>
    <w:uiPriority w:val="0"/>
    <w:pPr>
      <w:spacing w:line="360" w:lineRule="auto"/>
      <w:ind w:firstLine="200" w:firstLineChars="200"/>
    </w:pPr>
    <w:rPr>
      <w:rFonts w:ascii="宋体" w:hAnsi="宋体" w:cs="宋体"/>
      <w:sz w:val="24"/>
    </w:rPr>
  </w:style>
  <w:style w:type="paragraph" w:customStyle="1" w:styleId="83">
    <w:name w:val="办公自动化专用标题"/>
    <w:basedOn w:val="39"/>
    <w:qFormat/>
    <w:uiPriority w:val="0"/>
    <w:pPr>
      <w:spacing w:line="560" w:lineRule="atLeast"/>
    </w:pPr>
    <w:rPr>
      <w:rFonts w:ascii="宋体" w:cs="Times New Roman"/>
      <w:bCs w:val="0"/>
      <w:sz w:val="44"/>
      <w:szCs w:val="20"/>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Char Char Char Char Char Char Char Char Char"/>
    <w:basedOn w:val="1"/>
    <w:qFormat/>
    <w:uiPriority w:val="0"/>
    <w:rPr>
      <w:sz w:val="28"/>
    </w:rPr>
  </w:style>
  <w:style w:type="paragraph" w:customStyle="1" w:styleId="86">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7">
    <w:name w:val="Char Char Char Char Char Char Char"/>
    <w:basedOn w:val="1"/>
    <w:qFormat/>
    <w:uiPriority w:val="0"/>
    <w:pPr>
      <w:tabs>
        <w:tab w:val="left" w:pos="425"/>
      </w:tabs>
      <w:ind w:left="425" w:hanging="425"/>
    </w:pPr>
    <w:rPr>
      <w:rFonts w:eastAsia="仿宋_GB2312"/>
      <w:kern w:val="24"/>
      <w:sz w:val="24"/>
    </w:rPr>
  </w:style>
  <w:style w:type="paragraph" w:customStyle="1" w:styleId="88">
    <w:name w:val="p0"/>
    <w:basedOn w:val="1"/>
    <w:qFormat/>
    <w:uiPriority w:val="0"/>
    <w:pPr>
      <w:widowControl/>
    </w:pPr>
    <w:rPr>
      <w:kern w:val="0"/>
      <w:szCs w:val="21"/>
    </w:rPr>
  </w:style>
  <w:style w:type="paragraph" w:customStyle="1" w:styleId="8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1">
    <w:name w:val="Char3"/>
    <w:basedOn w:val="1"/>
    <w:qFormat/>
    <w:uiPriority w:val="0"/>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正文段落"/>
    <w:basedOn w:val="1"/>
    <w:qFormat/>
    <w:uiPriority w:val="0"/>
    <w:pPr>
      <w:widowControl/>
      <w:spacing w:after="40" w:line="360" w:lineRule="auto"/>
      <w:ind w:firstLine="200" w:firstLineChars="200"/>
    </w:pPr>
    <w:rPr>
      <w:kern w:val="0"/>
      <w:sz w:val="24"/>
    </w:rPr>
  </w:style>
  <w:style w:type="paragraph" w:customStyle="1" w:styleId="94">
    <w:name w:val="默认段落字体 Para Char"/>
    <w:basedOn w:val="1"/>
    <w:qFormat/>
    <w:uiPriority w:val="0"/>
    <w:rPr>
      <w:rFonts w:ascii="宋体" w:hAnsi="宋体"/>
      <w:b/>
      <w:sz w:val="28"/>
      <w:szCs w:val="28"/>
    </w:rPr>
  </w:style>
  <w:style w:type="paragraph" w:customStyle="1" w:styleId="95">
    <w:name w:val="题注5"/>
    <w:basedOn w:val="1"/>
    <w:next w:val="13"/>
    <w:qFormat/>
    <w:uiPriority w:val="0"/>
    <w:pPr>
      <w:jc w:val="center"/>
    </w:pPr>
    <w:rPr>
      <w:b/>
      <w:color w:val="000000"/>
      <w:sz w:val="24"/>
      <w:szCs w:val="21"/>
    </w:rPr>
  </w:style>
  <w:style w:type="paragraph" w:customStyle="1" w:styleId="9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7">
    <w:name w:val="Char Char"/>
    <w:basedOn w:val="1"/>
    <w:qFormat/>
    <w:uiPriority w:val="0"/>
    <w:rPr>
      <w:rFonts w:ascii="宋体" w:hAnsi="宋体"/>
      <w:b/>
      <w:sz w:val="28"/>
      <w:szCs w:val="28"/>
    </w:rPr>
  </w:style>
  <w:style w:type="paragraph" w:customStyle="1" w:styleId="98">
    <w:name w:val="题注4"/>
    <w:basedOn w:val="1"/>
    <w:next w:val="13"/>
    <w:qFormat/>
    <w:uiPriority w:val="0"/>
    <w:pPr>
      <w:ind w:left="-132" w:leftChars="-64" w:right="-105" w:rightChars="-50" w:hanging="2"/>
      <w:jc w:val="center"/>
    </w:pPr>
    <w:rPr>
      <w:b/>
      <w:color w:val="FF0000"/>
      <w:szCs w:val="21"/>
      <w:lang w:val="en-GB"/>
    </w:rPr>
  </w:style>
  <w:style w:type="paragraph" w:customStyle="1" w:styleId="99">
    <w:name w:val="字元 字元"/>
    <w:basedOn w:val="1"/>
    <w:qFormat/>
    <w:uiPriority w:val="0"/>
    <w:pPr>
      <w:spacing w:line="360" w:lineRule="auto"/>
      <w:ind w:firstLine="200" w:firstLineChars="200"/>
    </w:pPr>
    <w:rPr>
      <w:rFonts w:ascii="宋体" w:hAnsi="宋体" w:cs="宋体"/>
      <w:sz w:val="24"/>
    </w:rPr>
  </w:style>
  <w:style w:type="paragraph" w:customStyle="1" w:styleId="10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6"/>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4"/>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3"/>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5"/>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5"/>
    <w:qFormat/>
    <w:uiPriority w:val="0"/>
  </w:style>
  <w:style w:type="character" w:customStyle="1" w:styleId="143">
    <w:name w:val="hover24"/>
    <w:basedOn w:val="45"/>
    <w:qFormat/>
    <w:uiPriority w:val="0"/>
  </w:style>
  <w:style w:type="character" w:customStyle="1" w:styleId="144">
    <w:name w:val="hover25"/>
    <w:basedOn w:val="45"/>
    <w:qFormat/>
    <w:uiPriority w:val="0"/>
    <w:rPr>
      <w:shd w:val="clear" w:color="auto" w:fill="F6F6F6"/>
    </w:rPr>
  </w:style>
  <w:style w:type="character" w:customStyle="1" w:styleId="145">
    <w:name w:val="hover26"/>
    <w:basedOn w:val="45"/>
    <w:qFormat/>
    <w:uiPriority w:val="0"/>
    <w:rPr>
      <w:color w:val="3C88FF"/>
    </w:rPr>
  </w:style>
  <w:style w:type="character" w:customStyle="1" w:styleId="146">
    <w:name w:val="first-child"/>
    <w:basedOn w:val="45"/>
    <w:qFormat/>
    <w:uiPriority w:val="0"/>
    <w:rPr>
      <w:color w:val="FFA800"/>
    </w:rPr>
  </w:style>
  <w:style w:type="character" w:customStyle="1" w:styleId="147">
    <w:name w:val="index-name-935ff1"/>
    <w:basedOn w:val="45"/>
    <w:qFormat/>
    <w:uiPriority w:val="0"/>
    <w:rPr>
      <w:sz w:val="24"/>
      <w:szCs w:val="24"/>
    </w:rPr>
  </w:style>
  <w:style w:type="character" w:customStyle="1" w:styleId="148">
    <w:name w:val="index-disable-b2173"/>
    <w:basedOn w:val="45"/>
    <w:qFormat/>
    <w:uiPriority w:val="0"/>
  </w:style>
  <w:style w:type="character" w:customStyle="1" w:styleId="149">
    <w:name w:val="nth-child(2)"/>
    <w:basedOn w:val="45"/>
    <w:qFormat/>
    <w:uiPriority w:val="0"/>
  </w:style>
  <w:style w:type="character" w:customStyle="1" w:styleId="150">
    <w:name w:val="text"/>
    <w:basedOn w:val="45"/>
    <w:qFormat/>
    <w:uiPriority w:val="0"/>
    <w:rPr>
      <w:color w:val="666666"/>
    </w:rPr>
  </w:style>
  <w:style w:type="character" w:customStyle="1" w:styleId="151">
    <w:name w:val="text1"/>
    <w:basedOn w:val="45"/>
    <w:qFormat/>
    <w:uiPriority w:val="0"/>
    <w:rPr>
      <w:color w:val="666666"/>
    </w:rPr>
  </w:style>
  <w:style w:type="character" w:customStyle="1" w:styleId="152">
    <w:name w:val="back"/>
    <w:basedOn w:val="45"/>
    <w:qFormat/>
    <w:uiPriority w:val="0"/>
    <w:rPr>
      <w:shd w:val="clear" w:color="auto" w:fill="111111"/>
    </w:rPr>
  </w:style>
  <w:style w:type="character" w:customStyle="1" w:styleId="153">
    <w:name w:val="back1"/>
    <w:basedOn w:val="45"/>
    <w:qFormat/>
    <w:uiPriority w:val="0"/>
    <w:rPr>
      <w:shd w:val="clear" w:color="auto" w:fill="111111"/>
    </w:rPr>
  </w:style>
  <w:style w:type="character" w:customStyle="1" w:styleId="154">
    <w:name w:val="nth-child(1)1"/>
    <w:basedOn w:val="45"/>
    <w:qFormat/>
    <w:uiPriority w:val="0"/>
  </w:style>
  <w:style w:type="character" w:customStyle="1" w:styleId="155">
    <w:name w:val="index-name-935ff"/>
    <w:basedOn w:val="45"/>
    <w:qFormat/>
    <w:uiPriority w:val="0"/>
    <w:rPr>
      <w:sz w:val="24"/>
      <w:szCs w:val="24"/>
    </w:rPr>
  </w:style>
  <w:style w:type="character" w:customStyle="1" w:styleId="156">
    <w:name w:val="rili11"/>
    <w:qFormat/>
    <w:uiPriority w:val="99"/>
    <w:rPr>
      <w:sz w:val="21"/>
    </w:rPr>
  </w:style>
  <w:style w:type="paragraph" w:customStyle="1" w:styleId="157">
    <w:name w:val="Table Paragraph"/>
    <w:basedOn w:val="1"/>
    <w:qFormat/>
    <w:uiPriority w:val="1"/>
  </w:style>
  <w:style w:type="paragraph" w:customStyle="1" w:styleId="158">
    <w:name w:val="Heading 3"/>
    <w:basedOn w:val="1"/>
    <w:qFormat/>
    <w:uiPriority w:val="1"/>
    <w:pPr>
      <w:ind w:left="280"/>
      <w:outlineLvl w:val="3"/>
    </w:pPr>
    <w:rPr>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3605</Words>
  <Characters>20550</Characters>
  <Lines>171</Lines>
  <Paragraphs>48</Paragraphs>
  <TotalTime>1</TotalTime>
  <ScaleCrop>false</ScaleCrop>
  <LinksUpToDate>false</LinksUpToDate>
  <CharactersWithSpaces>24107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Administrator</cp:lastModifiedBy>
  <cp:lastPrinted>2021-07-02T03:20:00Z</cp:lastPrinted>
  <dcterms:modified xsi:type="dcterms:W3CDTF">2021-12-23T10:12:13Z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627329B4981F4C0DBFE80258EC864D34</vt:lpwstr>
  </property>
</Properties>
</file>