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hAnsi="宋体"/>
          <w:bCs/>
          <w:color w:val="000000" w:themeColor="text1"/>
          <w:sz w:val="32"/>
          <w:highlight w:val="none"/>
          <w14:textFill>
            <w14:solidFill>
              <w14:schemeClr w14:val="tx1"/>
            </w14:solidFill>
          </w14:textFill>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3"/>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3"/>
        <w:tblW w:w="7846" w:type="dxa"/>
        <w:jc w:val="center"/>
        <w:tblLayout w:type="fixed"/>
        <w:tblCellMar>
          <w:top w:w="0" w:type="dxa"/>
          <w:left w:w="108" w:type="dxa"/>
          <w:bottom w:w="0" w:type="dxa"/>
          <w:right w:w="108" w:type="dxa"/>
        </w:tblCellMar>
      </w:tblPr>
      <w:tblGrid>
        <w:gridCol w:w="1951"/>
        <w:gridCol w:w="284"/>
        <w:gridCol w:w="5611"/>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pPr>
              <w:pStyle w:val="23"/>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YXCG-20211209</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武警基层营区厨房新增监控摄像机采购项目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中国人民武装警察部队阳江支队</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11"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3"/>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3"/>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w:t>
      </w:r>
      <w:r>
        <w:rPr>
          <w:rFonts w:hint="eastAsia" w:hAnsi="宋体"/>
          <w:b/>
          <w:bCs/>
          <w:color w:val="000000" w:themeColor="text1"/>
          <w:sz w:val="24"/>
          <w:szCs w:val="24"/>
          <w:highlight w:val="none"/>
          <w14:textFill>
            <w14:solidFill>
              <w14:schemeClr w14:val="tx1"/>
            </w14:solidFill>
          </w14:textFill>
        </w:rPr>
        <w:t>一年</w:t>
      </w:r>
      <w:r>
        <w:rPr>
          <w:rFonts w:hint="eastAsia" w:hAnsi="宋体"/>
          <w:b/>
          <w:bCs/>
          <w:color w:val="000000" w:themeColor="text1"/>
          <w:sz w:val="24"/>
          <w:szCs w:val="24"/>
          <w:highlight w:val="none"/>
          <w:lang w:val="en-US" w:eastAsia="zh-CN"/>
          <w14:textFill>
            <w14:solidFill>
              <w14:schemeClr w14:val="tx1"/>
            </w14:solidFill>
          </w14:textFill>
        </w:rPr>
        <w:t>十二</w:t>
      </w:r>
      <w:r>
        <w:rPr>
          <w:rFonts w:hint="eastAsia" w:hAnsi="宋体"/>
          <w:b/>
          <w:bCs/>
          <w:color w:val="000000" w:themeColor="text1"/>
          <w:sz w:val="24"/>
          <w:szCs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w:t>
      </w:r>
      <w:r>
        <w:rPr>
          <w:rFonts w:hint="eastAsia" w:ascii="宋体" w:hAnsi="宋体"/>
          <w:color w:val="000000" w:themeColor="text1"/>
          <w:szCs w:val="21"/>
          <w:highlight w:val="none"/>
          <w14:textFill>
            <w14:solidFill>
              <w14:schemeClr w14:val="tx1"/>
            </w14:solidFill>
          </w14:textFill>
        </w:rPr>
        <w:t>要求的除外）。</w:t>
      </w:r>
    </w:p>
    <w:p>
      <w:pPr>
        <w:pStyle w:val="23"/>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3"/>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985" w:right="1474" w:bottom="1418" w:left="1474" w:header="851" w:footer="851" w:gutter="0"/>
          <w:cols w:space="720" w:num="1"/>
          <w:titlePg/>
          <w:docGrid w:linePitch="380" w:charSpace="-5735"/>
        </w:sectPr>
      </w:pPr>
    </w:p>
    <w:p>
      <w:pPr>
        <w:pStyle w:val="37"/>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_Toc26356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_Toc15739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YXCG-20211209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武警基层营区厨房新增监控摄像机采购项目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_Toc20451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_Toc4987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_Toc19596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_Toc26398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_Toc32717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_Toc22634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_Toc24676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_Toc31333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_Toc30382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_Toc14989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_Toc26962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_Toc17994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_Toc9577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_Toc14629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_Toc25727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_Toc31871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_Toc21001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_Toc19154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_Toc9046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_Toc17601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_Toc28217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_Toc5670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_Toc28595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_Toc21436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_Toc27987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_Toc11682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rFonts w:ascii="宋体"/>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452826425"/>
      <w:bookmarkStart w:id="1" w:name="_Toc26356"/>
      <w:bookmarkStart w:id="2" w:name="_Toc351987964"/>
      <w:bookmarkStart w:id="3" w:name="_Toc369180022"/>
      <w:bookmarkStart w:id="4" w:name="_Toc357151175"/>
      <w:bookmarkStart w:id="5" w:name="_Toc351990145"/>
      <w:bookmarkStart w:id="6" w:name="_Toc351987768"/>
      <w:bookmarkStart w:id="7" w:name="_Toc351988709"/>
      <w:bookmarkStart w:id="8" w:name="_Toc353522392"/>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广东业信采购招标有限公司受</w:t>
      </w:r>
      <w:r>
        <w:rPr>
          <w:rFonts w:hint="eastAsia" w:ascii="宋体" w:hAnsi="宋体"/>
          <w:color w:val="000000" w:themeColor="text1"/>
          <w:szCs w:val="21"/>
          <w:highlight w:val="none"/>
          <w:u w:val="single"/>
          <w:lang w:eastAsia="zh-CN"/>
          <w14:textFill>
            <w14:solidFill>
              <w14:schemeClr w14:val="tx1"/>
            </w14:solidFill>
          </w14:textFill>
        </w:rPr>
        <w:t>中国人民武装警察部队阳江支队</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武警基层营区厨房新增监控摄像机采购项目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2.投标人须是中华人民共和国境内合法注册，能独立承担民事责任并具有相关经营范围的组织；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YXCG-20211209</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武警基层营区厨房新增监控摄像机采购项目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3．采购预算：人民币84790</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元（超出该上限的报价将作为无效报价处理）。</w:t>
      </w:r>
      <w:bookmarkStart w:id="258" w:name="_GoBack"/>
      <w:bookmarkEnd w:id="258"/>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合同签订后10天内完成。</w:t>
      </w:r>
      <w:r>
        <w:rPr>
          <w:rFonts w:hint="eastAsia" w:ascii="宋体" w:hAnsi="宋体"/>
          <w:color w:val="000000" w:themeColor="text1"/>
          <w:highlight w:val="none"/>
          <w14:textFill>
            <w14:solidFill>
              <w14:schemeClr w14:val="tx1"/>
            </w14:solidFill>
          </w14:textFill>
        </w:rPr>
        <w:t>（包括供货、安装调试，超出该</w:t>
      </w:r>
      <w:r>
        <w:rPr>
          <w:rFonts w:hint="eastAsia" w:ascii="宋体" w:hAnsi="宋体"/>
          <w:color w:val="000000" w:themeColor="text1"/>
          <w:highlight w:val="none"/>
          <w:lang w:eastAsia="zh-CN"/>
          <w14:textFill>
            <w14:solidFill>
              <w14:schemeClr w14:val="tx1"/>
            </w14:solidFill>
          </w14:textFill>
        </w:rPr>
        <w:t>完工期</w:t>
      </w:r>
      <w:r>
        <w:rPr>
          <w:rFonts w:hint="eastAsia" w:ascii="宋体" w:hAnsi="宋体"/>
          <w:color w:val="000000" w:themeColor="text1"/>
          <w:highlight w:val="none"/>
          <w14:textFill>
            <w14:solidFill>
              <w14:schemeClr w14:val="tx1"/>
            </w14:solidFill>
          </w14:textFill>
        </w:rPr>
        <w:t>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2021年12月15日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2021年12月15日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205</w:t>
      </w:r>
      <w:r>
        <w:rPr>
          <w:rFonts w:hint="eastAsia" w:ascii="宋体" w:hAnsi="宋体"/>
          <w:color w:val="000000" w:themeColor="text1"/>
          <w:szCs w:val="21"/>
          <w:highlight w:val="none"/>
          <w14:textFill>
            <w14:solidFill>
              <w14:schemeClr w14:val="tx1"/>
            </w14:solidFill>
          </w14:textFill>
        </w:rPr>
        <w:t>室。</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"http://www.yjgpc.gov.cn/"</w:instrText>
      </w:r>
      <w:r>
        <w:rPr>
          <w:color w:val="000000" w:themeColor="text1"/>
          <w:highlight w:val="none"/>
          <w14:textFill>
            <w14:solidFill>
              <w14:schemeClr w14:val="tx1"/>
            </w14:solidFill>
          </w14:textFill>
        </w:rPr>
        <w:fldChar w:fldCharType="separate"/>
      </w:r>
      <w:r>
        <w:rPr>
          <w:rStyle w:val="48"/>
          <w:color w:val="000000" w:themeColor="text1"/>
          <w:highlight w:val="none"/>
          <w14:textFill>
            <w14:solidFill>
              <w14:schemeClr w14:val="tx1"/>
            </w14:solidFill>
          </w14:textFill>
        </w:rPr>
        <w:t>http://www.yjcg.cc</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48"/>
          <w:rFonts w:hint="eastAsia" w:ascii="宋体" w:hAnsi="宋体"/>
          <w:bCs/>
          <w:color w:val="000000" w:themeColor="text1"/>
          <w:szCs w:val="21"/>
          <w:highlight w:val="none"/>
          <w14:textFill>
            <w14:solidFill>
              <w14:schemeClr w14:val="tx1"/>
            </w14:solidFill>
          </w14:textFill>
        </w:rPr>
        <w:t>政府采购资料</w:t>
      </w:r>
      <w:r>
        <w:rPr>
          <w:rStyle w:val="48"/>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2021年12月17日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:30-1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w:t>
      </w:r>
      <w:r>
        <w:rPr>
          <w:rFonts w:hint="eastAsia" w:ascii="宋体" w:hAnsi="宋体" w:cs="Tahoma"/>
          <w:color w:val="000000" w:themeColor="text1"/>
          <w:highlight w:val="none"/>
          <w14:textFill>
            <w14:solidFill>
              <w14:schemeClr w14:val="tx1"/>
            </w14:solidFill>
          </w14:textFill>
        </w:rPr>
        <w:t>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2021年12月17日</w:t>
      </w: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2021年12月17日</w:t>
      </w:r>
      <w:r>
        <w:rPr>
          <w:rFonts w:hint="eastAsia" w:ascii="宋体" w:hAnsi="宋体" w:cs="宋体"/>
          <w:color w:val="000000" w:themeColor="text1"/>
          <w:kern w:val="0"/>
          <w:szCs w:val="21"/>
          <w:highlight w:val="none"/>
          <w14:textFill>
            <w14:solidFill>
              <w14:schemeClr w14:val="tx1"/>
            </w14:solidFill>
          </w14:textFill>
        </w:rPr>
        <w:t> 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中国人民武装警察部队阳江支队</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eastAsia="zh-CN"/>
          <w14:textFill>
            <w14:solidFill>
              <w14:schemeClr w14:val="tx1"/>
            </w14:solidFill>
          </w14:textFill>
        </w:rPr>
        <w:t>伍玉明</w:t>
      </w:r>
    </w:p>
    <w:p>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val="en-US" w:eastAsia="zh-CN"/>
          <w14:textFill>
            <w14:solidFill>
              <w14:schemeClr w14:val="tx1"/>
            </w14:solidFill>
          </w14:textFill>
        </w:rPr>
        <w:t>18933899556</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名  称：广东业信采购招标有限公司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9" w:name="_Toc351987959"/>
      <w:bookmarkStart w:id="10" w:name="_Toc357151163"/>
      <w:bookmarkStart w:id="11" w:name="_Toc351988704"/>
      <w:bookmarkStart w:id="12" w:name="_Toc351990140"/>
      <w:bookmarkStart w:id="13" w:name="_Toc351985908"/>
      <w:bookmarkStart w:id="14" w:name="_Toc353522387"/>
      <w:bookmarkStart w:id="15" w:name="_Toc351986013"/>
      <w:bookmarkStart w:id="16" w:name="_Toc369180017"/>
      <w:bookmarkStart w:id="17" w:name="_Toc351986193"/>
      <w:bookmarkStart w:id="18" w:name="_Toc329242667"/>
      <w:bookmarkStart w:id="19" w:name="_Toc351987763"/>
    </w:p>
    <w:p>
      <w:pPr>
        <w:spacing w:line="360" w:lineRule="auto"/>
        <w:ind w:firstLine="3255" w:firstLineChars="1550"/>
        <w:jc w:val="right"/>
        <w:rPr>
          <w:rFonts w:hint="eastAsia" w:ascii="宋体" w:hAnsi="宋体"/>
          <w:color w:val="000000" w:themeColor="text1"/>
          <w:szCs w:val="21"/>
          <w:highlight w:val="none"/>
          <w14:textFill>
            <w14:solidFill>
              <w14:schemeClr w14:val="tx1"/>
            </w14:solidFill>
          </w14:textFill>
        </w:rPr>
      </w:pPr>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2021年12月10日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452826426"/>
      <w:bookmarkStart w:id="21" w:name="_Toc31271"/>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1987764"/>
      <w:bookmarkStart w:id="24" w:name="_Toc351986194"/>
      <w:bookmarkStart w:id="25" w:name="_Toc452826427"/>
      <w:bookmarkStart w:id="26" w:name="_Toc351990141"/>
      <w:bookmarkStart w:id="27" w:name="_Toc351988705"/>
      <w:bookmarkStart w:id="28" w:name="_Toc329242668"/>
      <w:bookmarkStart w:id="29" w:name="_Toc351987960"/>
      <w:bookmarkStart w:id="30" w:name="_Toc353522388"/>
      <w:bookmarkStart w:id="31" w:name="_Toc369180018"/>
      <w:bookmarkStart w:id="32" w:name="_Toc351986014"/>
      <w:bookmarkStart w:id="33" w:name="_Toc357151164"/>
      <w:bookmarkStart w:id="34" w:name="_Toc351985909"/>
      <w:bookmarkStart w:id="35" w:name="_Toc15739"/>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14:textFill>
            <w14:solidFill>
              <w14:schemeClr w14:val="tx1"/>
            </w14:solidFill>
          </w14:textFill>
        </w:rPr>
        <w:t>YXCG-20211209</w:t>
      </w:r>
      <w:bookmarkEnd w:id="35"/>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452826428"/>
      <w:bookmarkStart w:id="37" w:name="_Toc351986015"/>
      <w:bookmarkStart w:id="38" w:name="_Toc329242669"/>
      <w:bookmarkStart w:id="39" w:name="_Toc351986195"/>
      <w:bookmarkStart w:id="40" w:name="_Toc357151165"/>
      <w:bookmarkStart w:id="41" w:name="_Toc351987765"/>
      <w:bookmarkStart w:id="42" w:name="_Toc351990142"/>
      <w:bookmarkStart w:id="43" w:name="_Toc353522389"/>
      <w:bookmarkStart w:id="44" w:name="_Toc351985910"/>
      <w:bookmarkStart w:id="45" w:name="_Toc351988706"/>
      <w:bookmarkStart w:id="46" w:name="_Toc369180019"/>
      <w:bookmarkStart w:id="47" w:name="_Toc351987961"/>
      <w:bookmarkStart w:id="48" w:name="_Toc1616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武警基层营区厨房新增监控摄像机采购项目</w:t>
      </w:r>
      <w:bookmarkEnd w:id="48"/>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29242670"/>
      <w:bookmarkStart w:id="50" w:name="_Toc353522390"/>
      <w:bookmarkStart w:id="51" w:name="_Toc452826429"/>
      <w:bookmarkStart w:id="52" w:name="_Toc351985911"/>
      <w:bookmarkStart w:id="53" w:name="_Toc20451"/>
      <w:bookmarkStart w:id="54" w:name="_Toc351988707"/>
      <w:bookmarkStart w:id="55" w:name="_Toc351987962"/>
      <w:bookmarkStart w:id="56" w:name="_Toc351986016"/>
      <w:bookmarkStart w:id="57" w:name="_Toc351986196"/>
      <w:bookmarkStart w:id="58" w:name="_Toc351990143"/>
      <w:bookmarkStart w:id="59" w:name="_Toc357151166"/>
      <w:bookmarkStart w:id="60" w:name="_Toc351987766"/>
      <w:bookmarkStart w:id="61" w:name="_Toc36918002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3"/>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供应商必须承诺提供厂商原装、全新的、符合国家及采购人提出的有关质量标准的设备。货物为原制造商制造的全新产品，无侵权行为、表面无划损、无任何缺陷隐患，软件有合法知识产权证书，在中国境内可依常规安全合法使用。货物为原厂商未启封全新包装，具出厂合格证，序列号、包装箱号与出厂批号一致，并可追索查阅。应附产品的用户手册、保修手册、有关单证资料及配备件、随机工具等，产品使用操作及安全须知等重要资料应附有中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此价格为含税价，包含增值税、附加税、培训费、运输费、安装调试费等一切费用，采购人不再支付其他任何费用。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采购合同由成交供应商与采购人双方签订，签订时间为《成交通知书》发出之日起30日内。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所有货物在</w:t>
            </w:r>
            <w:r>
              <w:rPr>
                <w:rFonts w:hint="eastAsia"/>
                <w:color w:val="000000" w:themeColor="text1"/>
                <w:highlight w:val="none"/>
                <w:lang w:eastAsia="zh-CN"/>
                <w14:textFill>
                  <w14:solidFill>
                    <w14:schemeClr w14:val="tx1"/>
                  </w14:solidFill>
                </w14:textFill>
              </w:rPr>
              <w:t>安装</w:t>
            </w:r>
            <w:r>
              <w:rPr>
                <w:rFonts w:hint="eastAsia"/>
                <w:color w:val="000000" w:themeColor="text1"/>
                <w:highlight w:val="none"/>
                <w14:textFill>
                  <w14:solidFill>
                    <w14:schemeClr w14:val="tx1"/>
                  </w14:solidFill>
                </w14:textFill>
              </w:rPr>
              <w:t>完毕并验收合格后30天内支付合同总价的95%给</w:t>
            </w:r>
            <w:r>
              <w:rPr>
                <w:rFonts w:hint="eastAsia"/>
                <w:color w:val="000000" w:themeColor="text1"/>
                <w:highlight w:val="none"/>
                <w:lang w:eastAsia="zh-CN"/>
                <w14:textFill>
                  <w14:solidFill>
                    <w14:schemeClr w14:val="tx1"/>
                  </w14:solidFill>
                </w14:textFill>
              </w:rPr>
              <w:t>成交</w:t>
            </w:r>
            <w:r>
              <w:rPr>
                <w:rFonts w:hint="eastAsia"/>
                <w:color w:val="000000" w:themeColor="text1"/>
                <w:highlight w:val="none"/>
                <w14:textFill>
                  <w14:solidFill>
                    <w14:schemeClr w14:val="tx1"/>
                  </w14:solidFill>
                </w14:textFill>
              </w:rPr>
              <w:t>供应商，</w:t>
            </w:r>
            <w:r>
              <w:rPr>
                <w:rFonts w:hint="eastAsia"/>
                <w:color w:val="000000" w:themeColor="text1"/>
                <w:highlight w:val="none"/>
                <w:lang w:val="zh-CN"/>
                <w14:textFill>
                  <w14:solidFill>
                    <w14:schemeClr w14:val="tx1"/>
                  </w14:solidFill>
                </w14:textFill>
              </w:rPr>
              <w:t>剩余合同总价</w:t>
            </w:r>
            <w:r>
              <w:rPr>
                <w:rFonts w:hint="eastAsia"/>
                <w:color w:val="000000" w:themeColor="text1"/>
                <w:highlight w:val="none"/>
                <w14:textFill>
                  <w14:solidFill>
                    <w14:schemeClr w14:val="tx1"/>
                  </w14:solidFill>
                </w14:textFill>
              </w:rPr>
              <w:t>5</w:t>
            </w:r>
            <w:r>
              <w:rPr>
                <w:rFonts w:hint="eastAsia"/>
                <w:color w:val="000000" w:themeColor="text1"/>
                <w:highlight w:val="none"/>
                <w:lang w:val="zh-CN"/>
                <w14:textFill>
                  <w14:solidFill>
                    <w14:schemeClr w14:val="tx1"/>
                  </w14:solidFill>
                </w14:textFill>
              </w:rPr>
              <w:t>%作为质保金，如无重大质量问题于</w:t>
            </w:r>
            <w:r>
              <w:rPr>
                <w:rFonts w:hint="eastAsia"/>
                <w:color w:val="000000" w:themeColor="text1"/>
                <w:highlight w:val="none"/>
                <w14:textFill>
                  <w14:solidFill>
                    <w14:schemeClr w14:val="tx1"/>
                  </w14:solidFill>
                </w14:textFill>
              </w:rPr>
              <w:t>一年后15</w:t>
            </w:r>
            <w:r>
              <w:rPr>
                <w:rFonts w:hint="eastAsia"/>
                <w:color w:val="000000" w:themeColor="text1"/>
                <w:highlight w:val="none"/>
                <w:lang w:val="zh-CN"/>
                <w14:textFill>
                  <w14:solidFill>
                    <w14:schemeClr w14:val="tx1"/>
                  </w14:solidFill>
                </w14:textFill>
              </w:rPr>
              <w:t>个工作日内支付给成交</w:t>
            </w:r>
            <w:r>
              <w:rPr>
                <w:rFonts w:hint="eastAsia"/>
                <w:color w:val="000000" w:themeColor="text1"/>
                <w:highlight w:val="none"/>
                <w14:textFill>
                  <w14:solidFill>
                    <w14:schemeClr w14:val="tx1"/>
                  </w14:solidFill>
                </w14:textFill>
              </w:rPr>
              <w:t>供应商</w:t>
            </w:r>
            <w:r>
              <w:rPr>
                <w:rFonts w:hint="eastAsia"/>
                <w:color w:val="000000" w:themeColor="text1"/>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根据合同中的相关条款进行验收。不满足要求的，采购人有权不予接收，并要求成交供应商无条件免费重新更换。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培训要求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设备安装调试后，须提供设备培训，针对设备的工作原理、操作说明和维护事项，给</w:t>
            </w:r>
            <w:r>
              <w:rPr>
                <w:rFonts w:hint="eastAsia"/>
                <w:color w:val="000000" w:themeColor="text1"/>
                <w:sz w:val="21"/>
                <w:szCs w:val="21"/>
                <w:highlight w:val="none"/>
                <w:lang w:val="en-US"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有关人员进行培训，使相关人员具备正常使用、简单维护、一般故障处理的能力。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质保期自本项目验收完成之日起计算，对采购人所采购的所有硬件和软件设备提供一年的免费质量保证，在质保期内设备的质量问题均由成交供应商负责免费维修，包括本项目所有软硬件设备、零配件（除耗材外）免费更换和软件系统的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壹</w:t>
            </w:r>
            <w:r>
              <w:rPr>
                <w:rFonts w:hint="eastAsia" w:ascii="宋体" w:hAnsi="宋体"/>
                <w:b/>
                <w:color w:val="000000" w:themeColor="text1"/>
                <w:szCs w:val="21"/>
                <w:highlight w:val="none"/>
                <w14:textFill>
                  <w14:solidFill>
                    <w14:schemeClr w14:val="tx1"/>
                  </w14:solidFill>
                </w14:textFill>
              </w:rPr>
              <w:t>仟</w:t>
            </w:r>
            <w:r>
              <w:rPr>
                <w:rFonts w:hint="eastAsia" w:ascii="宋体" w:hAnsi="宋体"/>
                <w:b/>
                <w:color w:val="000000" w:themeColor="text1"/>
                <w:szCs w:val="21"/>
                <w:highlight w:val="none"/>
                <w:lang w:val="en-US" w:eastAsia="zh-CN"/>
                <w14:textFill>
                  <w14:solidFill>
                    <w14:schemeClr w14:val="tx1"/>
                  </w14:solidFill>
                </w14:textFill>
              </w:rPr>
              <w:t>伍</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15</w:t>
            </w:r>
            <w:r>
              <w:rPr>
                <w:rFonts w:hint="eastAsia" w:ascii="宋体" w:hAnsi="宋体"/>
                <w:b/>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53522391"/>
      <w:bookmarkStart w:id="63" w:name="_Toc351986017"/>
      <w:bookmarkStart w:id="64" w:name="_Toc351990144"/>
      <w:bookmarkStart w:id="65" w:name="_Toc329242671"/>
      <w:bookmarkStart w:id="66" w:name="_Toc452826430"/>
      <w:bookmarkStart w:id="67" w:name="_Toc351988708"/>
      <w:bookmarkStart w:id="68" w:name="_Toc357151167"/>
      <w:bookmarkStart w:id="69" w:name="_Toc351987963"/>
      <w:bookmarkStart w:id="70" w:name="_Toc351985912"/>
      <w:bookmarkStart w:id="71" w:name="_Toc351987767"/>
      <w:bookmarkStart w:id="72" w:name="_Toc369180021"/>
      <w:bookmarkStart w:id="73" w:name="_Toc351986197"/>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12900"/>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14:textFill>
            <w14:solidFill>
              <w14:schemeClr w14:val="tx1"/>
            </w14:solidFill>
          </w14:textFill>
        </w:rPr>
      </w:pPr>
    </w:p>
    <w:tbl>
      <w:tblPr>
        <w:tblStyle w:val="43"/>
        <w:tblW w:w="10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2445"/>
        <w:gridCol w:w="5839"/>
        <w:gridCol w:w="716"/>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400W防油污高清摄像机</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7"/>
              </w:numPr>
              <w:suppressLineNumbers w:val="0"/>
              <w:jc w:val="both"/>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具有400万像素CMOS传感器，最大分辨率2560x1440；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2、筒机镜头护罩无需任何工具即可实现快速拆卸及安装，方便镜头护罩的清洗、更换；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3、具有时钟同步功能，视音频参数调节功能；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4、宽动态≥110dB；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5、具有断线自动重连、在线升级、配置保存获取、恢复出厂设置和重启、字符叠加、双（多）码流、制动注册、本机存储、web服务、报警、日志记录、余韵、视音频编码码流的传输、存储封装格式等功能；</w:t>
            </w:r>
          </w:p>
          <w:p>
            <w:pPr>
              <w:keepNext w:val="0"/>
              <w:keepLines w:val="0"/>
              <w:widowControl/>
              <w:numPr>
                <w:ilvl w:val="0"/>
                <w:numId w:val="0"/>
              </w:numPr>
              <w:suppressLineNumbers w:val="0"/>
              <w:jc w:val="both"/>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6、多路访问功能：支持主码流同时输出20路2560x1440、25帧/s、2MBPS图像以供客户端浏览；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7、具有抗丢包（10%）处理能力；</w:t>
            </w:r>
          </w:p>
          <w:p>
            <w:pPr>
              <w:keepNext w:val="0"/>
              <w:keepLines w:val="0"/>
              <w:widowControl/>
              <w:numPr>
                <w:ilvl w:val="0"/>
                <w:numId w:val="0"/>
              </w:numPr>
              <w:suppressLineNumbers w:val="0"/>
              <w:jc w:val="both"/>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8、网络协议：具有TCP/IP、IPv6、HTTP、HTTPS、FTP、DNS、DDNS、RTSP、PPPoE、SMTP、NTP、SNMP、组播设置选项；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9、抓拍图片功能：具有手动抓拍、定时抓拍、报警抓拍，并将抓拍图片FTP上传功能设置选项，抓图的时间间隔和报警抓拍图片数量可设置；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10、感兴趣区域增强编码功能：支持感兴趣区域增强编码功能，能通过菜单设置功能开启/关闭，并具有6个图像质量等级设置选项；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11、录像配置功能：具有定时、移动侦测、动测或报警、动测和报警、事件和报警6中录像触发方式配置设置选项；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12、智能分析功能：具有以下智能分析功能设置选项：音频异常、虚焦侦测、场景变更、区域入侵、越界、进入区域、离开区域、徘徊、人员聚集、快速移动、停车、物品遗留、物品拿取；</w:t>
            </w:r>
          </w:p>
          <w:p>
            <w:pPr>
              <w:keepNext w:val="0"/>
              <w:keepLines w:val="0"/>
              <w:widowControl/>
              <w:numPr>
                <w:ilvl w:val="0"/>
                <w:numId w:val="0"/>
              </w:numPr>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13、支持人脸抓拍功能，可对经过设定区域的行人进行人脸检测，当检测到人脸后，可抓拍人脸图片，抓拍图片数量可设。</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摄像机专用支架</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1、材质:铝；</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2、规格:65mm×95mm×185mm；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3、表面处理:喷塑白色。</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美化盒</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1、材料：ABS塑料；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2、外尺寸：170×115×44mm；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3、内尺寸：154×108×37mm。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监控拾音器</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1、灵敏度：-34dB；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2、频率响应：20Hz～20KHz；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3、指向特性：全指向性；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4、信噪比：60dB（1米40 dB音源SP）40dB(10米40 dB 音源 SP)1KHz at 1 Pa；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5、动态范围：70dB(1KHz at Max dB SP)；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6、承受音压：120dB SP（1KHz，THD 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7、输出阻抗：600欧姆非平衡；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8、输出信号幅度：2.5Vpp/-25dB。</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拾音器电源</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12V2A。</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有源音箱</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1、额定功率：≥50W；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2、响应频率：≥120-18KHz；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3、灵敏度：≥91dB±3dB；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4、输入电压：220V；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5、传输距离：≥30-40米。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音箱壁挂支架</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定制，音箱壁挂支架。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前端POE交换机</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1、应用层级：二层；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2、传输速率：10/100Mbps；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3、交换方式：存储-转发；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4、背板带宽：3.6Gbps；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5、包转发率：2.69Mbps；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6、MAC地址表：16K；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7、端口结构：非模块化；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8、端口数量：5个；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9、端口描述：4个百兆电口；1个百兆电口；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10、传输模式：全双工/半双工自适应；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11、网络标准：IEEE 802.3，IEEE 802.3u，IEEE 802.3x；</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12、电源电压：供电电源：12V；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13、电源功率：≤6W。</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前端设备箱</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1、材料:钢板（厚料）；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2、外尺寸：320×285×125mm；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3、内尺寸： 290×280×118mm；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4、表面处理:喷塑。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高清硬盘录像机</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numPr>
                <w:ilvl w:val="0"/>
                <w:numId w:val="8"/>
              </w:numPr>
              <w:suppressLineNumbers w:val="0"/>
              <w:jc w:val="both"/>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设备具备1U机箱，1个HDMI，1个VGA，1个千兆网口，1个USB2.0接口、1个USB3.0接口；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2、支持接入带有越界报警、区域入侵、进入区域、离开区域、人员聚集、快速移动、徘徊报警、场景变更报警、虚焦报警、人脸识别报警功能的网络摄像机，当触发报警时可联动录像、抓拍、报警输出；</w:t>
            </w:r>
          </w:p>
          <w:p>
            <w:pPr>
              <w:keepNext w:val="0"/>
              <w:keepLines w:val="0"/>
              <w:widowControl/>
              <w:numPr>
                <w:ilvl w:val="0"/>
                <w:numId w:val="0"/>
              </w:numPr>
              <w:suppressLineNumbers w:val="0"/>
              <w:jc w:val="both"/>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3、支持接入具有断网续传功能的网络摄像机,当设备与摄像机之间网络中断并恢复后,可自动接收摄像机内存储的视频图像；</w:t>
            </w:r>
          </w:p>
          <w:p>
            <w:pPr>
              <w:keepNext w:val="0"/>
              <w:keepLines w:val="0"/>
              <w:widowControl/>
              <w:numPr>
                <w:ilvl w:val="0"/>
                <w:numId w:val="0"/>
              </w:numPr>
              <w:suppressLineNumbers w:val="0"/>
              <w:jc w:val="both"/>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4、可设置9/8/6/4/1等多种预览模式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5、设备支持2个SATA接口，每个接口1TB/2TB/3TB/4TB/6TB硬盘；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6、设备支持对任一录像文件打标签，单个文件最大支持1024个标签；NVR设备可添加的标签个数不少于8192，支持对任一录像文件加锁、解锁，只有解锁后才可被覆盖；</w:t>
            </w:r>
          </w:p>
          <w:p>
            <w:pPr>
              <w:keepNext w:val="0"/>
              <w:keepLines w:val="0"/>
              <w:widowControl/>
              <w:numPr>
                <w:ilvl w:val="0"/>
                <w:numId w:val="8"/>
              </w:numPr>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7、设备支持设置图案密码，用户通过绘制图案来解锁并登录；支持密码复杂度登记显示功能；新出厂设备需激活；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8、设备支持客户端与设备端进行实时双向对讲；支持客户端与设备的IP通道进行实时双向对讲；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9、设备支持任一通道接入有客流统计功能的IPC，可检索客流数量并按日、周、月、年报表方式展现；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10、设备支持远程管理IPC功能，支持对前端IPC远程升级；支持远程对IPC的编码配置修改。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监控存储硬盘</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4T,IntelliPower,3.5",SATA 6 Gb/s接口，缓存64MB，转速5400～7200智能调节，工作温度：0～65。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电脑桌面音箱</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1、音箱系统：2.0声道；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2、有源无源：有源；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3、调节方式：旋纽；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4、供电方式：DC 5V；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5、信噪比：80dB；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6、失真度：≤0.5%；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7、阻抗：4Ω；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8、接口：3.5mm音频接口；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9、防磁功能：支持。</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电脑麦克风</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USB桌面电容麦。</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控制软件</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专为嵌入式例络监控设备开发，支持实时预览、录像储存、报警信息接收和联动等功能。</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超五类双屏蔽网线</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超五类双屏蔽线。</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配套线材</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音频线、电源线、延长线等。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17</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配套辅材</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线槽线管、直通弯头、二三插座、水晶头、标签等。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安装调试费</w:t>
            </w:r>
          </w:p>
        </w:tc>
        <w:tc>
          <w:tcPr>
            <w:tcW w:w="5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9个营区的线路敷设，设备安装调试，一年售后维护。</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bl>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 w:val="24"/>
          <w:highlight w:val="none"/>
          <w:lang w:val="zh-CN"/>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786"/>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434832495"/>
      <w:bookmarkStart w:id="77" w:name="_Toc174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431"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5"/>
        <w:spacing w:line="360" w:lineRule="auto"/>
        <w:rPr>
          <w:rFonts w:ascii="宋体" w:hAnsi="宋体"/>
          <w:color w:val="000000" w:themeColor="text1"/>
          <w:sz w:val="21"/>
          <w:szCs w:val="21"/>
          <w:highlight w:val="none"/>
          <w14:textFill>
            <w14:solidFill>
              <w14:schemeClr w14:val="tx1"/>
            </w14:solidFill>
          </w14:textFill>
        </w:rPr>
      </w:pPr>
      <w:bookmarkStart w:id="79" w:name="_Toc367780304"/>
      <w:bookmarkStart w:id="80" w:name="_Toc12926"/>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武警基层营区厨房新增监控摄像机采购项目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1" w:name="_Toc512"/>
      <w:bookmarkStart w:id="82" w:name="_Toc3677803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“代理采购机构”系指广东业信采购招标有限公司。</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中国人民武装警察部队阳江支队</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9"/>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18701"/>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5" w:name="_Toc2972"/>
      <w:bookmarkStart w:id="86" w:name="_Toc367780307"/>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4987"/>
      <w:bookmarkStart w:id="88"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highlight w:val="none"/>
          <w14:textFill>
            <w14:solidFill>
              <w14:schemeClr w14:val="tx1"/>
            </w14:solidFill>
          </w14:textFill>
        </w:rPr>
      </w:pPr>
      <w:bookmarkStart w:id="89" w:name="_Toc367780309"/>
      <w:bookmarkStart w:id="90" w:name="_Toc233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1" w:name="_Toc19596"/>
      <w:bookmarkStart w:id="92" w:name="_Toc36778031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3" w:name="_Toc28835"/>
      <w:bookmarkStart w:id="94" w:name="_Toc367780311"/>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11"/>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26398"/>
      <w:bookmarkStart w:id="96"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highlight w:val="none"/>
          <w14:textFill>
            <w14:solidFill>
              <w14:schemeClr w14:val="tx1"/>
            </w14:solidFill>
          </w14:textFill>
        </w:rPr>
      </w:pPr>
      <w:bookmarkStart w:id="97" w:name="_Toc367780313"/>
      <w:bookmarkStart w:id="98" w:name="_Toc4698"/>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9" w:name="_Toc367780314"/>
      <w:bookmarkStart w:id="100" w:name="_Toc32717"/>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1" w:name="_Toc367780315"/>
      <w:bookmarkStart w:id="102" w:name="_Toc22634"/>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2"/>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2"/>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3" w:name="_Toc24676"/>
      <w:bookmarkStart w:id="104"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5" w:name="_Toc367780317"/>
      <w:bookmarkStart w:id="106" w:name="_Toc29941"/>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3"/>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3"/>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3"/>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7" w:name="_Toc367780318"/>
      <w:bookmarkStart w:id="108" w:name="_Toc19441"/>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31333"/>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1" w:name="_Toc367780320"/>
      <w:bookmarkStart w:id="112" w:name="_Toc16514"/>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4"/>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4"/>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4"/>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5"/>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5"/>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5"/>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5"/>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3" w:name="_Toc30382"/>
      <w:bookmarkStart w:id="114"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5" w:name="_Toc984"/>
      <w:bookmarkStart w:id="116"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12734"/>
      <w:bookmarkStart w:id="118" w:name="_Toc367780323"/>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highlight w:val="none"/>
          <w14:textFill>
            <w14:solidFill>
              <w14:schemeClr w14:val="tx1"/>
            </w14:solidFill>
          </w14:textFill>
        </w:rPr>
      </w:pPr>
      <w:bookmarkStart w:id="119" w:name="_Toc367780324"/>
      <w:bookmarkStart w:id="120" w:name="_Toc14989"/>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1" w:name="_Toc367780325"/>
      <w:bookmarkStart w:id="122" w:name="_Toc28811"/>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3" w:name="_Toc367780326"/>
      <w:bookmarkStart w:id="124" w:name="_Toc140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5" w:name="_Toc26962"/>
      <w:bookmarkStart w:id="126" w:name="_Toc367780327"/>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367780328"/>
      <w:bookmarkStart w:id="128" w:name="_Toc16251"/>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highlight w:val="none"/>
          <w14:textFill>
            <w14:solidFill>
              <w14:schemeClr w14:val="tx1"/>
            </w14:solidFill>
          </w14:textFill>
        </w:rPr>
      </w:pPr>
      <w:bookmarkStart w:id="129" w:name="_Toc15109"/>
      <w:bookmarkStart w:id="130"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1" w:name="_Toc367780330"/>
      <w:bookmarkStart w:id="132" w:name="_Toc1419"/>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230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5" w:name="_Toc367780332"/>
      <w:bookmarkStart w:id="136" w:name="_Toc17994"/>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7" w:name="_Toc367780333"/>
      <w:bookmarkStart w:id="138" w:name="_Toc9577"/>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3"/>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9" w:name="_Toc14629"/>
      <w:bookmarkStart w:id="140" w:name="_Toc367780334"/>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1" w:name="_Toc18455"/>
      <w:bookmarkStart w:id="142"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3"/>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3"/>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3" w:name="_Toc367780336"/>
      <w:bookmarkStart w:id="144" w:name="_Toc25727"/>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5" w:name="_Toc31871"/>
      <w:bookmarkStart w:id="146"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未成交供应商，广东业信采购招标有限公司不再以其它方式另行通知。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7" w:name="_Toc21001"/>
      <w:bookmarkStart w:id="148" w:name="_Toc367780338"/>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2366"/>
      <w:bookmarkStart w:id="150" w:name="_Toc367780339"/>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highlight w:val="none"/>
          <w14:textFill>
            <w14:solidFill>
              <w14:schemeClr w14:val="tx1"/>
            </w14:solidFill>
          </w14:textFill>
        </w:rPr>
      </w:pPr>
      <w:bookmarkStart w:id="151" w:name="_Toc367780340"/>
      <w:bookmarkStart w:id="152" w:name="_Toc19154"/>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3" w:name="_Toc367780341"/>
      <w:bookmarkStart w:id="154" w:name="_Toc25706"/>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5" w:name="_Toc367780342"/>
      <w:bookmarkStart w:id="156" w:name="_Toc218"/>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采购人应当自采购合同签订之日起七个工作日内，按照有关规定将采购合同副本报同级人民政府财政部门和广东业信采购招标有限公司备案。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158" w:name="_Toc432682726"/>
      <w:bookmarkStart w:id="159" w:name="_Toc9046"/>
      <w:bookmarkStart w:id="160" w:name="_Toc499041071"/>
      <w:bookmarkStart w:id="161" w:name="_Toc43077105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185803"/>
      <w:bookmarkStart w:id="163"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771061"/>
      <w:bookmarkStart w:id="166"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185805"/>
      <w:bookmarkStart w:id="168"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185806"/>
      <w:bookmarkStart w:id="170" w:name="_Toc430771063"/>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3"/>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31272"/>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560" w:lineRule="exact"/>
        <w:rPr>
          <w:rFonts w:ascii="宋体" w:hAnsi="宋体"/>
          <w:bCs/>
          <w:color w:val="000000" w:themeColor="text1"/>
          <w:szCs w:val="21"/>
          <w:highlight w:val="none"/>
          <w14:textFill>
            <w14:solidFill>
              <w14:schemeClr w14:val="tx1"/>
            </w14:solidFill>
          </w14:textFill>
        </w:rPr>
      </w:pPr>
    </w:p>
    <w:p>
      <w:pPr>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560" w:lineRule="exac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成交项目名称  </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cs="宋体"/>
          <w:color w:val="000000" w:themeColor="text1"/>
          <w:szCs w:val="21"/>
          <w:highlight w:val="none"/>
          <w:u w:val="single"/>
          <w14:textFill>
            <w14:solidFill>
              <w14:schemeClr w14:val="tx1"/>
            </w14:solidFill>
          </w14:textFill>
        </w:rPr>
        <w:t>成交项目编号</w:t>
      </w:r>
      <w:r>
        <w:rPr>
          <w:rFonts w:hint="eastAsia" w:ascii="宋体" w:hAnsi="宋体"/>
          <w:bCs/>
          <w:color w:val="000000" w:themeColor="text1"/>
          <w:szCs w:val="21"/>
          <w:highlight w:val="none"/>
          <w14:textFill>
            <w14:solidFill>
              <w14:schemeClr w14:val="tx1"/>
            </w14:solidFill>
          </w14:textFill>
        </w:rPr>
        <w:t>）谈判结果和有关招、谈判响应文件的要求，经双方协商一致，订立以下合同：</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560" w:lineRule="exact"/>
        <w:ind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交货和验收</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交货期：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交货地点：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交货验收方式：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560" w:lineRule="exact"/>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验收标准：</w:t>
      </w:r>
    </w:p>
    <w:p>
      <w:pPr>
        <w:numPr>
          <w:ilvl w:val="6"/>
          <w:numId w:val="16"/>
        </w:numPr>
        <w:tabs>
          <w:tab w:val="left" w:pos="1680"/>
          <w:tab w:val="clear" w:pos="4830"/>
        </w:tabs>
        <w:spacing w:line="56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6"/>
        </w:numPr>
        <w:tabs>
          <w:tab w:val="left" w:pos="1680"/>
          <w:tab w:val="clear" w:pos="4830"/>
        </w:tabs>
        <w:spacing w:line="56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质量符合谈判文件和谈判响应文件的要求；</w:t>
      </w:r>
    </w:p>
    <w:p>
      <w:pPr>
        <w:numPr>
          <w:ilvl w:val="6"/>
          <w:numId w:val="16"/>
        </w:numPr>
        <w:tabs>
          <w:tab w:val="left" w:pos="1680"/>
          <w:tab w:val="clear" w:pos="4830"/>
        </w:tabs>
        <w:spacing w:line="56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7"/>
        </w:numPr>
        <w:tabs>
          <w:tab w:val="left" w:pos="945"/>
          <w:tab w:val="left" w:pos="1080"/>
          <w:tab w:val="clear" w:pos="1203"/>
        </w:tabs>
        <w:adjustRightInd w:val="0"/>
        <w:snapToGrid w:val="0"/>
        <w:spacing w:line="560" w:lineRule="exact"/>
        <w:ind w:left="108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7"/>
        </w:numPr>
        <w:tabs>
          <w:tab w:val="left" w:pos="1080"/>
          <w:tab w:val="left" w:pos="1155"/>
          <w:tab w:val="clear" w:pos="1203"/>
        </w:tabs>
        <w:adjustRightInd w:val="0"/>
        <w:snapToGrid w:val="0"/>
        <w:spacing w:line="560" w:lineRule="exact"/>
        <w:ind w:left="108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56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56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56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56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56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Tahoma"/>
          <w:iCs/>
          <w:color w:val="000000" w:themeColor="text1"/>
          <w:kern w:val="28"/>
          <w:szCs w:val="21"/>
          <w:highlight w:val="none"/>
          <w14:textFill>
            <w14:solidFill>
              <w14:schemeClr w14:val="tx1"/>
            </w14:solidFill>
          </w14:textFill>
        </w:rPr>
        <w:t>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945"/>
          <w:tab w:val="left" w:pos="1506"/>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560" w:lineRule="exact"/>
        <w:ind w:left="999" w:leftChars="357"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004"/>
        </w:tabs>
        <w:spacing w:line="560" w:lineRule="exact"/>
        <w:ind w:left="999" w:leftChars="357"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56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56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合同实施或与合同有关的一切争议应通过双方友好协商解决。如果友好协商不能解决，争议可提交仲裁或向有管辖权的人民法院提出诉讼。仲裁费或诉讼费应由败诉方负担。</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560" w:lineRule="exact"/>
        <w:ind w:left="752" w:leftChars="358" w:firstLine="420"/>
        <w:rPr>
          <w:rFonts w:ascii="宋体" w:hAnsi="宋体"/>
          <w:bCs/>
          <w:color w:val="000000" w:themeColor="text1"/>
          <w:szCs w:val="21"/>
          <w:highlight w:val="none"/>
          <w14:textFill>
            <w14:solidFill>
              <w14:schemeClr w14:val="tx1"/>
            </w14:solidFill>
          </w14:textFill>
        </w:rPr>
      </w:pPr>
    </w:p>
    <w:p>
      <w:pPr>
        <w:spacing w:line="560" w:lineRule="exact"/>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560" w:lineRule="exact"/>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200414512"/>
      <w:bookmarkStart w:id="173" w:name="_Toc2511"/>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9112"/>
      <w:bookmarkStart w:id="175" w:name="_Toc200414513"/>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9"/>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YXCG-20211209</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9"/>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9"/>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1531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176"/>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177"/>
    </w:p>
    <w:tbl>
      <w:tblPr>
        <w:tblStyle w:val="43"/>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投标人须是中华人民共和国境内合法注册，能独立承担民事责任并具有相关经营范围的组织</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rPr>
          <w:color w:val="000000" w:themeColor="text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200414515"/>
      <w:bookmarkStart w:id="179" w:name="_Toc17601"/>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9"/>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200414516"/>
      <w:bookmarkStart w:id="181" w:name="_Toc28217"/>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9"/>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&#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013vbXAAAACgEAAA8AAAAAAAAAAQAgAAAAIgAAAGRy&#10;cy9kb3ducmV2LnhtbFBLAQIUABQAAAAIAIdO4kD14kWVPwIAAFgEAAAOAAAAAAAAAAEAIAAAACYB&#10;AABkcnMvZTJvRG9jLnhtbFBLBQYAAAAABgAGAFkBAADXBQ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30485"/>
      <w:bookmarkStart w:id="183"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tabs>
          <w:tab w:val="left" w:pos="5420"/>
        </w:tabs>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ab/>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SrGQHYAAAACgEAAA8AAAAAAAAAAQAgAAAAIgAAAGRy&#10;cy9kb3ducmV2LnhtbFBLAQIUABQAAAAIAIdO4kDPLxYFPgIAAFgEAAAOAAAAAAAAAAEAIAAAACcB&#10;AABkcnMvZTJvRG9jLnhtbFBLBQYAAAAABgAGAFkBAADXBQ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tabs>
          <w:tab w:val="center" w:pos="4483"/>
        </w:tabs>
        <w:spacing w:line="360" w:lineRule="auto"/>
        <w:rPr>
          <w:rFonts w:ascii="宋体" w:hAnsi="宋体"/>
          <w:bCs/>
          <w:color w:val="000000" w:themeColor="text1"/>
          <w:szCs w:val="2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5670"/>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9"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28595"/>
      <w:bookmarkStart w:id="187"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200414525"/>
      <w:bookmarkStart w:id="189" w:name="_Toc21436"/>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 ，我方正式响应谈判文件内容并提交谈判文件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形式提交的谈判保证金，金额为大写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据此函，签字代表宣布同意如下：</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8"/>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3"/>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3"/>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200414526"/>
      <w:bookmarkStart w:id="191" w:name="_Toc22212"/>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3"/>
        <w:spacing w:line="360" w:lineRule="auto"/>
        <w:rPr>
          <w:rFonts w:hAnsi="宋体"/>
          <w:color w:val="000000" w:themeColor="text1"/>
          <w:highlight w:val="none"/>
          <w14:textFill>
            <w14:solidFill>
              <w14:schemeClr w14:val="tx1"/>
            </w14:solidFill>
          </w14:textFill>
        </w:rPr>
      </w:pPr>
    </w:p>
    <w:p>
      <w:pPr>
        <w:pStyle w:val="23"/>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200414527"/>
      <w:bookmarkStart w:id="193" w:name="_Toc31919"/>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序号</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内容</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设备名称</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型号及规格</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原产地</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设备单价</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数量</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设备总价</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备品备件价</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运输费、人工费</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保险费</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安装调试费</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技术服务费</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税金</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培训费</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14</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质量保证期内的服务费用</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15</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其他费用</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16</w:t>
            </w:r>
          </w:p>
        </w:tc>
        <w:tc>
          <w:tcPr>
            <w:tcW w:w="1843" w:type="dxa"/>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3205" w:type="dxa"/>
            <w:gridSpan w:val="3"/>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tc>
        <w:tc>
          <w:tcPr>
            <w:tcW w:w="3206" w:type="dxa"/>
            <w:gridSpan w:val="3"/>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17</w:t>
            </w:r>
          </w:p>
        </w:tc>
        <w:tc>
          <w:tcPr>
            <w:tcW w:w="1843" w:type="dxa"/>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c>
          <w:tcPr>
            <w:tcW w:w="6411" w:type="dxa"/>
            <w:gridSpan w:val="6"/>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p>
        </w:tc>
      </w:tr>
    </w:tbl>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rPr>
          <w:rFonts w:ascii="宋体" w:hAnsi="宋体"/>
          <w:color w:val="000000" w:themeColor="text1"/>
          <w:highlight w:val="none"/>
          <w14:textFill>
            <w14:solidFill>
              <w14:schemeClr w14:val="tx1"/>
            </w14:solidFill>
          </w14:textFill>
        </w:rPr>
      </w:pPr>
      <w:bookmarkStart w:id="194"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2199"/>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3033"/>
      <w:bookmarkStart w:id="197"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ind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widowControl/>
        <w:numPr>
          <w:ilvl w:val="1"/>
          <w:numId w:val="0"/>
        </w:numPr>
        <w:tabs>
          <w:tab w:val="left" w:pos="420"/>
        </w:tabs>
        <w:autoSpaceDE w:val="0"/>
        <w:autoSpaceDN w:val="0"/>
        <w:adjustRightInd w:val="0"/>
        <w:snapToGrid w:val="0"/>
        <w:spacing w:before="200" w:after="200" w:line="360" w:lineRule="auto"/>
        <w:ind w:left="420" w:hanging="420"/>
        <w:jc w:val="center"/>
        <w:textAlignment w:val="baseline"/>
        <w:rPr>
          <w:rFonts w:ascii="宋体" w:hAnsi="宋体" w:eastAsia="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200414533"/>
      <w:bookmarkStart w:id="199" w:name="_Toc27987"/>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bookmarkEnd w:id="199"/>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bl>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pStyle w:val="9"/>
        <w:snapToGrid w:val="0"/>
        <w:spacing w:line="360" w:lineRule="auto"/>
        <w:ind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注：1、如本表格式内容不能满足需要，供应商可自行划表填写，但必须体现以上内容。</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200" w:name="_Toc7149"/>
      <w:bookmarkStart w:id="201" w:name="_Toc11704"/>
      <w:bookmarkStart w:id="202" w:name="_Toc4253"/>
      <w:bookmarkStart w:id="203" w:name="_Toc430771089"/>
      <w:bookmarkStart w:id="204" w:name="_Toc17914"/>
      <w:bookmarkStart w:id="205" w:name="_Toc432695229"/>
      <w:bookmarkStart w:id="206" w:name="_Toc9873"/>
      <w:bookmarkStart w:id="207" w:name="_Toc432682754"/>
      <w:bookmarkStart w:id="208" w:name="_Toc333935717"/>
      <w:bookmarkStart w:id="209" w:name="_Toc333238664"/>
      <w:bookmarkStart w:id="210" w:name="_Toc343247130"/>
      <w:bookmarkStart w:id="211" w:name="_Toc339020263"/>
      <w:bookmarkStart w:id="212" w:name="_Toc332206739"/>
      <w:bookmarkStart w:id="213" w:name="_Toc341348370"/>
      <w:bookmarkStart w:id="214" w:name="_Toc350756480"/>
      <w:bookmarkStart w:id="215" w:name="_Toc350438779"/>
      <w:bookmarkStart w:id="216" w:name="_Toc343248448"/>
      <w:bookmarkStart w:id="217" w:name="_Toc333935376"/>
      <w:bookmarkStart w:id="218" w:name="_Toc339441117"/>
      <w:bookmarkStart w:id="219" w:name="_Toc343612950"/>
      <w:bookmarkStart w:id="220" w:name="_Toc339019919"/>
      <w:bookmarkStart w:id="221" w:name="_Toc365967105"/>
      <w:bookmarkStart w:id="222" w:name="_Toc340677100"/>
      <w:bookmarkStart w:id="223" w:name="_Toc365985211"/>
      <w:bookmarkStart w:id="224" w:name="_Toc330460016"/>
      <w:bookmarkStart w:id="225" w:name="_Toc331684072"/>
      <w:bookmarkStart w:id="226" w:name="_Toc342312473"/>
      <w:bookmarkStart w:id="227" w:name="_Toc342296791"/>
      <w:bookmarkStart w:id="228" w:name="_Toc339362330"/>
      <w:bookmarkStart w:id="229" w:name="_Toc337632388"/>
      <w:bookmarkStart w:id="230" w:name="_Toc340672899"/>
      <w:bookmarkStart w:id="231" w:name="_Toc336681610"/>
      <w:bookmarkStart w:id="232" w:name="_Toc339020125"/>
      <w:bookmarkStart w:id="233" w:name="_Toc332270377"/>
      <w:bookmarkStart w:id="234" w:name="_Toc342060405"/>
      <w:bookmarkStart w:id="235" w:name="_Toc102451601"/>
      <w:bookmarkStart w:id="236" w:name="_Toc336681965"/>
      <w:bookmarkStart w:id="237" w:name="_Toc340507472"/>
      <w:bookmarkStart w:id="238" w:name="_Toc345312627"/>
      <w:bookmarkStart w:id="239" w:name="_Toc331512931"/>
      <w:bookmarkStart w:id="240" w:name="_Toc333237819"/>
      <w:bookmarkStart w:id="241" w:name="_Toc342398160"/>
      <w:bookmarkStart w:id="242" w:name="_Toc333237708"/>
      <w:bookmarkStart w:id="243" w:name="_Toc339020045"/>
      <w:bookmarkStart w:id="244" w:name="_Toc366072562"/>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200"/>
      <w:bookmarkEnd w:id="201"/>
      <w:bookmarkEnd w:id="202"/>
      <w:bookmarkEnd w:id="203"/>
      <w:bookmarkEnd w:id="204"/>
      <w:bookmarkEnd w:id="205"/>
      <w:bookmarkEnd w:id="206"/>
      <w:bookmarkEnd w:id="207"/>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ind w:firstLine="0"/>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5" w:name="_Toc17282"/>
      <w:bookmarkStart w:id="246" w:name="_Toc32373"/>
      <w:bookmarkStart w:id="247" w:name="_Toc5532"/>
      <w:bookmarkStart w:id="248" w:name="_Toc20242"/>
      <w:bookmarkStart w:id="249" w:name="_Toc14926"/>
      <w:bookmarkStart w:id="250" w:name="_Toc31066"/>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5"/>
      <w:bookmarkEnd w:id="246"/>
      <w:bookmarkEnd w:id="247"/>
      <w:bookmarkEnd w:id="248"/>
      <w:bookmarkEnd w:id="249"/>
      <w:bookmarkEnd w:id="2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sectPr>
          <w:type w:val="continuous"/>
          <w:pgSz w:w="11906" w:h="16838"/>
          <w:pgMar w:top="1418" w:right="1474" w:bottom="1418" w:left="1474" w:header="851" w:footer="992" w:gutter="0"/>
          <w:cols w:space="720" w:num="1"/>
          <w:docGrid w:linePitch="312" w:charSpace="0"/>
        </w:sectPr>
      </w:pPr>
      <w:r>
        <w:rPr>
          <w:rFonts w:hint="eastAsia" w:hAnsi="宋体" w:cs="宋体"/>
          <w:color w:val="000000" w:themeColor="text1"/>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51" w:name="_Toc11682"/>
      <w:bookmarkStart w:id="252" w:name="_Toc200414534"/>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51"/>
      <w:bookmarkEnd w:id="252"/>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53" w:name="_Toc200414535"/>
      <w:bookmarkStart w:id="254" w:name="_Toc7067"/>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53"/>
      <w:bookmarkEnd w:id="254"/>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9"/>
        <w:spacing w:line="360" w:lineRule="auto"/>
        <w:rPr>
          <w:rFonts w:ascii="宋体" w:hAnsi="宋体"/>
          <w:color w:val="000000" w:themeColor="text1"/>
          <w:szCs w:val="21"/>
          <w:highlight w:val="none"/>
          <w14:textFill>
            <w14:solidFill>
              <w14:schemeClr w14:val="tx1"/>
            </w14:solidFill>
          </w14:textFill>
        </w:rPr>
      </w:pP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55" w:name="_Toc434832511"/>
      <w:bookmarkStart w:id="256" w:name="_Toc16146"/>
      <w:r>
        <w:rPr>
          <w:rFonts w:hint="eastAsia" w:ascii="宋体" w:hAnsi="宋体" w:eastAsia="宋体"/>
          <w:color w:val="000000" w:themeColor="text1"/>
          <w:sz w:val="52"/>
          <w:highlight w:val="none"/>
          <w14:textFill>
            <w14:solidFill>
              <w14:schemeClr w14:val="tx1"/>
            </w14:solidFill>
          </w14:textFill>
        </w:rPr>
        <w:t>其 他 格 式</w:t>
      </w:r>
      <w:bookmarkEnd w:id="255"/>
      <w:bookmarkEnd w:id="256"/>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rFonts w:ascii="宋体" w:hAnsi="宋体"/>
          <w:color w:val="000000" w:themeColor="text1"/>
          <w:sz w:val="28"/>
          <w:highlight w:val="none"/>
          <w14:textFill>
            <w14:solidFill>
              <w14:schemeClr w14:val="tx1"/>
            </w14:solidFill>
          </w14:textFill>
        </w:rPr>
      </w:pPr>
      <w:bookmarkStart w:id="257" w:name="_Toc30007"/>
      <w:r>
        <w:rPr>
          <w:rFonts w:hint="eastAsia" w:ascii="宋体" w:hAnsi="宋体"/>
          <w:color w:val="000000" w:themeColor="text1"/>
          <w:sz w:val="28"/>
          <w:highlight w:val="none"/>
          <w14:textFill>
            <w14:solidFill>
              <w14:schemeClr w14:val="tx1"/>
            </w14:solidFill>
          </w14:textFill>
        </w:rPr>
        <w:t>投标保证金退付书</w:t>
      </w:r>
      <w:bookmarkEnd w:id="257"/>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3"/>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u w:val="singl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80"/>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u w:val="singl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3"/>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9"/>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9"/>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9"/>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9"/>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9"/>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9"/>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fldChar w:fldCharType="begin"/>
    </w:r>
    <w:r>
      <w:rPr>
        <w:rStyle w:val="47"/>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7F348"/>
    <w:multiLevelType w:val="singleLevel"/>
    <w:tmpl w:val="C1D7F348"/>
    <w:lvl w:ilvl="0" w:tentative="0">
      <w:start w:val="1"/>
      <w:numFmt w:val="decimal"/>
      <w:suff w:val="nothing"/>
      <w:lvlText w:val="%1、"/>
      <w:lvlJc w:val="left"/>
    </w:lvl>
  </w:abstractNum>
  <w:abstractNum w:abstractNumId="1">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2">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9">
    <w:nsid w:val="4307E924"/>
    <w:multiLevelType w:val="singleLevel"/>
    <w:tmpl w:val="4307E924"/>
    <w:lvl w:ilvl="0" w:tentative="0">
      <w:start w:val="1"/>
      <w:numFmt w:val="decimal"/>
      <w:suff w:val="nothing"/>
      <w:lvlText w:val="%1、"/>
      <w:lvlJc w:val="left"/>
    </w:lvl>
  </w:abstractNum>
  <w:abstractNum w:abstractNumId="10">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1">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4">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5">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7">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8">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6"/>
  </w:num>
  <w:num w:numId="3">
    <w:abstractNumId w:val="3"/>
  </w:num>
  <w:num w:numId="4">
    <w:abstractNumId w:val="2"/>
  </w:num>
  <w:num w:numId="5">
    <w:abstractNumId w:val="1"/>
  </w:num>
  <w:num w:numId="6">
    <w:abstractNumId w:val="5"/>
  </w:num>
  <w:num w:numId="7">
    <w:abstractNumId w:val="0"/>
  </w:num>
  <w:num w:numId="8">
    <w:abstractNumId w:val="9"/>
  </w:num>
  <w:num w:numId="9">
    <w:abstractNumId w:val="8"/>
  </w:num>
  <w:num w:numId="10">
    <w:abstractNumId w:val="10"/>
  </w:num>
  <w:num w:numId="11">
    <w:abstractNumId w:val="14"/>
  </w:num>
  <w:num w:numId="12">
    <w:abstractNumId w:val="12"/>
  </w:num>
  <w:num w:numId="13">
    <w:abstractNumId w:val="18"/>
  </w:num>
  <w:num w:numId="14">
    <w:abstractNumId w:val="13"/>
  </w:num>
  <w:num w:numId="15">
    <w:abstractNumId w:val="6"/>
  </w:num>
  <w:num w:numId="16">
    <w:abstractNumId w:val="7"/>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4523"/>
    <w:rsid w:val="00024860"/>
    <w:rsid w:val="000248E7"/>
    <w:rsid w:val="000265FF"/>
    <w:rsid w:val="000268CD"/>
    <w:rsid w:val="00026FC3"/>
    <w:rsid w:val="000278C1"/>
    <w:rsid w:val="00027BD5"/>
    <w:rsid w:val="00027E73"/>
    <w:rsid w:val="0003063D"/>
    <w:rsid w:val="00030865"/>
    <w:rsid w:val="00031768"/>
    <w:rsid w:val="000320AF"/>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265"/>
    <w:rsid w:val="00046FB6"/>
    <w:rsid w:val="00047144"/>
    <w:rsid w:val="00047772"/>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652D"/>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B13"/>
    <w:rsid w:val="000B6F1B"/>
    <w:rsid w:val="000B7586"/>
    <w:rsid w:val="000B778F"/>
    <w:rsid w:val="000B79A1"/>
    <w:rsid w:val="000C002D"/>
    <w:rsid w:val="000C010B"/>
    <w:rsid w:val="000C04EC"/>
    <w:rsid w:val="000C0709"/>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0F3"/>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1D53"/>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115"/>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5DE"/>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3C45"/>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295"/>
    <w:rsid w:val="001A436E"/>
    <w:rsid w:val="001A4393"/>
    <w:rsid w:val="001A4F87"/>
    <w:rsid w:val="001A559F"/>
    <w:rsid w:val="001A60B3"/>
    <w:rsid w:val="001A6293"/>
    <w:rsid w:val="001A6547"/>
    <w:rsid w:val="001A6E21"/>
    <w:rsid w:val="001A73F0"/>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1E96"/>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712"/>
    <w:rsid w:val="001D6941"/>
    <w:rsid w:val="001D728C"/>
    <w:rsid w:val="001E001C"/>
    <w:rsid w:val="001E0393"/>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448"/>
    <w:rsid w:val="001F35CF"/>
    <w:rsid w:val="001F3BF5"/>
    <w:rsid w:val="001F3F92"/>
    <w:rsid w:val="001F440E"/>
    <w:rsid w:val="001F45D2"/>
    <w:rsid w:val="001F49F8"/>
    <w:rsid w:val="001F5857"/>
    <w:rsid w:val="001F5C81"/>
    <w:rsid w:val="00201159"/>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3703C"/>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D29"/>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C36"/>
    <w:rsid w:val="00261FF8"/>
    <w:rsid w:val="00263D58"/>
    <w:rsid w:val="00264151"/>
    <w:rsid w:val="00264B19"/>
    <w:rsid w:val="002660A5"/>
    <w:rsid w:val="0026655C"/>
    <w:rsid w:val="00266565"/>
    <w:rsid w:val="00266587"/>
    <w:rsid w:val="00266771"/>
    <w:rsid w:val="00266AC5"/>
    <w:rsid w:val="00266AD7"/>
    <w:rsid w:val="002670B1"/>
    <w:rsid w:val="0026773B"/>
    <w:rsid w:val="0027014F"/>
    <w:rsid w:val="002704DA"/>
    <w:rsid w:val="002706C9"/>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8F3"/>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7A"/>
    <w:rsid w:val="002F015D"/>
    <w:rsid w:val="002F039F"/>
    <w:rsid w:val="002F0C5F"/>
    <w:rsid w:val="002F112F"/>
    <w:rsid w:val="002F29C3"/>
    <w:rsid w:val="002F37BE"/>
    <w:rsid w:val="002F38A8"/>
    <w:rsid w:val="002F38E4"/>
    <w:rsid w:val="002F5600"/>
    <w:rsid w:val="002F69D0"/>
    <w:rsid w:val="002F73E7"/>
    <w:rsid w:val="002F7F9C"/>
    <w:rsid w:val="003007C7"/>
    <w:rsid w:val="00300EBE"/>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07D38"/>
    <w:rsid w:val="00310D53"/>
    <w:rsid w:val="003116EF"/>
    <w:rsid w:val="003133AE"/>
    <w:rsid w:val="003133CA"/>
    <w:rsid w:val="00313768"/>
    <w:rsid w:val="00313BBD"/>
    <w:rsid w:val="00314B90"/>
    <w:rsid w:val="00314CF5"/>
    <w:rsid w:val="00314F07"/>
    <w:rsid w:val="00315060"/>
    <w:rsid w:val="00315F01"/>
    <w:rsid w:val="0032032A"/>
    <w:rsid w:val="0032198F"/>
    <w:rsid w:val="00321A54"/>
    <w:rsid w:val="003230A6"/>
    <w:rsid w:val="003235DE"/>
    <w:rsid w:val="00323700"/>
    <w:rsid w:val="00323BE6"/>
    <w:rsid w:val="00324822"/>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350"/>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C1E"/>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6F5"/>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2D91"/>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7B8"/>
    <w:rsid w:val="00475F83"/>
    <w:rsid w:val="004761C4"/>
    <w:rsid w:val="004761EB"/>
    <w:rsid w:val="004768C4"/>
    <w:rsid w:val="004772DE"/>
    <w:rsid w:val="0048007E"/>
    <w:rsid w:val="0048191D"/>
    <w:rsid w:val="00481B97"/>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4EF8"/>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CB5"/>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88"/>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4F0"/>
    <w:rsid w:val="00531654"/>
    <w:rsid w:val="00531AAA"/>
    <w:rsid w:val="00531D90"/>
    <w:rsid w:val="0053246E"/>
    <w:rsid w:val="00533430"/>
    <w:rsid w:val="00534411"/>
    <w:rsid w:val="00534430"/>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04"/>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5D8"/>
    <w:rsid w:val="00551B7D"/>
    <w:rsid w:val="00551D10"/>
    <w:rsid w:val="005531B3"/>
    <w:rsid w:val="00553522"/>
    <w:rsid w:val="005539D6"/>
    <w:rsid w:val="005546E0"/>
    <w:rsid w:val="00555473"/>
    <w:rsid w:val="0055556A"/>
    <w:rsid w:val="0055566F"/>
    <w:rsid w:val="005562F1"/>
    <w:rsid w:val="0055662F"/>
    <w:rsid w:val="0055710E"/>
    <w:rsid w:val="005572AD"/>
    <w:rsid w:val="0055746A"/>
    <w:rsid w:val="00561308"/>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6B4"/>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A7E63"/>
    <w:rsid w:val="005B0936"/>
    <w:rsid w:val="005B0CB9"/>
    <w:rsid w:val="005B0F5F"/>
    <w:rsid w:val="005B1085"/>
    <w:rsid w:val="005B1AEB"/>
    <w:rsid w:val="005B2F8F"/>
    <w:rsid w:val="005B3845"/>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5F750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A4"/>
    <w:rsid w:val="00611BCF"/>
    <w:rsid w:val="00611EEF"/>
    <w:rsid w:val="0061225C"/>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006"/>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25C5"/>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2C4"/>
    <w:rsid w:val="00686FE9"/>
    <w:rsid w:val="00687F4B"/>
    <w:rsid w:val="00690627"/>
    <w:rsid w:val="00691140"/>
    <w:rsid w:val="006915E5"/>
    <w:rsid w:val="00692938"/>
    <w:rsid w:val="00692985"/>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7553"/>
    <w:rsid w:val="006B7B72"/>
    <w:rsid w:val="006C09ED"/>
    <w:rsid w:val="006C0EF0"/>
    <w:rsid w:val="006C13BC"/>
    <w:rsid w:val="006C1AAC"/>
    <w:rsid w:val="006C236E"/>
    <w:rsid w:val="006C243C"/>
    <w:rsid w:val="006C35F3"/>
    <w:rsid w:val="006C3D17"/>
    <w:rsid w:val="006C4C0B"/>
    <w:rsid w:val="006C4CC0"/>
    <w:rsid w:val="006C5010"/>
    <w:rsid w:val="006C5083"/>
    <w:rsid w:val="006C5FCF"/>
    <w:rsid w:val="006C6031"/>
    <w:rsid w:val="006C62DD"/>
    <w:rsid w:val="006C6988"/>
    <w:rsid w:val="006C699C"/>
    <w:rsid w:val="006C6A4B"/>
    <w:rsid w:val="006C6F07"/>
    <w:rsid w:val="006C7053"/>
    <w:rsid w:val="006D0AE3"/>
    <w:rsid w:val="006D1694"/>
    <w:rsid w:val="006D240E"/>
    <w:rsid w:val="006D273C"/>
    <w:rsid w:val="006D2F6B"/>
    <w:rsid w:val="006D30EF"/>
    <w:rsid w:val="006D3D7F"/>
    <w:rsid w:val="006D41B8"/>
    <w:rsid w:val="006D4290"/>
    <w:rsid w:val="006D4377"/>
    <w:rsid w:val="006D49BE"/>
    <w:rsid w:val="006D4F29"/>
    <w:rsid w:val="006D6228"/>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28A3"/>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498B"/>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13B"/>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5BA"/>
    <w:rsid w:val="00794F88"/>
    <w:rsid w:val="00795057"/>
    <w:rsid w:val="007960B0"/>
    <w:rsid w:val="007962CE"/>
    <w:rsid w:val="007965A8"/>
    <w:rsid w:val="0079683B"/>
    <w:rsid w:val="00796869"/>
    <w:rsid w:val="00796B68"/>
    <w:rsid w:val="007A0BCF"/>
    <w:rsid w:val="007A12B2"/>
    <w:rsid w:val="007A13C1"/>
    <w:rsid w:val="007A1704"/>
    <w:rsid w:val="007A2819"/>
    <w:rsid w:val="007A2CE5"/>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7AF"/>
    <w:rsid w:val="007E4AC2"/>
    <w:rsid w:val="007E607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32F"/>
    <w:rsid w:val="00806653"/>
    <w:rsid w:val="00807706"/>
    <w:rsid w:val="00807A3B"/>
    <w:rsid w:val="00810B97"/>
    <w:rsid w:val="008110F9"/>
    <w:rsid w:val="00812D8F"/>
    <w:rsid w:val="00812E0B"/>
    <w:rsid w:val="0081367A"/>
    <w:rsid w:val="0081378F"/>
    <w:rsid w:val="008144DC"/>
    <w:rsid w:val="00815499"/>
    <w:rsid w:val="00815BD9"/>
    <w:rsid w:val="00815DF6"/>
    <w:rsid w:val="00815E17"/>
    <w:rsid w:val="00815F6E"/>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6D2"/>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0D3"/>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943"/>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3F87"/>
    <w:rsid w:val="008A431E"/>
    <w:rsid w:val="008A4403"/>
    <w:rsid w:val="008A4479"/>
    <w:rsid w:val="008A529C"/>
    <w:rsid w:val="008A5632"/>
    <w:rsid w:val="008A6279"/>
    <w:rsid w:val="008A6E50"/>
    <w:rsid w:val="008A7029"/>
    <w:rsid w:val="008A7595"/>
    <w:rsid w:val="008B01C4"/>
    <w:rsid w:val="008B01D9"/>
    <w:rsid w:val="008B01F1"/>
    <w:rsid w:val="008B0825"/>
    <w:rsid w:val="008B0B04"/>
    <w:rsid w:val="008B36C5"/>
    <w:rsid w:val="008B3EB0"/>
    <w:rsid w:val="008B48D5"/>
    <w:rsid w:val="008B5970"/>
    <w:rsid w:val="008B5AE5"/>
    <w:rsid w:val="008B6288"/>
    <w:rsid w:val="008B6D1E"/>
    <w:rsid w:val="008C0B2F"/>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2030"/>
    <w:rsid w:val="008D223A"/>
    <w:rsid w:val="008D2E97"/>
    <w:rsid w:val="008D328E"/>
    <w:rsid w:val="008D392A"/>
    <w:rsid w:val="008D3CB5"/>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5BD1"/>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509"/>
    <w:rsid w:val="009527CC"/>
    <w:rsid w:val="0095357A"/>
    <w:rsid w:val="0095444B"/>
    <w:rsid w:val="00954782"/>
    <w:rsid w:val="00954C76"/>
    <w:rsid w:val="00954F83"/>
    <w:rsid w:val="00954FB0"/>
    <w:rsid w:val="00956BC2"/>
    <w:rsid w:val="00956C75"/>
    <w:rsid w:val="00957DE8"/>
    <w:rsid w:val="00960333"/>
    <w:rsid w:val="00960EE3"/>
    <w:rsid w:val="00961292"/>
    <w:rsid w:val="009624CE"/>
    <w:rsid w:val="009626D4"/>
    <w:rsid w:val="009638E1"/>
    <w:rsid w:val="00963EE6"/>
    <w:rsid w:val="00963FC5"/>
    <w:rsid w:val="009640E4"/>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2BF9"/>
    <w:rsid w:val="0099305F"/>
    <w:rsid w:val="0099497D"/>
    <w:rsid w:val="00995202"/>
    <w:rsid w:val="00995929"/>
    <w:rsid w:val="00996682"/>
    <w:rsid w:val="009967CF"/>
    <w:rsid w:val="00996CF7"/>
    <w:rsid w:val="00996D51"/>
    <w:rsid w:val="009A0D63"/>
    <w:rsid w:val="009A0F1C"/>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225"/>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0BA5"/>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0C30"/>
    <w:rsid w:val="00A313DD"/>
    <w:rsid w:val="00A31433"/>
    <w:rsid w:val="00A31C98"/>
    <w:rsid w:val="00A31F68"/>
    <w:rsid w:val="00A32731"/>
    <w:rsid w:val="00A33824"/>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0FA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24BB"/>
    <w:rsid w:val="00A831D6"/>
    <w:rsid w:val="00A84C51"/>
    <w:rsid w:val="00A84C85"/>
    <w:rsid w:val="00A84EC6"/>
    <w:rsid w:val="00A85069"/>
    <w:rsid w:val="00A8541A"/>
    <w:rsid w:val="00A862B0"/>
    <w:rsid w:val="00A863F2"/>
    <w:rsid w:val="00A8649E"/>
    <w:rsid w:val="00A868BB"/>
    <w:rsid w:val="00A878F0"/>
    <w:rsid w:val="00A87BA3"/>
    <w:rsid w:val="00A87C01"/>
    <w:rsid w:val="00A87C35"/>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7A7"/>
    <w:rsid w:val="00AB499E"/>
    <w:rsid w:val="00AB4A95"/>
    <w:rsid w:val="00AB4B98"/>
    <w:rsid w:val="00AB5736"/>
    <w:rsid w:val="00AB585A"/>
    <w:rsid w:val="00AB65A3"/>
    <w:rsid w:val="00AB6B5D"/>
    <w:rsid w:val="00AB772F"/>
    <w:rsid w:val="00AB7C86"/>
    <w:rsid w:val="00AC10F3"/>
    <w:rsid w:val="00AC1C40"/>
    <w:rsid w:val="00AC1EF2"/>
    <w:rsid w:val="00AC2053"/>
    <w:rsid w:val="00AC2AD2"/>
    <w:rsid w:val="00AC31F6"/>
    <w:rsid w:val="00AC3F69"/>
    <w:rsid w:val="00AC4CED"/>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3850"/>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4D36"/>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350"/>
    <w:rsid w:val="00B6449A"/>
    <w:rsid w:val="00B65517"/>
    <w:rsid w:val="00B65E35"/>
    <w:rsid w:val="00B661F4"/>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6EBB"/>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2EA9"/>
    <w:rsid w:val="00BC311C"/>
    <w:rsid w:val="00BC3181"/>
    <w:rsid w:val="00BC3BFE"/>
    <w:rsid w:val="00BC5328"/>
    <w:rsid w:val="00BC55E6"/>
    <w:rsid w:val="00BC61B0"/>
    <w:rsid w:val="00BC66A6"/>
    <w:rsid w:val="00BC66F6"/>
    <w:rsid w:val="00BC6944"/>
    <w:rsid w:val="00BC6F03"/>
    <w:rsid w:val="00BC78A9"/>
    <w:rsid w:val="00BC7E9A"/>
    <w:rsid w:val="00BD0350"/>
    <w:rsid w:val="00BD0C9B"/>
    <w:rsid w:val="00BD10C4"/>
    <w:rsid w:val="00BD1943"/>
    <w:rsid w:val="00BD30FA"/>
    <w:rsid w:val="00BD3EA8"/>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4C8B"/>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8D5"/>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45"/>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11F"/>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BBE"/>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30F3"/>
    <w:rsid w:val="00CC3395"/>
    <w:rsid w:val="00CC34D2"/>
    <w:rsid w:val="00CC34DB"/>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152"/>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45F"/>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5C35"/>
    <w:rsid w:val="00D370F7"/>
    <w:rsid w:val="00D40662"/>
    <w:rsid w:val="00D42117"/>
    <w:rsid w:val="00D429E8"/>
    <w:rsid w:val="00D42AE1"/>
    <w:rsid w:val="00D4309C"/>
    <w:rsid w:val="00D4379D"/>
    <w:rsid w:val="00D438A9"/>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0EBA"/>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B01"/>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5CC5"/>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4E2F"/>
    <w:rsid w:val="00E06A25"/>
    <w:rsid w:val="00E07F3C"/>
    <w:rsid w:val="00E11964"/>
    <w:rsid w:val="00E11D16"/>
    <w:rsid w:val="00E11F51"/>
    <w:rsid w:val="00E124CD"/>
    <w:rsid w:val="00E12CAB"/>
    <w:rsid w:val="00E12F75"/>
    <w:rsid w:val="00E1333A"/>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4DB0"/>
    <w:rsid w:val="00E252B8"/>
    <w:rsid w:val="00E25311"/>
    <w:rsid w:val="00E27005"/>
    <w:rsid w:val="00E275E0"/>
    <w:rsid w:val="00E27854"/>
    <w:rsid w:val="00E27AF7"/>
    <w:rsid w:val="00E30111"/>
    <w:rsid w:val="00E30379"/>
    <w:rsid w:val="00E30704"/>
    <w:rsid w:val="00E30FC4"/>
    <w:rsid w:val="00E31539"/>
    <w:rsid w:val="00E320B1"/>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4BB"/>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4F86"/>
    <w:rsid w:val="00E667F3"/>
    <w:rsid w:val="00E67D25"/>
    <w:rsid w:val="00E67E1C"/>
    <w:rsid w:val="00E700C1"/>
    <w:rsid w:val="00E70D30"/>
    <w:rsid w:val="00E70E2E"/>
    <w:rsid w:val="00E7103A"/>
    <w:rsid w:val="00E71555"/>
    <w:rsid w:val="00E71663"/>
    <w:rsid w:val="00E71783"/>
    <w:rsid w:val="00E72E14"/>
    <w:rsid w:val="00E732BC"/>
    <w:rsid w:val="00E73CF6"/>
    <w:rsid w:val="00E73F90"/>
    <w:rsid w:val="00E746BD"/>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8A5"/>
    <w:rsid w:val="00E83ECB"/>
    <w:rsid w:val="00E84406"/>
    <w:rsid w:val="00E84878"/>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6D9D"/>
    <w:rsid w:val="00E97BAC"/>
    <w:rsid w:val="00EA0A73"/>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050C"/>
    <w:rsid w:val="00EB1576"/>
    <w:rsid w:val="00EB184D"/>
    <w:rsid w:val="00EB2082"/>
    <w:rsid w:val="00EB3E70"/>
    <w:rsid w:val="00EB4636"/>
    <w:rsid w:val="00EB4F77"/>
    <w:rsid w:val="00EB5733"/>
    <w:rsid w:val="00EB7272"/>
    <w:rsid w:val="00EC1934"/>
    <w:rsid w:val="00EC22A7"/>
    <w:rsid w:val="00EC271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0F1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6A3C"/>
    <w:rsid w:val="00EF6C9B"/>
    <w:rsid w:val="00EF732B"/>
    <w:rsid w:val="00F0019E"/>
    <w:rsid w:val="00F00200"/>
    <w:rsid w:val="00F0111E"/>
    <w:rsid w:val="00F01441"/>
    <w:rsid w:val="00F01862"/>
    <w:rsid w:val="00F02238"/>
    <w:rsid w:val="00F034F9"/>
    <w:rsid w:val="00F04C12"/>
    <w:rsid w:val="00F0573A"/>
    <w:rsid w:val="00F05B39"/>
    <w:rsid w:val="00F05BCC"/>
    <w:rsid w:val="00F05BE0"/>
    <w:rsid w:val="00F07772"/>
    <w:rsid w:val="00F0795E"/>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714"/>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B4E"/>
    <w:rsid w:val="00F50CCB"/>
    <w:rsid w:val="00F52E12"/>
    <w:rsid w:val="00F5315B"/>
    <w:rsid w:val="00F541A4"/>
    <w:rsid w:val="00F54E90"/>
    <w:rsid w:val="00F5612E"/>
    <w:rsid w:val="00F57C87"/>
    <w:rsid w:val="00F601E6"/>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295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07A9"/>
    <w:rsid w:val="00FB13DA"/>
    <w:rsid w:val="00FB1659"/>
    <w:rsid w:val="00FB1EB4"/>
    <w:rsid w:val="00FB1FA9"/>
    <w:rsid w:val="00FB3658"/>
    <w:rsid w:val="00FB3B0E"/>
    <w:rsid w:val="00FB59C9"/>
    <w:rsid w:val="00FB5BC2"/>
    <w:rsid w:val="00FB62CF"/>
    <w:rsid w:val="00FB6370"/>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0C8A"/>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C61066"/>
    <w:rsid w:val="06D70337"/>
    <w:rsid w:val="06F227DE"/>
    <w:rsid w:val="0A70684A"/>
    <w:rsid w:val="0A951F6E"/>
    <w:rsid w:val="0BFA53E6"/>
    <w:rsid w:val="0C7F72BD"/>
    <w:rsid w:val="0D2A0E16"/>
    <w:rsid w:val="0D844120"/>
    <w:rsid w:val="0D9E60D7"/>
    <w:rsid w:val="0F9A500F"/>
    <w:rsid w:val="116077A0"/>
    <w:rsid w:val="11FB3784"/>
    <w:rsid w:val="12427DF1"/>
    <w:rsid w:val="12BA5DE6"/>
    <w:rsid w:val="13FF2FB9"/>
    <w:rsid w:val="141C135C"/>
    <w:rsid w:val="15E76A24"/>
    <w:rsid w:val="16CB43D6"/>
    <w:rsid w:val="17827F02"/>
    <w:rsid w:val="182E7070"/>
    <w:rsid w:val="183F1D1A"/>
    <w:rsid w:val="19F97358"/>
    <w:rsid w:val="1A553748"/>
    <w:rsid w:val="1A6754AF"/>
    <w:rsid w:val="1AE3378E"/>
    <w:rsid w:val="1AFA6EBD"/>
    <w:rsid w:val="1C7B3169"/>
    <w:rsid w:val="1C933E4A"/>
    <w:rsid w:val="1CD064C6"/>
    <w:rsid w:val="206977D9"/>
    <w:rsid w:val="21A613C7"/>
    <w:rsid w:val="223733C1"/>
    <w:rsid w:val="224E294F"/>
    <w:rsid w:val="226C214F"/>
    <w:rsid w:val="22854FFE"/>
    <w:rsid w:val="22E31283"/>
    <w:rsid w:val="2348000B"/>
    <w:rsid w:val="25BB7DA5"/>
    <w:rsid w:val="26FF4404"/>
    <w:rsid w:val="278F3615"/>
    <w:rsid w:val="2A05115A"/>
    <w:rsid w:val="2AD23EBC"/>
    <w:rsid w:val="2CC827E0"/>
    <w:rsid w:val="2DE11CBB"/>
    <w:rsid w:val="2F4D4865"/>
    <w:rsid w:val="2FAF694F"/>
    <w:rsid w:val="313145D4"/>
    <w:rsid w:val="31C07988"/>
    <w:rsid w:val="34514DEA"/>
    <w:rsid w:val="34A5067E"/>
    <w:rsid w:val="34CC3D50"/>
    <w:rsid w:val="355B4FFE"/>
    <w:rsid w:val="35645814"/>
    <w:rsid w:val="359441D9"/>
    <w:rsid w:val="36682807"/>
    <w:rsid w:val="37F86297"/>
    <w:rsid w:val="38077A24"/>
    <w:rsid w:val="39607DE8"/>
    <w:rsid w:val="39822E25"/>
    <w:rsid w:val="39A33E38"/>
    <w:rsid w:val="39E30BB5"/>
    <w:rsid w:val="39F775D0"/>
    <w:rsid w:val="3A5425F7"/>
    <w:rsid w:val="3AB70F8D"/>
    <w:rsid w:val="3BD261FC"/>
    <w:rsid w:val="3E546CEB"/>
    <w:rsid w:val="3F657D6E"/>
    <w:rsid w:val="401C19E8"/>
    <w:rsid w:val="418827F6"/>
    <w:rsid w:val="421440A0"/>
    <w:rsid w:val="427914F2"/>
    <w:rsid w:val="42926285"/>
    <w:rsid w:val="42DA0C6E"/>
    <w:rsid w:val="43AB748D"/>
    <w:rsid w:val="44FA1BC9"/>
    <w:rsid w:val="450966EF"/>
    <w:rsid w:val="45412657"/>
    <w:rsid w:val="464773B4"/>
    <w:rsid w:val="465877C4"/>
    <w:rsid w:val="476612EE"/>
    <w:rsid w:val="478B4272"/>
    <w:rsid w:val="47EA5B27"/>
    <w:rsid w:val="48BD6E6E"/>
    <w:rsid w:val="48F15695"/>
    <w:rsid w:val="49782573"/>
    <w:rsid w:val="49E5424F"/>
    <w:rsid w:val="4A1C5E76"/>
    <w:rsid w:val="4B242DD8"/>
    <w:rsid w:val="4B3A2F93"/>
    <w:rsid w:val="4CDF200B"/>
    <w:rsid w:val="4D8818A4"/>
    <w:rsid w:val="4DC00CD4"/>
    <w:rsid w:val="4FBF2B30"/>
    <w:rsid w:val="50070AD0"/>
    <w:rsid w:val="51854483"/>
    <w:rsid w:val="524A1ECB"/>
    <w:rsid w:val="54491131"/>
    <w:rsid w:val="547E4F4D"/>
    <w:rsid w:val="54E831A5"/>
    <w:rsid w:val="5A4159A9"/>
    <w:rsid w:val="5A633C89"/>
    <w:rsid w:val="5B696393"/>
    <w:rsid w:val="5B7B1804"/>
    <w:rsid w:val="5B7D7635"/>
    <w:rsid w:val="5C475F9E"/>
    <w:rsid w:val="5D684457"/>
    <w:rsid w:val="5EAE747B"/>
    <w:rsid w:val="5F34520E"/>
    <w:rsid w:val="601C5B46"/>
    <w:rsid w:val="606A15ED"/>
    <w:rsid w:val="641C5E3C"/>
    <w:rsid w:val="65D90B98"/>
    <w:rsid w:val="66AC7A28"/>
    <w:rsid w:val="67F10FCD"/>
    <w:rsid w:val="693D654E"/>
    <w:rsid w:val="695B3AB7"/>
    <w:rsid w:val="6AFB752E"/>
    <w:rsid w:val="6CC46AC2"/>
    <w:rsid w:val="6D0D797F"/>
    <w:rsid w:val="6D881C70"/>
    <w:rsid w:val="6E0C11B0"/>
    <w:rsid w:val="6E3C0C9C"/>
    <w:rsid w:val="6FDD6381"/>
    <w:rsid w:val="71AF35F1"/>
    <w:rsid w:val="7849732E"/>
    <w:rsid w:val="7B4A52E9"/>
    <w:rsid w:val="7CC2355D"/>
    <w:rsid w:val="7D4D5A35"/>
    <w:rsid w:val="7DA75CF8"/>
    <w:rsid w:val="7DF37ED1"/>
    <w:rsid w:val="7E423C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8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7"/>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51"/>
    <w:qFormat/>
    <w:uiPriority w:val="0"/>
    <w:pPr>
      <w:keepNext/>
      <w:keepLines/>
      <w:spacing w:before="240" w:after="64" w:line="320" w:lineRule="auto"/>
      <w:outlineLvl w:val="6"/>
    </w:pPr>
    <w:rPr>
      <w:b/>
      <w:sz w:val="24"/>
      <w:szCs w:val="20"/>
    </w:rPr>
  </w:style>
  <w:style w:type="paragraph" w:styleId="11">
    <w:name w:val="heading 8"/>
    <w:basedOn w:val="1"/>
    <w:next w:val="9"/>
    <w:link w:val="8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5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9">
    <w:name w:val="Normal Indent"/>
    <w:basedOn w:val="1"/>
    <w:link w:val="56"/>
    <w:qFormat/>
    <w:uiPriority w:val="0"/>
    <w:pPr>
      <w:ind w:firstLine="420"/>
    </w:pPr>
    <w:rPr>
      <w:szCs w:val="20"/>
    </w:rPr>
  </w:style>
  <w:style w:type="paragraph" w:styleId="13">
    <w:name w:val="toc 7"/>
    <w:basedOn w:val="1"/>
    <w:next w:val="1"/>
    <w:unhideWhenUsed/>
    <w:qFormat/>
    <w:uiPriority w:val="39"/>
    <w:pPr>
      <w:ind w:left="1260"/>
      <w:jc w:val="left"/>
    </w:pPr>
    <w:rPr>
      <w:rFonts w:ascii="Calibri" w:hAnsi="Calibri"/>
      <w:sz w:val="18"/>
      <w:szCs w:val="18"/>
    </w:rPr>
  </w:style>
  <w:style w:type="paragraph" w:styleId="14">
    <w:name w:val="caption"/>
    <w:basedOn w:val="1"/>
    <w:next w:val="1"/>
    <w:link w:val="75"/>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68"/>
    <w:semiHidden/>
    <w:qFormat/>
    <w:uiPriority w:val="99"/>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1"/>
    <w:qFormat/>
    <w:uiPriority w:val="99"/>
    <w:pPr>
      <w:ind w:firstLine="830" w:firstLineChars="352"/>
    </w:pPr>
    <w:rPr>
      <w:rFonts w:ascii="仿宋_GB2312" w:eastAsia="仿宋_GB2312"/>
      <w:sz w:val="32"/>
      <w:szCs w:val="20"/>
    </w:rPr>
  </w:style>
  <w:style w:type="paragraph" w:styleId="21">
    <w:name w:val="toc 5"/>
    <w:basedOn w:val="1"/>
    <w:next w:val="1"/>
    <w:unhideWhenUsed/>
    <w:qFormat/>
    <w:uiPriority w:val="39"/>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5"/>
    <w:qFormat/>
    <w:uiPriority w:val="0"/>
    <w:rPr>
      <w:rFonts w:ascii="宋体" w:hAnsi="Courier New" w:cs="Courier New"/>
      <w:szCs w:val="21"/>
    </w:rPr>
  </w:style>
  <w:style w:type="paragraph" w:styleId="24">
    <w:name w:val="toc 8"/>
    <w:basedOn w:val="1"/>
    <w:next w:val="1"/>
    <w:qFormat/>
    <w:uiPriority w:val="39"/>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link w:val="90"/>
    <w:qFormat/>
    <w:uiPriority w:val="0"/>
    <w:pPr>
      <w:spacing w:after="120" w:line="480" w:lineRule="auto"/>
      <w:ind w:left="420" w:leftChars="200"/>
    </w:pPr>
  </w:style>
  <w:style w:type="paragraph" w:styleId="28">
    <w:name w:val="Balloon Text"/>
    <w:basedOn w:val="1"/>
    <w:link w:val="60"/>
    <w:semiHidden/>
    <w:qFormat/>
    <w:uiPriority w:val="0"/>
    <w:rPr>
      <w:sz w:val="18"/>
      <w:szCs w:val="18"/>
    </w:rPr>
  </w:style>
  <w:style w:type="paragraph" w:styleId="29">
    <w:name w:val="footer"/>
    <w:basedOn w:val="1"/>
    <w:link w:val="78"/>
    <w:qFormat/>
    <w:uiPriority w:val="0"/>
    <w:pPr>
      <w:tabs>
        <w:tab w:val="center" w:pos="4153"/>
        <w:tab w:val="right" w:pos="8306"/>
      </w:tabs>
      <w:snapToGrid w:val="0"/>
      <w:jc w:val="left"/>
    </w:pPr>
    <w:rPr>
      <w:sz w:val="18"/>
      <w:szCs w:val="18"/>
    </w:rPr>
  </w:style>
  <w:style w:type="paragraph" w:styleId="30">
    <w:name w:val="header"/>
    <w:basedOn w:val="1"/>
    <w:link w:val="57"/>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39"/>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39"/>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89"/>
    <w:qFormat/>
    <w:uiPriority w:val="0"/>
    <w:pPr>
      <w:spacing w:before="240" w:after="60"/>
      <w:jc w:val="center"/>
      <w:outlineLvl w:val="0"/>
    </w:pPr>
    <w:rPr>
      <w:rFonts w:ascii="Arial" w:hAnsi="Arial"/>
      <w:b/>
      <w:bCs/>
      <w:sz w:val="32"/>
      <w:szCs w:val="32"/>
    </w:rPr>
  </w:style>
  <w:style w:type="paragraph" w:styleId="41">
    <w:name w:val="annotation subject"/>
    <w:basedOn w:val="17"/>
    <w:next w:val="17"/>
    <w:semiHidden/>
    <w:qFormat/>
    <w:uiPriority w:val="0"/>
    <w:rPr>
      <w:b/>
      <w:bCs/>
    </w:rPr>
  </w:style>
  <w:style w:type="paragraph" w:styleId="42">
    <w:name w:val="Body Text First Indent"/>
    <w:basedOn w:val="19"/>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customStyle="1" w:styleId="50">
    <w:name w:val="已访问的超链接1"/>
    <w:qFormat/>
    <w:uiPriority w:val="0"/>
    <w:rPr>
      <w:color w:val="800080"/>
      <w:u w:val="single"/>
    </w:rPr>
  </w:style>
  <w:style w:type="character" w:customStyle="1" w:styleId="51">
    <w:name w:val="标题 7 Char"/>
    <w:link w:val="10"/>
    <w:qFormat/>
    <w:locked/>
    <w:uiPriority w:val="0"/>
    <w:rPr>
      <w:b/>
      <w:kern w:val="2"/>
      <w:sz w:val="24"/>
    </w:rPr>
  </w:style>
  <w:style w:type="character" w:customStyle="1" w:styleId="52">
    <w:name w:val="标题 9 Char"/>
    <w:link w:val="12"/>
    <w:qFormat/>
    <w:locked/>
    <w:uiPriority w:val="0"/>
    <w:rPr>
      <w:rFonts w:ascii="Arial" w:hAnsi="Arial" w:eastAsia="黑体"/>
      <w:kern w:val="2"/>
      <w:sz w:val="21"/>
    </w:rPr>
  </w:style>
  <w:style w:type="character" w:customStyle="1" w:styleId="53">
    <w:name w:val="标题 3 Char1"/>
    <w:qFormat/>
    <w:locked/>
    <w:uiPriority w:val="0"/>
    <w:rPr>
      <w:rFonts w:ascii="宋体" w:hAnsi="Times New Roman"/>
    </w:rPr>
  </w:style>
  <w:style w:type="character" w:customStyle="1" w:styleId="54">
    <w:name w:val="标题 4 Char"/>
    <w:link w:val="6"/>
    <w:qFormat/>
    <w:locked/>
    <w:uiPriority w:val="0"/>
    <w:rPr>
      <w:rFonts w:ascii="Arial" w:hAnsi="Arial" w:eastAsia="黑体"/>
      <w:b/>
      <w:bCs/>
      <w:kern w:val="2"/>
      <w:sz w:val="28"/>
      <w:szCs w:val="28"/>
    </w:rPr>
  </w:style>
  <w:style w:type="character" w:customStyle="1" w:styleId="55">
    <w:name w:val="Char Char8"/>
    <w:qFormat/>
    <w:uiPriority w:val="0"/>
    <w:rPr>
      <w:rFonts w:ascii="宋体" w:hAnsi="Courier New" w:eastAsia="宋体"/>
      <w:kern w:val="2"/>
      <w:sz w:val="21"/>
      <w:lang w:val="en-US" w:eastAsia="zh-CN" w:bidi="ar-SA"/>
    </w:rPr>
  </w:style>
  <w:style w:type="character" w:customStyle="1" w:styleId="56">
    <w:name w:val="正文缩进 Char"/>
    <w:link w:val="9"/>
    <w:qFormat/>
    <w:uiPriority w:val="0"/>
    <w:rPr>
      <w:rFonts w:eastAsia="宋体"/>
      <w:kern w:val="2"/>
      <w:sz w:val="21"/>
      <w:lang w:val="en-US" w:eastAsia="zh-CN" w:bidi="ar-SA"/>
    </w:rPr>
  </w:style>
  <w:style w:type="character" w:customStyle="1" w:styleId="57">
    <w:name w:val="页眉 Char"/>
    <w:link w:val="30"/>
    <w:qFormat/>
    <w:uiPriority w:val="0"/>
    <w:rPr>
      <w:rFonts w:hAnsi="宋体"/>
      <w:color w:val="000000"/>
      <w:kern w:val="2"/>
      <w:sz w:val="18"/>
      <w:szCs w:val="18"/>
    </w:rPr>
  </w:style>
  <w:style w:type="character" w:customStyle="1" w:styleId="58">
    <w:name w:val="正文 A Char Char"/>
    <w:link w:val="59"/>
    <w:qFormat/>
    <w:uiPriority w:val="0"/>
    <w:rPr>
      <w:rFonts w:ascii="仿宋_GB2312" w:hAnsi="Heiti SC Light" w:eastAsia="仿宋_GB2312"/>
      <w:kern w:val="2"/>
      <w:sz w:val="24"/>
      <w:lang w:val="en-US" w:eastAsia="zh-CN" w:bidi="ar-SA"/>
    </w:rPr>
  </w:style>
  <w:style w:type="paragraph" w:customStyle="1" w:styleId="59">
    <w:name w:val="正文 A"/>
    <w:link w:val="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0">
    <w:name w:val="批注框文本 Char"/>
    <w:link w:val="28"/>
    <w:semiHidden/>
    <w:qFormat/>
    <w:locked/>
    <w:uiPriority w:val="0"/>
    <w:rPr>
      <w:kern w:val="2"/>
      <w:sz w:val="18"/>
      <w:szCs w:val="18"/>
    </w:rPr>
  </w:style>
  <w:style w:type="character" w:customStyle="1" w:styleId="61">
    <w:name w:val="正文文本缩进 Char"/>
    <w:link w:val="20"/>
    <w:qFormat/>
    <w:uiPriority w:val="99"/>
    <w:rPr>
      <w:rFonts w:ascii="仿宋_GB2312" w:eastAsia="仿宋_GB2312"/>
      <w:kern w:val="2"/>
      <w:sz w:val="32"/>
    </w:rPr>
  </w:style>
  <w:style w:type="character" w:customStyle="1" w:styleId="62">
    <w:name w:val="xl25 Char"/>
    <w:link w:val="63"/>
    <w:qFormat/>
    <w:uiPriority w:val="0"/>
    <w:rPr>
      <w:rFonts w:ascii="宋体" w:hAnsi="宋体" w:eastAsia="宋体"/>
      <w:sz w:val="21"/>
      <w:szCs w:val="21"/>
      <w:lang w:val="en-US" w:eastAsia="zh-CN" w:bidi="ar-SA"/>
    </w:rPr>
  </w:style>
  <w:style w:type="paragraph" w:customStyle="1" w:styleId="63">
    <w:name w:val="xl25"/>
    <w:basedOn w:val="1"/>
    <w:link w:val="62"/>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4">
    <w:name w:val="font1"/>
    <w:qFormat/>
    <w:uiPriority w:val="0"/>
    <w:rPr>
      <w:sz w:val="18"/>
      <w:szCs w:val="18"/>
      <w:u w:val="none"/>
    </w:rPr>
  </w:style>
  <w:style w:type="character" w:customStyle="1" w:styleId="65">
    <w:name w:val="纯文本 Char"/>
    <w:link w:val="23"/>
    <w:qFormat/>
    <w:uiPriority w:val="0"/>
    <w:rPr>
      <w:rFonts w:ascii="宋体" w:hAnsi="Courier New" w:eastAsia="宋体" w:cs="Courier New"/>
      <w:kern w:val="2"/>
      <w:sz w:val="21"/>
      <w:szCs w:val="21"/>
      <w:lang w:val="en-US" w:eastAsia="zh-CN" w:bidi="ar-SA"/>
    </w:rPr>
  </w:style>
  <w:style w:type="character" w:customStyle="1" w:styleId="66">
    <w:name w:val="标题 2 Char"/>
    <w:qFormat/>
    <w:uiPriority w:val="0"/>
    <w:rPr>
      <w:rFonts w:ascii="Arial" w:hAnsi="Arial" w:eastAsia="黑体"/>
      <w:b/>
      <w:bCs/>
      <w:kern w:val="2"/>
      <w:sz w:val="32"/>
      <w:szCs w:val="32"/>
      <w:lang w:val="en-US" w:eastAsia="zh-CN" w:bidi="ar-SA"/>
    </w:rPr>
  </w:style>
  <w:style w:type="character" w:customStyle="1" w:styleId="67">
    <w:name w:val="纯文本 Char1"/>
    <w:qFormat/>
    <w:uiPriority w:val="0"/>
    <w:rPr>
      <w:rFonts w:ascii="宋体" w:hAnsi="Courier New" w:eastAsia="宋体" w:cs="Times New Roman"/>
      <w:kern w:val="0"/>
      <w:sz w:val="20"/>
      <w:szCs w:val="20"/>
    </w:rPr>
  </w:style>
  <w:style w:type="character" w:customStyle="1" w:styleId="68">
    <w:name w:val="批注文字 Char"/>
    <w:link w:val="17"/>
    <w:semiHidden/>
    <w:qFormat/>
    <w:uiPriority w:val="99"/>
    <w:rPr>
      <w:kern w:val="2"/>
      <w:sz w:val="21"/>
      <w:szCs w:val="24"/>
    </w:rPr>
  </w:style>
  <w:style w:type="character" w:customStyle="1" w:styleId="69">
    <w:name w:val="标题 3 Char"/>
    <w:link w:val="5"/>
    <w:qFormat/>
    <w:uiPriority w:val="0"/>
    <w:rPr>
      <w:rFonts w:eastAsia="宋体"/>
      <w:b/>
      <w:bCs/>
      <w:kern w:val="2"/>
      <w:sz w:val="32"/>
      <w:szCs w:val="32"/>
      <w:lang w:val="en-US" w:eastAsia="zh-CN" w:bidi="ar-SA"/>
    </w:rPr>
  </w:style>
  <w:style w:type="character" w:customStyle="1" w:styleId="70">
    <w:name w:val="mark8"/>
    <w:qFormat/>
    <w:uiPriority w:val="0"/>
    <w:rPr>
      <w:b/>
      <w:bCs/>
      <w:sz w:val="21"/>
      <w:szCs w:val="21"/>
    </w:rPr>
  </w:style>
  <w:style w:type="character" w:customStyle="1" w:styleId="71">
    <w:name w:val="列出段落 Char"/>
    <w:link w:val="72"/>
    <w:qFormat/>
    <w:uiPriority w:val="0"/>
    <w:rPr>
      <w:rFonts w:ascii="Calibri" w:hAnsi="Calibri"/>
      <w:kern w:val="2"/>
      <w:sz w:val="21"/>
      <w:szCs w:val="22"/>
    </w:rPr>
  </w:style>
  <w:style w:type="paragraph" w:styleId="72">
    <w:name w:val="List Paragraph"/>
    <w:basedOn w:val="1"/>
    <w:link w:val="71"/>
    <w:qFormat/>
    <w:uiPriority w:val="0"/>
    <w:pPr>
      <w:ind w:firstLine="420" w:firstLineChars="200"/>
    </w:pPr>
    <w:rPr>
      <w:rFonts w:ascii="Calibri" w:hAnsi="Calibri"/>
      <w:szCs w:val="22"/>
    </w:rPr>
  </w:style>
  <w:style w:type="character" w:customStyle="1" w:styleId="73">
    <w:name w:val="Char Char10"/>
    <w:qFormat/>
    <w:uiPriority w:val="0"/>
    <w:rPr>
      <w:rFonts w:eastAsia="宋体"/>
      <w:kern w:val="2"/>
      <w:sz w:val="18"/>
      <w:szCs w:val="18"/>
      <w:lang w:val="en-US" w:eastAsia="zh-CN" w:bidi="ar-SA"/>
    </w:rPr>
  </w:style>
  <w:style w:type="character" w:customStyle="1" w:styleId="74">
    <w:name w:val="nine-11"/>
    <w:qFormat/>
    <w:uiPriority w:val="0"/>
    <w:rPr>
      <w:rFonts w:hint="default"/>
      <w:sz w:val="18"/>
      <w:szCs w:val="18"/>
    </w:rPr>
  </w:style>
  <w:style w:type="character" w:customStyle="1" w:styleId="75">
    <w:name w:val="题注 Char"/>
    <w:link w:val="14"/>
    <w:qFormat/>
    <w:uiPriority w:val="0"/>
    <w:rPr>
      <w:rFonts w:ascii="Arial" w:hAnsi="Arial" w:eastAsia="黑体" w:cs="Arial"/>
      <w:kern w:val="2"/>
    </w:rPr>
  </w:style>
  <w:style w:type="character" w:customStyle="1" w:styleId="76">
    <w:name w:val="mark"/>
    <w:basedOn w:val="45"/>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页脚 Char"/>
    <w:link w:val="29"/>
    <w:qFormat/>
    <w:uiPriority w:val="0"/>
    <w:rPr>
      <w:rFonts w:eastAsia="宋体"/>
      <w:kern w:val="2"/>
      <w:sz w:val="18"/>
      <w:szCs w:val="18"/>
      <w:lang w:val="en-US" w:eastAsia="zh-CN" w:bidi="ar-SA"/>
    </w:rPr>
  </w:style>
  <w:style w:type="character" w:customStyle="1" w:styleId="79">
    <w:name w:val="font31"/>
    <w:qFormat/>
    <w:uiPriority w:val="0"/>
    <w:rPr>
      <w:rFonts w:hint="eastAsia" w:ascii="宋体" w:hAnsi="宋体" w:eastAsia="宋体" w:cs="宋体"/>
      <w:color w:val="000000"/>
      <w:sz w:val="20"/>
      <w:szCs w:val="20"/>
      <w:u w:val="none"/>
    </w:rPr>
  </w:style>
  <w:style w:type="character" w:customStyle="1" w:styleId="80">
    <w:name w:val="Font Style17"/>
    <w:qFormat/>
    <w:uiPriority w:val="0"/>
    <w:rPr>
      <w:rFonts w:ascii="黑体" w:eastAsia="黑体" w:cs="黑体"/>
      <w:sz w:val="28"/>
      <w:szCs w:val="28"/>
    </w:rPr>
  </w:style>
  <w:style w:type="character" w:customStyle="1" w:styleId="81">
    <w:name w:val="标题 1 Char"/>
    <w:qFormat/>
    <w:uiPriority w:val="0"/>
    <w:rPr>
      <w:rFonts w:ascii="Times New Roman" w:hAnsi="Times New Roman" w:eastAsia="宋体" w:cs="Times New Roman"/>
      <w:b/>
      <w:bCs/>
      <w:kern w:val="44"/>
      <w:sz w:val="44"/>
      <w:szCs w:val="44"/>
    </w:rPr>
  </w:style>
  <w:style w:type="character" w:customStyle="1" w:styleId="82">
    <w:name w:val="List Paragraph Char"/>
    <w:link w:val="83"/>
    <w:qFormat/>
    <w:locked/>
    <w:uiPriority w:val="0"/>
    <w:rPr>
      <w:rFonts w:ascii="Calibri" w:hAnsi="Calibri"/>
      <w:kern w:val="2"/>
      <w:sz w:val="21"/>
      <w:szCs w:val="22"/>
    </w:rPr>
  </w:style>
  <w:style w:type="paragraph" w:customStyle="1" w:styleId="83">
    <w:name w:val="列出段落2"/>
    <w:basedOn w:val="1"/>
    <w:link w:val="82"/>
    <w:qFormat/>
    <w:uiPriority w:val="0"/>
    <w:pPr>
      <w:ind w:firstLine="420" w:firstLineChars="200"/>
    </w:pPr>
    <w:rPr>
      <w:rFonts w:ascii="Calibri" w:hAnsi="Calibri"/>
      <w:szCs w:val="22"/>
    </w:rPr>
  </w:style>
  <w:style w:type="character" w:customStyle="1" w:styleId="84">
    <w:name w:val="标题 1 Char1"/>
    <w:link w:val="3"/>
    <w:qFormat/>
    <w:locked/>
    <w:uiPriority w:val="0"/>
    <w:rPr>
      <w:b/>
      <w:bCs/>
      <w:kern w:val="44"/>
      <w:sz w:val="44"/>
      <w:szCs w:val="44"/>
    </w:rPr>
  </w:style>
  <w:style w:type="character" w:customStyle="1" w:styleId="85">
    <w:name w:val="标题 2 Char1"/>
    <w:link w:val="4"/>
    <w:qFormat/>
    <w:locked/>
    <w:uiPriority w:val="0"/>
    <w:rPr>
      <w:rFonts w:ascii="Arial" w:hAnsi="Arial" w:eastAsia="黑体"/>
      <w:b/>
      <w:bCs/>
      <w:kern w:val="2"/>
      <w:sz w:val="32"/>
      <w:szCs w:val="32"/>
    </w:rPr>
  </w:style>
  <w:style w:type="character" w:customStyle="1" w:styleId="86">
    <w:name w:val="标题 5 Char"/>
    <w:link w:val="7"/>
    <w:qFormat/>
    <w:locked/>
    <w:uiPriority w:val="0"/>
    <w:rPr>
      <w:b/>
      <w:sz w:val="28"/>
    </w:rPr>
  </w:style>
  <w:style w:type="character" w:customStyle="1" w:styleId="87">
    <w:name w:val="标题 6 Char"/>
    <w:link w:val="8"/>
    <w:qFormat/>
    <w:locked/>
    <w:uiPriority w:val="0"/>
    <w:rPr>
      <w:rFonts w:ascii="Arial" w:hAnsi="Arial" w:eastAsia="黑体"/>
      <w:b/>
      <w:kern w:val="2"/>
      <w:sz w:val="24"/>
    </w:rPr>
  </w:style>
  <w:style w:type="character" w:customStyle="1" w:styleId="88">
    <w:name w:val="标题 8 Char"/>
    <w:link w:val="11"/>
    <w:qFormat/>
    <w:locked/>
    <w:uiPriority w:val="0"/>
    <w:rPr>
      <w:rFonts w:ascii="Arial" w:hAnsi="Arial" w:eastAsia="黑体"/>
      <w:kern w:val="2"/>
      <w:sz w:val="24"/>
    </w:rPr>
  </w:style>
  <w:style w:type="character" w:customStyle="1" w:styleId="89">
    <w:name w:val="标题 Char"/>
    <w:link w:val="40"/>
    <w:qFormat/>
    <w:uiPriority w:val="0"/>
    <w:rPr>
      <w:rFonts w:ascii="Arial" w:hAnsi="Arial" w:cs="Arial"/>
      <w:b/>
      <w:bCs/>
      <w:kern w:val="2"/>
      <w:sz w:val="32"/>
      <w:szCs w:val="32"/>
    </w:rPr>
  </w:style>
  <w:style w:type="character" w:customStyle="1" w:styleId="90">
    <w:name w:val="正文文本缩进 2 Char"/>
    <w:link w:val="27"/>
    <w:qFormat/>
    <w:uiPriority w:val="0"/>
    <w:rPr>
      <w:kern w:val="2"/>
      <w:sz w:val="21"/>
      <w:szCs w:val="24"/>
    </w:rPr>
  </w:style>
  <w:style w:type="character" w:customStyle="1" w:styleId="91">
    <w:name w:val="表标题 Char Char"/>
    <w:link w:val="92"/>
    <w:qFormat/>
    <w:uiPriority w:val="0"/>
    <w:rPr>
      <w:b/>
    </w:rPr>
  </w:style>
  <w:style w:type="paragraph" w:customStyle="1" w:styleId="92">
    <w:name w:val="表标题"/>
    <w:basedOn w:val="9"/>
    <w:link w:val="91"/>
    <w:qFormat/>
    <w:uiPriority w:val="0"/>
    <w:pPr>
      <w:adjustRightInd w:val="0"/>
      <w:snapToGrid w:val="0"/>
      <w:spacing w:before="62" w:after="62"/>
      <w:ind w:firstLine="0"/>
      <w:jc w:val="center"/>
    </w:pPr>
    <w:rPr>
      <w:b/>
      <w:kern w:val="0"/>
      <w:sz w:val="20"/>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4">
    <w:name w:val="_Style 4"/>
    <w:basedOn w:val="1"/>
    <w:qFormat/>
    <w:uiPriority w:val="0"/>
    <w:pPr>
      <w:spacing w:beforeLines="50" w:afterLines="50"/>
    </w:pPr>
  </w:style>
  <w:style w:type="paragraph" w:customStyle="1" w:styleId="9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办公自动化专用标题"/>
    <w:basedOn w:val="40"/>
    <w:qFormat/>
    <w:uiPriority w:val="0"/>
    <w:pPr>
      <w:spacing w:line="560" w:lineRule="atLeast"/>
    </w:pPr>
    <w:rPr>
      <w:rFonts w:ascii="宋体"/>
      <w:bCs w:val="0"/>
      <w:sz w:val="44"/>
      <w:szCs w:val="20"/>
    </w:rPr>
  </w:style>
  <w:style w:type="paragraph" w:customStyle="1" w:styleId="99">
    <w:name w:val="Char3"/>
    <w:basedOn w:val="1"/>
    <w:qFormat/>
    <w:uiPriority w:val="0"/>
  </w:style>
  <w:style w:type="paragraph" w:customStyle="1" w:styleId="100">
    <w:name w:val="表格"/>
    <w:basedOn w:val="1"/>
    <w:qFormat/>
    <w:uiPriority w:val="0"/>
    <w:pPr>
      <w:jc w:val="center"/>
    </w:pPr>
    <w:rPr>
      <w:rFonts w:ascii="宋体"/>
      <w:b/>
      <w:szCs w:val="20"/>
    </w:rPr>
  </w:style>
  <w:style w:type="paragraph" w:customStyle="1" w:styleId="101">
    <w:name w:val="Char Char3 Char Char"/>
    <w:basedOn w:val="1"/>
    <w:qFormat/>
    <w:uiPriority w:val="0"/>
    <w:pPr>
      <w:spacing w:line="360" w:lineRule="auto"/>
      <w:ind w:firstLine="200" w:firstLineChars="200"/>
    </w:pPr>
    <w:rPr>
      <w:rFonts w:ascii="宋体" w:hAnsi="宋体" w:cs="宋体"/>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p0"/>
    <w:basedOn w:val="1"/>
    <w:qFormat/>
    <w:uiPriority w:val="0"/>
    <w:pPr>
      <w:widowControl/>
    </w:pPr>
    <w:rPr>
      <w:kern w:val="0"/>
      <w:szCs w:val="21"/>
    </w:rPr>
  </w:style>
  <w:style w:type="paragraph" w:customStyle="1" w:styleId="104">
    <w:name w:val="图框内的文字"/>
    <w:basedOn w:val="1"/>
    <w:qFormat/>
    <w:uiPriority w:val="0"/>
    <w:pPr>
      <w:jc w:val="center"/>
    </w:pPr>
    <w:rPr>
      <w:position w:val="6"/>
      <w:szCs w:val="20"/>
    </w:rPr>
  </w:style>
  <w:style w:type="paragraph" w:customStyle="1" w:styleId="105">
    <w:name w:val="默认段落字体 Para Char"/>
    <w:basedOn w:val="1"/>
    <w:qFormat/>
    <w:uiPriority w:val="0"/>
    <w:rPr>
      <w:rFonts w:ascii="宋体" w:hAnsi="宋体"/>
      <w:b/>
      <w:sz w:val="28"/>
      <w:szCs w:val="28"/>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4"/>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4"/>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6"/>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F0DCC-EE0D-44CB-B36F-F6B999083F62}">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4149</Words>
  <Characters>23654</Characters>
  <Lines>197</Lines>
  <Paragraphs>55</Paragraphs>
  <TotalTime>1</TotalTime>
  <ScaleCrop>false</ScaleCrop>
  <LinksUpToDate>false</LinksUpToDate>
  <CharactersWithSpaces>27748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2017-11-24T01:28:00Z</dcterms:created>
  <dc:creator>ibm</dc:creator>
  <cp:lastModifiedBy>Administrator</cp:lastModifiedBy>
  <cp:lastPrinted>2016-12-28T09:38:00Z</cp:lastPrinted>
  <dcterms:modified xsi:type="dcterms:W3CDTF">2021-12-10T09:53:34Z</dcterms:modified>
  <dc:title>第三部分  政府采购规范文本</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D58921E8B12A4D78A37BE86B3FAB4E35</vt:lpwstr>
  </property>
</Properties>
</file>