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bCs/>
          <w:color w:val="000000" w:themeColor="text1"/>
          <w:sz w:val="32"/>
          <w:highlight w:val="none"/>
        </w:rPr>
      </w:pPr>
      <w:bookmarkStart w:id="0" w:name="_Toc491658631"/>
    </w:p>
    <w:p>
      <w:pPr>
        <w:pStyle w:val="25"/>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5"/>
        <w:widowControl/>
        <w:adjustRightInd w:val="0"/>
        <w:snapToGrid w:val="0"/>
        <w:spacing w:line="360" w:lineRule="auto"/>
        <w:jc w:val="center"/>
        <w:rPr>
          <w:rFonts w:ascii="黑体" w:eastAsia="黑体"/>
          <w:bCs/>
          <w:color w:val="000000" w:themeColor="text1"/>
          <w:sz w:val="52"/>
          <w:szCs w:val="52"/>
          <w:highlight w:val="none"/>
        </w:rPr>
      </w:pPr>
    </w:p>
    <w:p>
      <w:pPr>
        <w:pStyle w:val="25"/>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5"/>
        <w:widowControl/>
        <w:adjustRightInd w:val="0"/>
        <w:snapToGrid w:val="0"/>
        <w:spacing w:line="360" w:lineRule="auto"/>
        <w:jc w:val="center"/>
        <w:rPr>
          <w:rFonts w:ascii="黑体" w:eastAsia="黑体"/>
          <w:bCs/>
          <w:color w:val="000000" w:themeColor="text1"/>
          <w:sz w:val="72"/>
          <w:szCs w:val="72"/>
          <w:highlight w:val="none"/>
        </w:rPr>
      </w:pPr>
    </w:p>
    <w:p>
      <w:pPr>
        <w:pStyle w:val="25"/>
        <w:widowControl/>
        <w:adjustRightInd w:val="0"/>
        <w:snapToGrid w:val="0"/>
        <w:spacing w:line="360" w:lineRule="auto"/>
        <w:jc w:val="center"/>
        <w:rPr>
          <w:rFonts w:hint="eastAsia" w:ascii="黑体" w:eastAsia="黑体"/>
          <w:bCs/>
          <w:color w:val="000000" w:themeColor="text1"/>
          <w:sz w:val="72"/>
          <w:highlight w:val="none"/>
          <w:lang w:val="en-US" w:eastAsia="zh-CN"/>
        </w:rPr>
      </w:pPr>
      <w:r>
        <w:rPr>
          <w:rFonts w:hint="eastAsia" w:ascii="黑体" w:eastAsia="黑体"/>
          <w:bCs/>
          <w:color w:val="000000" w:themeColor="text1"/>
          <w:sz w:val="72"/>
          <w:highlight w:val="none"/>
        </w:rPr>
        <w:t>招  标  文  件</w:t>
      </w:r>
    </w:p>
    <w:p>
      <w:pPr>
        <w:pStyle w:val="25"/>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5"/>
        <w:widowControl/>
        <w:adjustRightInd w:val="0"/>
        <w:snapToGrid w:val="0"/>
        <w:spacing w:line="360" w:lineRule="auto"/>
        <w:jc w:val="center"/>
        <w:rPr>
          <w:rFonts w:hint="default" w:ascii="黑体" w:eastAsia="黑体"/>
          <w:bCs/>
          <w:color w:val="000000" w:themeColor="text1"/>
          <w:sz w:val="48"/>
          <w:szCs w:val="48"/>
          <w:highlight w:val="none"/>
          <w:lang w:val="en-US" w:eastAsia="zh-CN"/>
        </w:rPr>
      </w:pPr>
      <w:r>
        <w:rPr>
          <w:rFonts w:hint="eastAsia" w:ascii="黑体" w:eastAsia="黑体"/>
          <w:bCs/>
          <w:color w:val="000000" w:themeColor="text1"/>
          <w:sz w:val="48"/>
          <w:szCs w:val="48"/>
          <w:highlight w:val="none"/>
          <w:lang w:val="en-US" w:eastAsia="zh-CN"/>
        </w:rPr>
        <w:t>（论证版）</w:t>
      </w:r>
    </w:p>
    <w:p>
      <w:pPr>
        <w:pStyle w:val="25"/>
        <w:widowControl/>
        <w:adjustRightInd w:val="0"/>
        <w:snapToGrid w:val="0"/>
        <w:spacing w:line="360" w:lineRule="auto"/>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p>
      <w:pPr>
        <w:pStyle w:val="25"/>
        <w:widowControl/>
        <w:adjustRightInd w:val="0"/>
        <w:snapToGrid w:val="0"/>
        <w:spacing w:line="360" w:lineRule="auto"/>
        <w:rPr>
          <w:rFonts w:ascii="黑体" w:eastAsia="黑体"/>
          <w:bCs/>
          <w:color w:val="000000" w:themeColor="text1"/>
          <w:sz w:val="52"/>
          <w:szCs w:val="52"/>
          <w:highlight w:val="none"/>
        </w:rPr>
      </w:pPr>
    </w:p>
    <w:tbl>
      <w:tblPr>
        <w:tblStyle w:val="47"/>
        <w:tblW w:w="9143" w:type="dxa"/>
        <w:tblInd w:w="0" w:type="dxa"/>
        <w:tblLayout w:type="fixed"/>
        <w:tblCellMar>
          <w:top w:w="0" w:type="dxa"/>
          <w:left w:w="108" w:type="dxa"/>
          <w:bottom w:w="0" w:type="dxa"/>
          <w:right w:w="108" w:type="dxa"/>
        </w:tblCellMar>
      </w:tblPr>
      <w:tblGrid>
        <w:gridCol w:w="1951"/>
        <w:gridCol w:w="284"/>
        <w:gridCol w:w="6908"/>
      </w:tblGrid>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908" w:type="dxa"/>
            <w:vAlign w:val="center"/>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YXCG-20211101</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908"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阳春市公安局和监管场所等5个饭堂食品物资采购项目</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908"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阳春市公安局</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908"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5"/>
        <w:widowControl/>
        <w:adjustRightInd w:val="0"/>
        <w:snapToGrid w:val="0"/>
        <w:spacing w:line="360" w:lineRule="auto"/>
        <w:jc w:val="center"/>
        <w:rPr>
          <w:rFonts w:ascii="黑体" w:eastAsia="黑体"/>
          <w:bCs/>
          <w:color w:val="000000" w:themeColor="text1"/>
          <w:sz w:val="24"/>
          <w:highlight w:val="none"/>
        </w:rPr>
      </w:pPr>
    </w:p>
    <w:p>
      <w:pPr>
        <w:pStyle w:val="25"/>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二○二一年十一月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 xml:space="preserve">开标现场 </w:t>
      </w:r>
      <w:r>
        <w:rPr>
          <w:rFonts w:ascii="宋体" w:hAnsi="宋体"/>
          <w:color w:val="000000" w:themeColor="text1"/>
          <w:szCs w:val="21"/>
          <w:highlight w:val="none"/>
        </w:rPr>
        <w:t>。</w:t>
      </w:r>
    </w:p>
    <w:p>
      <w:pPr>
        <w:numPr>
          <w:ilvl w:val="0"/>
          <w:numId w:val="21"/>
        </w:numPr>
        <w:spacing w:line="440" w:lineRule="exact"/>
        <w:ind w:left="454" w:hanging="454"/>
        <w:rPr>
          <w:rFonts w:ascii="宋体" w:hAnsi="宋体"/>
          <w:b/>
          <w:color w:val="000000" w:themeColor="text1"/>
          <w:szCs w:val="21"/>
          <w:highlight w:val="none"/>
          <w:u w:val="single"/>
        </w:rPr>
      </w:pPr>
      <w:r>
        <w:rPr>
          <w:rFonts w:hint="eastAsia" w:ascii="宋体" w:hAnsi="宋体"/>
          <w:b/>
          <w:color w:val="000000" w:themeColor="text1"/>
          <w:szCs w:val="21"/>
          <w:highlight w:val="none"/>
          <w:u w:val="single"/>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5"/>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2"/>
        <w:tabs>
          <w:tab w:val="right" w:leader="dot" w:pos="9070"/>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_Toc13638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_Toc13638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_Toc32613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_Toc32613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_Toc18902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_Toc18902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_Toc16323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_Toc16323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_Toc12078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_Toc12078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_Toc14983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_Toc14983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_Toc25627 </w:instrText>
      </w:r>
      <w:r>
        <w:rPr>
          <w:bCs/>
          <w:caps/>
          <w:color w:val="000000" w:themeColor="text1"/>
          <w:szCs w:val="21"/>
          <w:highlight w:val="none"/>
        </w:rPr>
        <w:fldChar w:fldCharType="separate"/>
      </w:r>
      <w:r>
        <w:rPr>
          <w:rFonts w:hint="eastAsia"/>
          <w:color w:val="000000" w:themeColor="text1"/>
          <w:highlight w:val="none"/>
        </w:rPr>
        <w:t>Ａ</w:t>
      </w:r>
      <w:r>
        <w:rPr>
          <w:color w:val="000000" w:themeColor="text1"/>
          <w:highlight w:val="none"/>
        </w:rPr>
        <w:t xml:space="preserve">  </w:t>
      </w:r>
      <w:r>
        <w:rPr>
          <w:rFonts w:hint="eastAsia"/>
          <w:color w:val="000000" w:themeColor="text1"/>
          <w:highlight w:val="none"/>
        </w:rPr>
        <w:t>说</w:t>
      </w:r>
      <w:r>
        <w:rPr>
          <w:color w:val="000000" w:themeColor="text1"/>
          <w:highlight w:val="none"/>
        </w:rPr>
        <w:t xml:space="preserve">  </w:t>
      </w:r>
      <w:r>
        <w:rPr>
          <w:rFonts w:hint="eastAsia"/>
          <w:color w:val="000000" w:themeColor="text1"/>
          <w:highlight w:val="none"/>
        </w:rPr>
        <w:t>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_Toc25627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_Toc15157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_Toc15157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_Toc22101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_Toc22101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_Toc4061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_Toc4061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_Toc15868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_Toc15868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_Toc28967 </w:instrText>
      </w:r>
      <w:r>
        <w:rPr>
          <w:bCs/>
          <w:caps/>
          <w:color w:val="000000" w:themeColor="text1"/>
          <w:szCs w:val="21"/>
          <w:highlight w:val="none"/>
        </w:rPr>
        <w:fldChar w:fldCharType="separate"/>
      </w:r>
      <w:r>
        <w:rPr>
          <w:rFonts w:hint="eastAsia"/>
          <w:color w:val="000000" w:themeColor="text1"/>
          <w:highlight w:val="none"/>
        </w:rPr>
        <w:t>Ｂ</w:t>
      </w:r>
      <w:r>
        <w:rPr>
          <w:color w:val="000000" w:themeColor="text1"/>
          <w:highlight w:val="none"/>
        </w:rPr>
        <w:t xml:space="preserve">  </w:t>
      </w:r>
      <w:r>
        <w:rPr>
          <w:rFonts w:hint="eastAsia"/>
          <w:color w:val="000000" w:themeColor="text1"/>
          <w:highlight w:val="none"/>
        </w:rPr>
        <w:t>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_Toc28967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_Toc30204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_Toc30204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_Toc18349 </w:instrText>
      </w:r>
      <w:r>
        <w:rPr>
          <w:bCs/>
          <w:caps/>
          <w:color w:val="000000" w:themeColor="text1"/>
          <w:szCs w:val="21"/>
          <w:highlight w:val="none"/>
        </w:rPr>
        <w:fldChar w:fldCharType="separate"/>
      </w:r>
      <w:r>
        <w:rPr>
          <w:rFonts w:hint="default"/>
          <w:color w:val="000000" w:themeColor="text1"/>
          <w:szCs w:val="21"/>
          <w:highlight w:val="none"/>
        </w:rPr>
        <w:t xml:space="preserve">6 </w:t>
      </w:r>
      <w:r>
        <w:rPr>
          <w:rFonts w:hint="eastAsia"/>
          <w:color w:val="000000" w:themeColor="text1"/>
          <w:szCs w:val="2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_Toc18349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_Toc16504 </w:instrText>
      </w:r>
      <w:r>
        <w:rPr>
          <w:bCs/>
          <w:caps/>
          <w:color w:val="000000" w:themeColor="text1"/>
          <w:szCs w:val="21"/>
          <w:highlight w:val="none"/>
        </w:rPr>
        <w:fldChar w:fldCharType="separate"/>
      </w:r>
      <w:r>
        <w:rPr>
          <w:rFonts w:hint="eastAsia"/>
          <w:color w:val="000000" w:themeColor="text1"/>
          <w:highlight w:val="none"/>
        </w:rPr>
        <w:t>Ｃ</w:t>
      </w:r>
      <w:r>
        <w:rPr>
          <w:color w:val="000000" w:themeColor="text1"/>
          <w:highlight w:val="none"/>
        </w:rPr>
        <w:t xml:space="preserve">  </w:t>
      </w:r>
      <w:r>
        <w:rPr>
          <w:rFonts w:hint="eastAsia"/>
          <w:color w:val="000000" w:themeColor="text1"/>
          <w:highlight w:val="none"/>
        </w:rPr>
        <w:t>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_Toc16504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_Toc8497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_Toc8497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_Toc8109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_Toc8109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_Toc31855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_Toc31855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_Toc28409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_Toc28409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_Toc2205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_Toc2205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_Toc1241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_Toc1241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_Toc7644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_Toc7644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_Toc11808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_Toc11808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_Toc7707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_Toc7707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_Toc5055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_Toc5055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_Toc10823 </w:instrText>
      </w:r>
      <w:r>
        <w:rPr>
          <w:bCs/>
          <w:caps/>
          <w:color w:val="000000" w:themeColor="text1"/>
          <w:szCs w:val="21"/>
          <w:highlight w:val="none"/>
        </w:rPr>
        <w:fldChar w:fldCharType="separate"/>
      </w:r>
      <w:r>
        <w:rPr>
          <w:rFonts w:hint="eastAsia"/>
          <w:color w:val="000000" w:themeColor="text1"/>
          <w:highlight w:val="none"/>
        </w:rPr>
        <w:t>Ｄ</w:t>
      </w:r>
      <w:r>
        <w:rPr>
          <w:color w:val="000000" w:themeColor="text1"/>
          <w:highlight w:val="none"/>
        </w:rPr>
        <w:t xml:space="preserve">  </w:t>
      </w:r>
      <w:r>
        <w:rPr>
          <w:rFonts w:hint="eastAsia"/>
          <w:color w:val="000000" w:themeColor="text1"/>
          <w:highlight w:val="none"/>
        </w:rPr>
        <w:t>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_Toc10823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_Toc26565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_Toc26565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_Toc13750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_Toc13750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_Toc23439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_Toc23439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_Toc4656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_Toc4656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_Toc12346 </w:instrText>
      </w:r>
      <w:r>
        <w:rPr>
          <w:bCs/>
          <w:caps/>
          <w:color w:val="000000" w:themeColor="text1"/>
          <w:szCs w:val="21"/>
          <w:highlight w:val="none"/>
        </w:rPr>
        <w:fldChar w:fldCharType="separate"/>
      </w:r>
      <w:r>
        <w:rPr>
          <w:rFonts w:hint="eastAsia"/>
          <w:color w:val="000000" w:themeColor="text1"/>
          <w:highlight w:val="none"/>
        </w:rPr>
        <w:t>Ｅ</w:t>
      </w:r>
      <w:r>
        <w:rPr>
          <w:color w:val="000000" w:themeColor="text1"/>
          <w:highlight w:val="none"/>
        </w:rPr>
        <w:t xml:space="preserve">  </w:t>
      </w:r>
      <w:r>
        <w:rPr>
          <w:rFonts w:hint="eastAsia"/>
          <w:color w:val="000000" w:themeColor="text1"/>
          <w:highlight w:val="none"/>
        </w:rPr>
        <w:t>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_Toc12346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_Toc8455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_Toc8455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_Toc31696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_Toc31696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_Toc31255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_Toc31255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_Toc20688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_Toc20688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_Toc8105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_Toc8105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_Toc8959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_Toc8959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_Toc20110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_Toc20110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_Toc23453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_Toc23453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_Toc13293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_Toc13293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_Toc24697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_Toc24697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_Toc24210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_Toc24210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_Toc11388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_Toc11388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_Toc12238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_Toc12238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_Toc19867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_Toc19867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_Toc28699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_Toc28699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_Toc31572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_Toc31572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_Toc3623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_Toc3623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2"/>
        <w:tabs>
          <w:tab w:val="right" w:leader="dot" w:pos="9070"/>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_Toc21031 </w:instrText>
      </w:r>
      <w:r>
        <w:rPr>
          <w:bCs/>
          <w:caps/>
          <w:color w:val="000000" w:themeColor="text1"/>
          <w:szCs w:val="21"/>
          <w:highlight w:val="none"/>
        </w:rPr>
        <w:fldChar w:fldCharType="separate"/>
      </w:r>
      <w:r>
        <w:rPr>
          <w:rFonts w:hint="eastAsia"/>
          <w:color w:val="000000" w:themeColor="text1"/>
          <w:highlight w:val="none"/>
        </w:rPr>
        <w:t xml:space="preserve">第五部分 </w:t>
      </w:r>
      <w:r>
        <w:rPr>
          <w:color w:val="000000" w:themeColor="text1"/>
          <w:highlight w:val="none"/>
        </w:rPr>
        <w:t xml:space="preserve">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_Toc21031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_Toc754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_Toc754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_Toc25502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_Toc25502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_Toc27683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_Toc27683 \h </w:instrText>
      </w:r>
      <w:r>
        <w:rPr>
          <w:color w:val="000000" w:themeColor="text1"/>
          <w:highlight w:val="none"/>
        </w:rPr>
        <w:fldChar w:fldCharType="separate"/>
      </w:r>
      <w:r>
        <w:rPr>
          <w:color w:val="000000" w:themeColor="text1"/>
          <w:highlight w:val="none"/>
        </w:rPr>
        <w:t>44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_Toc2025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_Toc2025 \h </w:instrText>
      </w:r>
      <w:r>
        <w:rPr>
          <w:color w:val="000000" w:themeColor="text1"/>
          <w:highlight w:val="none"/>
        </w:rPr>
        <w:fldChar w:fldCharType="separate"/>
      </w:r>
      <w:r>
        <w:rPr>
          <w:color w:val="000000" w:themeColor="text1"/>
          <w:highlight w:val="none"/>
        </w:rPr>
        <w:t>46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_Toc13763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_Toc13763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_Toc1313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_Toc1313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_Toc14069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_Toc14069 \h </w:instrText>
      </w:r>
      <w:r>
        <w:rPr>
          <w:color w:val="000000" w:themeColor="text1"/>
          <w:highlight w:val="none"/>
        </w:rPr>
        <w:fldChar w:fldCharType="separate"/>
      </w:r>
      <w:r>
        <w:rPr>
          <w:color w:val="000000" w:themeColor="text1"/>
          <w:highlight w:val="none"/>
        </w:rPr>
        <w:t>48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_Toc411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_Toc411 \h </w:instrText>
      </w:r>
      <w:r>
        <w:rPr>
          <w:color w:val="000000" w:themeColor="text1"/>
          <w:highlight w:val="none"/>
        </w:rPr>
        <w:fldChar w:fldCharType="separate"/>
      </w:r>
      <w:r>
        <w:rPr>
          <w:color w:val="000000" w:themeColor="text1"/>
          <w:highlight w:val="none"/>
        </w:rPr>
        <w:t>50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_Toc371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_Toc371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_Toc8704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_Toc8704 \h </w:instrText>
      </w:r>
      <w:r>
        <w:rPr>
          <w:color w:val="000000" w:themeColor="text1"/>
          <w:highlight w:val="none"/>
        </w:rPr>
        <w:fldChar w:fldCharType="separate"/>
      </w:r>
      <w:r>
        <w:rPr>
          <w:color w:val="000000" w:themeColor="text1"/>
          <w:highlight w:val="none"/>
        </w:rPr>
        <w:t>52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_Toc25034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_Toc25034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_Toc30983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_Toc30983 \h </w:instrText>
      </w:r>
      <w:r>
        <w:rPr>
          <w:color w:val="000000" w:themeColor="text1"/>
          <w:highlight w:val="none"/>
        </w:rPr>
        <w:fldChar w:fldCharType="separate"/>
      </w:r>
      <w:r>
        <w:rPr>
          <w:color w:val="000000" w:themeColor="text1"/>
          <w:highlight w:val="none"/>
        </w:rPr>
        <w:t>54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_Toc16051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_Toc16051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_Toc24055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_Toc24055 \h </w:instrText>
      </w:r>
      <w:r>
        <w:rPr>
          <w:color w:val="000000" w:themeColor="text1"/>
          <w:highlight w:val="none"/>
        </w:rPr>
        <w:fldChar w:fldCharType="separate"/>
      </w:r>
      <w:r>
        <w:rPr>
          <w:color w:val="000000" w:themeColor="text1"/>
          <w:highlight w:val="none"/>
        </w:rPr>
        <w:t>56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_Toc14332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_Toc14332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_Toc10347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_Toc10347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_Toc10710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_Toc10710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_Toc738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_Toc738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_Toc8073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_Toc8073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_Toc21281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_Toc21281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9070"/>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_Toc22751 </w:instrText>
      </w:r>
      <w:r>
        <w:rPr>
          <w:bCs/>
          <w:caps/>
          <w:color w:val="000000" w:themeColor="text1"/>
          <w:szCs w:val="21"/>
          <w:highlight w:val="none"/>
        </w:rPr>
        <w:fldChar w:fldCharType="separate"/>
      </w:r>
      <w:r>
        <w:rPr>
          <w:rFonts w:hint="eastAsia"/>
          <w:color w:val="000000" w:themeColor="text1"/>
          <w:highlight w:val="none"/>
        </w:rPr>
        <w:t>其 他 参 考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_Toc22751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pPr>
        <w:pStyle w:val="24"/>
        <w:tabs>
          <w:tab w:val="right" w:leader="dot" w:pos="9070"/>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_Toc28287 </w:instrText>
      </w:r>
      <w:r>
        <w:rPr>
          <w:bCs/>
          <w:caps/>
          <w:color w:val="000000" w:themeColor="text1"/>
          <w:szCs w:val="21"/>
          <w:highlight w:val="none"/>
        </w:rPr>
        <w:fldChar w:fldCharType="separate"/>
      </w:r>
      <w:r>
        <w:rPr>
          <w:rFonts w:hint="eastAsia" w:ascii="宋体" w:hAnsi="宋体" w:eastAsia="宋体"/>
          <w:bCs w:val="0"/>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_Toc28287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3"/>
        <w:numPr>
          <w:ilvl w:val="0"/>
          <w:numId w:val="0"/>
        </w:numPr>
        <w:spacing w:beforeLines="0"/>
        <w:rPr>
          <w:color w:val="000000" w:themeColor="text1"/>
          <w:highlight w:val="none"/>
        </w:rPr>
      </w:pPr>
      <w:bookmarkStart w:id="1" w:name="_Toc340677031"/>
      <w:bookmarkStart w:id="2" w:name="_Toc342060322"/>
      <w:bookmarkStart w:id="3" w:name="_Toc333935619"/>
      <w:bookmarkStart w:id="4" w:name="_Toc349127583"/>
      <w:bookmarkStart w:id="5" w:name="_Toc350438702"/>
      <w:bookmarkStart w:id="6" w:name="_Toc365985108"/>
      <w:bookmarkStart w:id="7" w:name="_Toc339019954"/>
      <w:bookmarkStart w:id="8" w:name="_Toc365967002"/>
      <w:bookmarkStart w:id="9" w:name="_Toc333237723"/>
      <w:bookmarkStart w:id="10" w:name="_Toc366072457"/>
      <w:bookmarkStart w:id="11" w:name="_Toc13638"/>
      <w:bookmarkStart w:id="12" w:name="_Toc336681537"/>
      <w:bookmarkStart w:id="13" w:name="_Toc330459945"/>
      <w:bookmarkStart w:id="14" w:name="_Toc333238571"/>
      <w:bookmarkStart w:id="15" w:name="_Toc336681892"/>
      <w:bookmarkStart w:id="16" w:name="_Toc333935278"/>
      <w:bookmarkStart w:id="17" w:name="_Toc339020186"/>
      <w:bookmarkStart w:id="18" w:name="_Toc340507403"/>
      <w:bookmarkStart w:id="19" w:name="_Toc345513762"/>
      <w:bookmarkStart w:id="20" w:name="_Toc339362257"/>
      <w:bookmarkStart w:id="21" w:name="_Toc331683994"/>
      <w:bookmarkStart w:id="22" w:name="_Toc332206657"/>
      <w:bookmarkStart w:id="23" w:name="_Toc339020048"/>
      <w:bookmarkStart w:id="24" w:name="_Toc339019828"/>
      <w:bookmarkStart w:id="25" w:name="_Toc340672830"/>
      <w:bookmarkStart w:id="26" w:name="_Toc342296708"/>
      <w:bookmarkStart w:id="27" w:name="_Toc331512856"/>
      <w:bookmarkStart w:id="28" w:name="_Toc349143546"/>
      <w:bookmarkStart w:id="29" w:name="_Toc339441044"/>
      <w:bookmarkStart w:id="30" w:name="_Toc350756403"/>
      <w:bookmarkStart w:id="31" w:name="_Toc333237612"/>
      <w:bookmarkStart w:id="32" w:name="_Toc337632315"/>
      <w:bookmarkStart w:id="33" w:name="_Toc341348291"/>
      <w:bookmarkStart w:id="34" w:name="_Toc332270305"/>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36"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广东业信采购招标有限公司（以下简称“代理采购机构”）受阳春市公安局（以下简称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）的委托，就阳春市公安局和监管场所等5个饭堂食品物资采购项目进行公开招标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rPr>
        <w:t>YXCG-20211101)，欢迎符合条件的投标人参加。有关事项如下：</w:t>
      </w:r>
    </w:p>
    <w:p>
      <w:pPr>
        <w:widowControl/>
        <w:tabs>
          <w:tab w:val="left" w:pos="502"/>
        </w:tabs>
        <w:adjustRightInd w:val="0"/>
        <w:snapToGrid w:val="0"/>
        <w:spacing w:line="336" w:lineRule="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widowControl/>
        <w:numPr>
          <w:ilvl w:val="0"/>
          <w:numId w:val="20"/>
        </w:numPr>
        <w:tabs>
          <w:tab w:val="left" w:pos="735"/>
          <w:tab w:val="clear" w:pos="528"/>
        </w:tabs>
        <w:adjustRightInd w:val="0"/>
        <w:snapToGrid w:val="0"/>
        <w:spacing w:line="336" w:lineRule="auto"/>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项目名称：阳春市公安局和监管场所等5个饭堂食品物资采购项目</w:t>
      </w:r>
    </w:p>
    <w:p>
      <w:pPr>
        <w:widowControl/>
        <w:numPr>
          <w:ilvl w:val="0"/>
          <w:numId w:val="20"/>
        </w:numPr>
        <w:tabs>
          <w:tab w:val="left" w:pos="735"/>
          <w:tab w:val="clear" w:pos="528"/>
        </w:tabs>
        <w:adjustRightInd w:val="0"/>
        <w:snapToGrid w:val="0"/>
        <w:spacing w:line="336" w:lineRule="auto"/>
        <w:ind w:left="420" w:leftChars="200" w:firstLine="0"/>
        <w:rPr>
          <w:rFonts w:ascii="宋体" w:hAnsi="宋体"/>
          <w:bCs/>
          <w:color w:val="000000" w:themeColor="text1"/>
          <w:highlight w:val="none"/>
        </w:rPr>
      </w:pPr>
      <w:r>
        <w:rPr>
          <w:rFonts w:hint="eastAsia" w:ascii="宋体" w:hAnsi="宋体"/>
          <w:bCs/>
          <w:color w:val="000000" w:themeColor="text1"/>
          <w:highlight w:val="none"/>
        </w:rPr>
        <w:t>项目编号: YXCG-20211101</w:t>
      </w:r>
    </w:p>
    <w:p>
      <w:pPr>
        <w:widowControl/>
        <w:numPr>
          <w:ilvl w:val="0"/>
          <w:numId w:val="20"/>
        </w:numPr>
        <w:tabs>
          <w:tab w:val="left" w:pos="735"/>
          <w:tab w:val="clear" w:pos="528"/>
        </w:tabs>
        <w:adjustRightInd w:val="0"/>
        <w:snapToGrid w:val="0"/>
        <w:spacing w:line="336"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投标报价上限：人民币11300000.00元</w:t>
      </w:r>
    </w:p>
    <w:p>
      <w:pPr>
        <w:widowControl/>
        <w:numPr>
          <w:ilvl w:val="0"/>
          <w:numId w:val="20"/>
        </w:numPr>
        <w:tabs>
          <w:tab w:val="left" w:pos="735"/>
          <w:tab w:val="clear" w:pos="528"/>
        </w:tabs>
        <w:adjustRightInd w:val="0"/>
        <w:snapToGrid w:val="0"/>
        <w:spacing w:line="336" w:lineRule="auto"/>
        <w:ind w:left="735" w:leftChars="200" w:hanging="315" w:hangingChars="150"/>
        <w:rPr>
          <w:rFonts w:ascii="宋体" w:hAnsi="宋体" w:cs="宋体"/>
          <w:bCs/>
          <w:color w:val="000000" w:themeColor="text1"/>
          <w:highlight w:val="none"/>
        </w:rPr>
      </w:pPr>
      <w:r>
        <w:rPr>
          <w:rFonts w:hint="eastAsia" w:ascii="宋体" w:hAnsi="宋体"/>
          <w:bCs/>
          <w:color w:val="000000" w:themeColor="text1"/>
          <w:highlight w:val="none"/>
        </w:rPr>
        <w:t>报价方式</w:t>
      </w:r>
      <w:r>
        <w:rPr>
          <w:rFonts w:hint="eastAsia" w:ascii="宋体" w:hAnsi="宋体" w:cs="宋体"/>
          <w:bCs/>
          <w:color w:val="000000" w:themeColor="text1"/>
          <w:highlight w:val="none"/>
        </w:rPr>
        <w:t>：</w:t>
      </w:r>
      <w:r>
        <w:rPr>
          <w:rFonts w:hint="eastAsia" w:ascii="宋体" w:hAnsi="宋体" w:cs="宋体"/>
          <w:color w:val="000000" w:themeColor="text1"/>
          <w:highlight w:val="none"/>
        </w:rPr>
        <w:t>折扣率报价，折扣率必须≤95%（超出</w:t>
      </w:r>
      <w:r>
        <w:rPr>
          <w:rFonts w:hint="eastAsia" w:ascii="宋体" w:hAnsi="宋体" w:cs="宋体"/>
          <w:bCs/>
          <w:color w:val="000000" w:themeColor="text1"/>
          <w:highlight w:val="none"/>
        </w:rPr>
        <w:t>该投标折扣率将作为无效投标处理）</w:t>
      </w:r>
    </w:p>
    <w:p>
      <w:pPr>
        <w:widowControl/>
        <w:tabs>
          <w:tab w:val="left" w:pos="735"/>
        </w:tabs>
        <w:adjustRightInd w:val="0"/>
        <w:snapToGrid w:val="0"/>
        <w:spacing w:line="336" w:lineRule="auto"/>
        <w:ind w:left="735" w:leftChars="50" w:hanging="630" w:hangingChars="300"/>
        <w:rPr>
          <w:rFonts w:ascii="宋体" w:hAnsi="宋体"/>
          <w:bCs/>
          <w:color w:val="000000" w:themeColor="text1"/>
          <w:highlight w:val="none"/>
        </w:rPr>
      </w:pPr>
      <w:r>
        <w:rPr>
          <w:rFonts w:hint="eastAsia" w:ascii="宋体" w:hAnsi="宋体"/>
          <w:bCs/>
          <w:color w:val="000000" w:themeColor="text1"/>
          <w:highlight w:val="none"/>
        </w:rPr>
        <w:t xml:space="preserve">      1）投标人必须对鱼、肉（含鱼肉、腊味等肉制品）、瓜果疏菜类进行折扣率报价，该项折扣率为折扣率A。</w:t>
      </w:r>
    </w:p>
    <w:p>
      <w:pPr>
        <w:widowControl/>
        <w:tabs>
          <w:tab w:val="left" w:pos="735"/>
        </w:tabs>
        <w:adjustRightInd w:val="0"/>
        <w:snapToGrid w:val="0"/>
        <w:spacing w:line="336" w:lineRule="auto"/>
        <w:ind w:left="735" w:leftChars="350"/>
        <w:rPr>
          <w:rFonts w:ascii="宋体" w:hAnsi="宋体"/>
          <w:bCs/>
          <w:color w:val="000000" w:themeColor="text1"/>
          <w:highlight w:val="none"/>
        </w:rPr>
      </w:pPr>
      <w:r>
        <w:rPr>
          <w:rFonts w:hint="eastAsia" w:ascii="宋体" w:hAnsi="宋体"/>
          <w:bCs/>
          <w:color w:val="000000" w:themeColor="text1"/>
          <w:highlight w:val="none"/>
        </w:rPr>
        <w:t>2）投标人必须对调味料、干货、奶制品、粮油（大米、面、油等）类等其余物品进行折扣率报价，该项折扣率为折扣率B。</w:t>
      </w:r>
    </w:p>
    <w:p>
      <w:pPr>
        <w:widowControl/>
        <w:numPr>
          <w:ilvl w:val="0"/>
          <w:numId w:val="20"/>
        </w:numPr>
        <w:tabs>
          <w:tab w:val="left" w:pos="735"/>
          <w:tab w:val="clear" w:pos="528"/>
        </w:tabs>
        <w:adjustRightInd w:val="0"/>
        <w:snapToGrid w:val="0"/>
        <w:spacing w:line="336" w:lineRule="auto"/>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各包组情况：</w:t>
      </w:r>
    </w:p>
    <w:tbl>
      <w:tblPr>
        <w:tblStyle w:val="47"/>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287"/>
        <w:gridCol w:w="3588"/>
        <w:gridCol w:w="1282"/>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3" w:type="dxa"/>
            <w:vAlign w:val="center"/>
          </w:tcPr>
          <w:p>
            <w:pPr>
              <w:widowControl/>
              <w:adjustRightInd w:val="0"/>
              <w:snapToGrid w:val="0"/>
              <w:spacing w:line="320" w:lineRule="exact"/>
              <w:jc w:val="center"/>
              <w:rPr>
                <w:rFonts w:ascii="宋体" w:hAnsi="宋体"/>
                <w:b/>
                <w:color w:val="000000" w:themeColor="text1"/>
                <w:highlight w:val="none"/>
              </w:rPr>
            </w:pPr>
            <w:r>
              <w:rPr>
                <w:rFonts w:hint="eastAsia" w:ascii="宋体" w:hAnsi="宋体"/>
                <w:b/>
                <w:color w:val="000000" w:themeColor="text1"/>
                <w:highlight w:val="none"/>
              </w:rPr>
              <w:t>包组号</w:t>
            </w:r>
          </w:p>
        </w:tc>
        <w:tc>
          <w:tcPr>
            <w:tcW w:w="1287" w:type="dxa"/>
            <w:vAlign w:val="center"/>
          </w:tcPr>
          <w:p>
            <w:pPr>
              <w:widowControl/>
              <w:adjustRightInd w:val="0"/>
              <w:snapToGrid w:val="0"/>
              <w:spacing w:line="320" w:lineRule="exact"/>
              <w:jc w:val="center"/>
              <w:rPr>
                <w:rFonts w:ascii="宋体" w:hAnsi="宋体"/>
                <w:b/>
                <w:color w:val="000000" w:themeColor="text1"/>
                <w:highlight w:val="none"/>
              </w:rPr>
            </w:pPr>
            <w:r>
              <w:rPr>
                <w:rFonts w:hint="eastAsia" w:ascii="宋体" w:hAnsi="宋体"/>
                <w:b/>
                <w:color w:val="000000" w:themeColor="text1"/>
                <w:highlight w:val="none"/>
              </w:rPr>
              <w:t>包组名称</w:t>
            </w:r>
          </w:p>
        </w:tc>
        <w:tc>
          <w:tcPr>
            <w:tcW w:w="3588" w:type="dxa"/>
            <w:vAlign w:val="center"/>
          </w:tcPr>
          <w:p>
            <w:pPr>
              <w:widowControl/>
              <w:adjustRightInd w:val="0"/>
              <w:snapToGrid w:val="0"/>
              <w:spacing w:line="320" w:lineRule="exact"/>
              <w:jc w:val="center"/>
              <w:rPr>
                <w:rFonts w:ascii="宋体" w:hAnsi="宋体"/>
                <w:b/>
                <w:color w:val="000000" w:themeColor="text1"/>
                <w:highlight w:val="none"/>
              </w:rPr>
            </w:pPr>
            <w:r>
              <w:rPr>
                <w:rFonts w:hint="eastAsia" w:ascii="宋体" w:hAnsi="宋体" w:cs="宋体"/>
                <w:b/>
                <w:color w:val="000000" w:themeColor="text1"/>
                <w:highlight w:val="none"/>
              </w:rPr>
              <w:t>采购货物种类</w:t>
            </w:r>
          </w:p>
        </w:tc>
        <w:tc>
          <w:tcPr>
            <w:tcW w:w="1282" w:type="dxa"/>
            <w:vAlign w:val="center"/>
          </w:tcPr>
          <w:p>
            <w:pPr>
              <w:widowControl/>
              <w:adjustRightInd w:val="0"/>
              <w:snapToGrid w:val="0"/>
              <w:spacing w:line="320" w:lineRule="exact"/>
              <w:jc w:val="center"/>
              <w:rPr>
                <w:rFonts w:ascii="宋体" w:hAnsi="宋体"/>
                <w:b/>
                <w:color w:val="000000" w:themeColor="text1"/>
                <w:highlight w:val="none"/>
              </w:rPr>
            </w:pPr>
            <w:r>
              <w:rPr>
                <w:rFonts w:hint="eastAsia" w:ascii="宋体" w:hAnsi="宋体"/>
                <w:b/>
                <w:color w:val="000000" w:themeColor="text1"/>
                <w:highlight w:val="none"/>
              </w:rPr>
              <w:t>包组预算</w:t>
            </w:r>
          </w:p>
          <w:p>
            <w:pPr>
              <w:widowControl/>
              <w:adjustRightInd w:val="0"/>
              <w:snapToGrid w:val="0"/>
              <w:spacing w:line="320" w:lineRule="exact"/>
              <w:jc w:val="center"/>
              <w:rPr>
                <w:rFonts w:ascii="宋体" w:hAnsi="宋体"/>
                <w:b/>
                <w:color w:val="000000" w:themeColor="text1"/>
                <w:highlight w:val="none"/>
              </w:rPr>
            </w:pPr>
            <w:r>
              <w:rPr>
                <w:rFonts w:hint="eastAsia" w:ascii="宋体" w:hAnsi="宋体"/>
                <w:b/>
                <w:color w:val="000000" w:themeColor="text1"/>
                <w:highlight w:val="none"/>
              </w:rPr>
              <w:t>（人民币）</w:t>
            </w:r>
          </w:p>
        </w:tc>
        <w:tc>
          <w:tcPr>
            <w:tcW w:w="1672" w:type="dxa"/>
            <w:vAlign w:val="center"/>
          </w:tcPr>
          <w:p>
            <w:pPr>
              <w:widowControl/>
              <w:adjustRightInd w:val="0"/>
              <w:snapToGrid w:val="0"/>
              <w:spacing w:line="320" w:lineRule="exact"/>
              <w:jc w:val="center"/>
              <w:rPr>
                <w:rFonts w:ascii="宋体" w:hAnsi="宋体"/>
                <w:b/>
                <w:color w:val="000000" w:themeColor="text1"/>
                <w:highlight w:val="none"/>
              </w:rPr>
            </w:pPr>
            <w:r>
              <w:rPr>
                <w:rFonts w:hint="eastAsia" w:ascii="宋体" w:hAnsi="宋体"/>
                <w:b/>
                <w:color w:val="000000" w:themeColor="text1"/>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963" w:type="dxa"/>
            <w:vAlign w:val="center"/>
          </w:tcPr>
          <w:p>
            <w:pPr>
              <w:widowControl/>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01包组</w:t>
            </w:r>
          </w:p>
        </w:tc>
        <w:tc>
          <w:tcPr>
            <w:tcW w:w="1287" w:type="dxa"/>
            <w:vAlign w:val="center"/>
          </w:tcPr>
          <w:p>
            <w:pPr>
              <w:widowControl/>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三个饭堂肉菜等采购</w:t>
            </w:r>
          </w:p>
        </w:tc>
        <w:tc>
          <w:tcPr>
            <w:tcW w:w="3588" w:type="dxa"/>
            <w:vAlign w:val="center"/>
          </w:tcPr>
          <w:p>
            <w:pPr>
              <w:widowControl/>
              <w:adjustRightInd w:val="0"/>
              <w:snapToGrid w:val="0"/>
              <w:spacing w:line="320" w:lineRule="exact"/>
              <w:rPr>
                <w:rFonts w:ascii="宋体" w:hAnsi="宋体"/>
                <w:bCs/>
                <w:color w:val="000000" w:themeColor="text1"/>
                <w:highlight w:val="none"/>
              </w:rPr>
            </w:pPr>
            <w:r>
              <w:rPr>
                <w:rFonts w:hint="eastAsia" w:ascii="宋体" w:hAnsi="宋体"/>
                <w:color w:val="000000" w:themeColor="text1"/>
                <w:highlight w:val="none"/>
              </w:rPr>
              <w:t>鱼、肉（含鱼肉、腊味等肉制品）、瓜果疏菜、调味料、干货、奶制品、</w:t>
            </w:r>
            <w:r>
              <w:rPr>
                <w:rFonts w:hint="eastAsia" w:ascii="宋体" w:hAnsi="宋体" w:cs="宋体"/>
                <w:color w:val="000000" w:themeColor="text1"/>
                <w:highlight w:val="none"/>
              </w:rPr>
              <w:t>粮油（大米、面、油等）类</w:t>
            </w:r>
            <w:r>
              <w:rPr>
                <w:rFonts w:hint="eastAsia" w:ascii="宋体" w:hAnsi="宋体"/>
                <w:bCs/>
                <w:color w:val="000000" w:themeColor="text1"/>
                <w:highlight w:val="none"/>
              </w:rPr>
              <w:t>等。</w:t>
            </w:r>
          </w:p>
        </w:tc>
        <w:tc>
          <w:tcPr>
            <w:tcW w:w="1282" w:type="dxa"/>
            <w:vAlign w:val="center"/>
          </w:tcPr>
          <w:p>
            <w:pPr>
              <w:snapToGrid w:val="0"/>
              <w:spacing w:line="320" w:lineRule="exact"/>
              <w:jc w:val="center"/>
              <w:rPr>
                <w:rFonts w:ascii="宋体" w:hAnsi="宋体"/>
                <w:bCs/>
                <w:color w:val="000000" w:themeColor="text1"/>
                <w:highlight w:val="none"/>
              </w:rPr>
            </w:pPr>
            <w:r>
              <w:rPr>
                <w:rFonts w:hint="eastAsia" w:ascii="宋体" w:hAnsi="宋体"/>
                <w:color w:val="000000" w:themeColor="text1"/>
                <w:highlight w:val="none"/>
              </w:rPr>
              <w:t>600万元</w:t>
            </w:r>
          </w:p>
        </w:tc>
        <w:tc>
          <w:tcPr>
            <w:tcW w:w="1672" w:type="dxa"/>
            <w:vMerge w:val="restart"/>
            <w:vAlign w:val="center"/>
          </w:tcPr>
          <w:p>
            <w:pPr>
              <w:widowControl/>
              <w:adjustRightInd w:val="0"/>
              <w:snapToGrid w:val="0"/>
              <w:spacing w:line="320" w:lineRule="exact"/>
              <w:rPr>
                <w:rFonts w:ascii="宋体" w:hAnsi="宋体"/>
                <w:bCs/>
                <w:color w:val="000000" w:themeColor="text1"/>
                <w:highlight w:val="none"/>
              </w:rPr>
            </w:pPr>
            <w:r>
              <w:rPr>
                <w:rFonts w:hint="eastAsia" w:ascii="宋体" w:hAnsi="宋体"/>
                <w:color w:val="000000" w:themeColor="text1"/>
                <w:highlight w:val="none"/>
              </w:rPr>
              <w:t>合同生效后1年或包组预算金额达到上限为止。（少于该服务期将作为无效投标处理）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963" w:type="dxa"/>
            <w:vAlign w:val="center"/>
          </w:tcPr>
          <w:p>
            <w:pPr>
              <w:widowControl/>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02包组</w:t>
            </w:r>
          </w:p>
        </w:tc>
        <w:tc>
          <w:tcPr>
            <w:tcW w:w="1287" w:type="dxa"/>
            <w:vAlign w:val="center"/>
          </w:tcPr>
          <w:p>
            <w:pPr>
              <w:widowControl/>
              <w:adjustRightInd w:val="0"/>
              <w:snapToGrid w:val="0"/>
              <w:spacing w:line="320" w:lineRule="exact"/>
              <w:jc w:val="center"/>
              <w:rPr>
                <w:rFonts w:ascii="宋体" w:hAnsi="宋体"/>
                <w:bCs/>
                <w:color w:val="000000" w:themeColor="text1"/>
                <w:highlight w:val="none"/>
              </w:rPr>
            </w:pPr>
            <w:r>
              <w:rPr>
                <w:rFonts w:hint="eastAsia" w:ascii="宋体" w:hAnsi="宋体"/>
                <w:bCs/>
                <w:color w:val="000000" w:themeColor="text1"/>
                <w:highlight w:val="none"/>
              </w:rPr>
              <w:t>两个饭堂肉菜等采购</w:t>
            </w:r>
          </w:p>
        </w:tc>
        <w:tc>
          <w:tcPr>
            <w:tcW w:w="3588" w:type="dxa"/>
            <w:vAlign w:val="center"/>
          </w:tcPr>
          <w:p>
            <w:pPr>
              <w:widowControl/>
              <w:adjustRightInd w:val="0"/>
              <w:snapToGrid w:val="0"/>
              <w:spacing w:line="320" w:lineRule="exact"/>
              <w:rPr>
                <w:rFonts w:ascii="宋体" w:hAnsi="宋体"/>
                <w:bCs/>
                <w:color w:val="000000" w:themeColor="text1"/>
                <w:highlight w:val="none"/>
              </w:rPr>
            </w:pPr>
            <w:r>
              <w:rPr>
                <w:rFonts w:hint="eastAsia" w:ascii="宋体" w:hAnsi="宋体"/>
                <w:color w:val="000000" w:themeColor="text1"/>
                <w:highlight w:val="none"/>
              </w:rPr>
              <w:t>鱼、肉（含鱼肉、腊味等肉制品）、瓜果疏菜、调味料、干货、奶制品、</w:t>
            </w:r>
            <w:r>
              <w:rPr>
                <w:rFonts w:hint="eastAsia" w:ascii="宋体" w:hAnsi="宋体"/>
                <w:bCs/>
                <w:color w:val="000000" w:themeColor="text1"/>
                <w:highlight w:val="none"/>
              </w:rPr>
              <w:t>粮油</w:t>
            </w:r>
            <w:r>
              <w:rPr>
                <w:rFonts w:hint="eastAsia" w:ascii="宋体" w:hAnsi="宋体" w:cs="宋体"/>
                <w:color w:val="000000" w:themeColor="text1"/>
                <w:highlight w:val="none"/>
              </w:rPr>
              <w:t>粮油（大米、面、油等）类</w:t>
            </w:r>
            <w:r>
              <w:rPr>
                <w:rFonts w:hint="eastAsia" w:ascii="宋体" w:hAnsi="宋体"/>
                <w:bCs/>
                <w:color w:val="000000" w:themeColor="text1"/>
                <w:highlight w:val="none"/>
              </w:rPr>
              <w:t>等。</w:t>
            </w:r>
          </w:p>
        </w:tc>
        <w:tc>
          <w:tcPr>
            <w:tcW w:w="1282" w:type="dxa"/>
            <w:vAlign w:val="center"/>
          </w:tcPr>
          <w:p>
            <w:pPr>
              <w:snapToGrid w:val="0"/>
              <w:spacing w:line="320" w:lineRule="exact"/>
              <w:jc w:val="center"/>
              <w:rPr>
                <w:rFonts w:ascii="宋体" w:hAnsi="宋体"/>
                <w:bCs/>
                <w:color w:val="000000" w:themeColor="text1"/>
                <w:highlight w:val="none"/>
              </w:rPr>
            </w:pPr>
            <w:r>
              <w:rPr>
                <w:rFonts w:hint="eastAsia" w:ascii="宋体" w:hAnsi="宋体"/>
                <w:color w:val="000000" w:themeColor="text1"/>
                <w:highlight w:val="none"/>
              </w:rPr>
              <w:t>530万元</w:t>
            </w:r>
          </w:p>
        </w:tc>
        <w:tc>
          <w:tcPr>
            <w:tcW w:w="1672" w:type="dxa"/>
            <w:vMerge w:val="continue"/>
            <w:vAlign w:val="center"/>
          </w:tcPr>
          <w:p>
            <w:pPr>
              <w:widowControl/>
              <w:adjustRightInd w:val="0"/>
              <w:snapToGrid w:val="0"/>
              <w:spacing w:line="320" w:lineRule="exact"/>
              <w:jc w:val="center"/>
              <w:rPr>
                <w:rFonts w:ascii="宋体" w:hAnsi="宋体"/>
                <w:bCs/>
                <w:color w:val="000000" w:themeColor="text1"/>
                <w:highlight w:val="none"/>
              </w:rPr>
            </w:pPr>
          </w:p>
        </w:tc>
      </w:tr>
    </w:tbl>
    <w:p>
      <w:pPr>
        <w:pStyle w:val="43"/>
        <w:snapToGrid w:val="0"/>
        <w:spacing w:before="0" w:beforeAutospacing="0" w:after="0" w:afterAutospacing="0" w:line="360" w:lineRule="auto"/>
        <w:ind w:left="420" w:leftChars="200"/>
        <w:rPr>
          <w:color w:val="000000" w:themeColor="text1"/>
          <w:kern w:val="2"/>
          <w:sz w:val="21"/>
          <w:highlight w:val="none"/>
        </w:rPr>
      </w:pPr>
      <w:r>
        <w:rPr>
          <w:rFonts w:hint="eastAsia" w:ascii="Times New Roman" w:hAnsi="Times New Roman" w:cs="Times New Roman"/>
          <w:color w:val="000000" w:themeColor="text1"/>
          <w:kern w:val="2"/>
          <w:sz w:val="21"/>
          <w:highlight w:val="none"/>
        </w:rPr>
        <w:t>注：</w:t>
      </w:r>
      <w:r>
        <w:rPr>
          <w:rFonts w:hint="eastAsia"/>
          <w:color w:val="000000" w:themeColor="text1"/>
          <w:kern w:val="2"/>
          <w:sz w:val="21"/>
          <w:highlight w:val="none"/>
        </w:rPr>
        <w:t>本项目共分为2个包组，每个包组确定中标供应商1家。投标人可以同时对以上两个包组进行投标，但不可以兼中，即01包组推荐为第一中标侯选人的投标人，不再推荐为02包组的中标侯选人（按01包组、02包组的先后顺序进行评审）；</w:t>
      </w:r>
    </w:p>
    <w:p>
      <w:pPr>
        <w:widowControl/>
        <w:numPr>
          <w:ilvl w:val="0"/>
          <w:numId w:val="20"/>
        </w:numPr>
        <w:tabs>
          <w:tab w:val="left" w:pos="735"/>
          <w:tab w:val="clear" w:pos="528"/>
        </w:tabs>
        <w:adjustRightInd w:val="0"/>
        <w:snapToGrid w:val="0"/>
        <w:spacing w:line="336" w:lineRule="auto"/>
        <w:ind w:left="735" w:leftChars="200" w:hanging="315" w:hangingChars="150"/>
        <w:rPr>
          <w:rFonts w:ascii="宋体" w:hAnsi="宋体" w:cs="宋体"/>
          <w:bCs/>
          <w:color w:val="000000" w:themeColor="text1"/>
          <w:highlight w:val="none"/>
        </w:rPr>
      </w:pPr>
      <w:r>
        <w:rPr>
          <w:rFonts w:hint="eastAsia" w:ascii="宋体" w:hAnsi="宋体" w:cs="宋体"/>
          <w:bCs/>
          <w:color w:val="000000" w:themeColor="text1"/>
          <w:highlight w:val="none"/>
        </w:rPr>
        <w:t>数  量：两项</w:t>
      </w:r>
    </w:p>
    <w:p>
      <w:pPr>
        <w:widowControl/>
        <w:numPr>
          <w:ilvl w:val="0"/>
          <w:numId w:val="20"/>
        </w:numPr>
        <w:tabs>
          <w:tab w:val="left" w:pos="315"/>
          <w:tab w:val="left" w:pos="735"/>
          <w:tab w:val="clear" w:pos="528"/>
        </w:tabs>
        <w:adjustRightInd w:val="0"/>
        <w:snapToGrid w:val="0"/>
        <w:spacing w:line="336" w:lineRule="auto"/>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widowControl/>
        <w:tabs>
          <w:tab w:val="left" w:pos="502"/>
        </w:tabs>
        <w:adjustRightInd w:val="0"/>
        <w:snapToGrid w:val="0"/>
        <w:spacing w:line="336"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widowControl/>
        <w:tabs>
          <w:tab w:val="left" w:pos="735"/>
        </w:tabs>
        <w:adjustRightInd w:val="0"/>
        <w:snapToGrid w:val="0"/>
        <w:spacing w:line="336" w:lineRule="auto"/>
        <w:ind w:left="420"/>
        <w:rPr>
          <w:rFonts w:ascii="宋体" w:hAnsi="宋体"/>
          <w:color w:val="000000" w:themeColor="text1"/>
          <w:szCs w:val="21"/>
          <w:highlight w:val="none"/>
        </w:rPr>
      </w:pPr>
      <w:r>
        <w:rPr>
          <w:rFonts w:hint="eastAsia" w:ascii="宋体" w:hAnsi="宋体"/>
          <w:b/>
          <w:bCs/>
          <w:color w:val="000000" w:themeColor="text1"/>
          <w:szCs w:val="21"/>
          <w:highlight w:val="none"/>
        </w:rPr>
        <w:t>（01包组、02包组）</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widowControl/>
        <w:tabs>
          <w:tab w:val="left" w:pos="525"/>
        </w:tabs>
        <w:adjustRightInd w:val="0"/>
        <w:snapToGrid w:val="0"/>
        <w:spacing w:line="336" w:lineRule="auto"/>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rPr>
      </w:pPr>
      <w:r>
        <w:rPr>
          <w:rFonts w:hint="eastAsia" w:ascii="宋体" w:hAnsi="宋体" w:cs="宋体"/>
          <w:color w:val="000000" w:themeColor="text1"/>
          <w:highlight w:val="none"/>
        </w:rPr>
        <w:t>投标人</w:t>
      </w:r>
      <w:r>
        <w:rPr>
          <w:rFonts w:hint="eastAsia" w:ascii="宋体" w:hAnsi="宋体"/>
          <w:color w:val="000000" w:themeColor="text1"/>
          <w:szCs w:val="21"/>
          <w:highlight w:val="none"/>
        </w:rPr>
        <w:t>须具有在有效期内的《食品生产许可证》或《食品流通许可证》或《食品经营许可证》</w:t>
      </w:r>
      <w:r>
        <w:rPr>
          <w:rFonts w:hint="eastAsia" w:hAnsi="宋体"/>
          <w:color w:val="000000" w:themeColor="text1"/>
          <w:szCs w:val="21"/>
          <w:highlight w:val="none"/>
        </w:rPr>
        <w:t>，提供</w:t>
      </w:r>
      <w:r>
        <w:rPr>
          <w:rFonts w:hint="eastAsia" w:ascii="宋体" w:hAnsi="宋体"/>
          <w:color w:val="000000" w:themeColor="text1"/>
          <w:szCs w:val="21"/>
          <w:highlight w:val="none"/>
        </w:rPr>
        <w:t>《食品生产许可证》或《食品流通许可证》或《食品经营许可证》</w:t>
      </w:r>
      <w:r>
        <w:rPr>
          <w:rFonts w:hint="eastAsia" w:hAnsi="宋体"/>
          <w:color w:val="000000" w:themeColor="text1"/>
          <w:szCs w:val="21"/>
          <w:highlight w:val="none"/>
        </w:rPr>
        <w:t>的</w:t>
      </w:r>
      <w:r>
        <w:rPr>
          <w:rFonts w:hint="eastAsia" w:ascii="宋体" w:hAnsi="宋体"/>
          <w:color w:val="000000" w:themeColor="text1"/>
          <w:szCs w:val="21"/>
          <w:highlight w:val="none"/>
        </w:rPr>
        <w:t>复印件加盖</w:t>
      </w:r>
      <w:r>
        <w:rPr>
          <w:rFonts w:hint="eastAsia" w:hAnsi="宋体"/>
          <w:color w:val="000000" w:themeColor="text1"/>
          <w:szCs w:val="21"/>
          <w:highlight w:val="none"/>
        </w:rPr>
        <w:t>投标人</w:t>
      </w:r>
      <w:r>
        <w:rPr>
          <w:rFonts w:hint="eastAsia" w:ascii="宋体" w:hAnsi="宋体"/>
          <w:color w:val="000000" w:themeColor="text1"/>
          <w:szCs w:val="21"/>
          <w:highlight w:val="none"/>
        </w:rPr>
        <w:t>公章</w:t>
      </w:r>
      <w:r>
        <w:rPr>
          <w:rFonts w:hint="eastAsia" w:ascii="宋体" w:hAnsi="宋体" w:cs="Tahoma"/>
          <w:color w:val="000000" w:themeColor="text1"/>
          <w:highlight w:val="none"/>
        </w:rPr>
        <w:t>；</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为采购项目提供整体设计、规范编制或者项目管理、监理、检测等服务的供应商，不得再参加该采购项目的其他采购活动。（提供《投标函》承诺）</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rPr>
      </w:pPr>
      <w:r>
        <w:rPr>
          <w:rFonts w:hint="eastAsia" w:ascii="宋体" w:hAnsi="宋体"/>
          <w:bCs/>
          <w:color w:val="000000" w:themeColor="text1"/>
          <w:szCs w:val="21"/>
          <w:highlight w:val="none"/>
        </w:rPr>
        <w:t>投标人未被列入“信用中国”网站</w:t>
      </w:r>
      <w:r>
        <w:rPr>
          <w:rFonts w:ascii="宋体" w:hAnsi="宋体"/>
          <w:bCs/>
          <w:color w:val="000000" w:themeColor="text1"/>
          <w:szCs w:val="21"/>
          <w:highlight w:val="none"/>
        </w:rPr>
        <w:t>(www.creditchina.gov.cn)</w:t>
      </w:r>
      <w:r>
        <w:rPr>
          <w:rFonts w:hint="eastAsia" w:ascii="宋体" w:hAnsi="宋体"/>
          <w:bCs/>
          <w:color w:val="000000" w:themeColor="text1"/>
          <w:szCs w:val="21"/>
          <w:highlight w:val="none"/>
        </w:rPr>
        <w:t>“记录失信被执行人或重大税收违法案件当事人名单或政府采购严重违法失信行为”记录名单；不处于中国政府采购网</w:t>
      </w:r>
      <w:r>
        <w:rPr>
          <w:rFonts w:ascii="宋体" w:hAnsi="宋体"/>
          <w:bCs/>
          <w:color w:val="000000" w:themeColor="text1"/>
          <w:szCs w:val="21"/>
          <w:highlight w:val="none"/>
        </w:rPr>
        <w:t>(www.ccgp.gov.cn)</w:t>
      </w:r>
      <w:r>
        <w:rPr>
          <w:rFonts w:hint="eastAsia" w:ascii="宋体" w:hAnsi="宋体"/>
          <w:bCs/>
          <w:color w:val="000000" w:themeColor="text1"/>
          <w:szCs w:val="21"/>
          <w:highlight w:val="none"/>
        </w:rPr>
        <w:t>“政府采购严重违法失信行为信息记录”中的禁止参加政府采购活动期间。（以采购代理机构投标截止日当天在“信用中国”网站（</w:t>
      </w:r>
      <w:r>
        <w:rPr>
          <w:rFonts w:ascii="宋体" w:hAnsi="宋体"/>
          <w:bCs/>
          <w:color w:val="000000" w:themeColor="text1"/>
          <w:szCs w:val="21"/>
          <w:highlight w:val="none"/>
        </w:rPr>
        <w:t>www.creditchina.gov.cn</w:t>
      </w:r>
      <w:r>
        <w:rPr>
          <w:rFonts w:hint="eastAsia" w:ascii="宋体" w:hAnsi="宋体"/>
          <w:bCs/>
          <w:color w:val="000000" w:themeColor="text1"/>
          <w:szCs w:val="21"/>
          <w:highlight w:val="none"/>
        </w:rPr>
        <w:t>）及中国政府采购网</w:t>
      </w:r>
      <w:r>
        <w:rPr>
          <w:rFonts w:ascii="宋体" w:hAnsi="宋体"/>
          <w:bCs/>
          <w:color w:val="000000" w:themeColor="text1"/>
          <w:szCs w:val="21"/>
          <w:highlight w:val="none"/>
        </w:rPr>
        <w:t>(www.ccgp.gov.cn)</w:t>
      </w:r>
      <w:r>
        <w:rPr>
          <w:rFonts w:hint="eastAsia" w:ascii="宋体" w:hAnsi="宋体"/>
          <w:bCs/>
          <w:color w:val="000000" w:themeColor="text1"/>
          <w:szCs w:val="21"/>
          <w:highlight w:val="none"/>
        </w:rPr>
        <w:t>查询结果为准，如相关失信记录已失效，投标供人提供相关证明资料）；</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p>
    <w:p>
      <w:pPr>
        <w:widowControl/>
        <w:numPr>
          <w:ilvl w:val="0"/>
          <w:numId w:val="22"/>
        </w:numPr>
        <w:tabs>
          <w:tab w:val="left" w:pos="735"/>
        </w:tabs>
        <w:adjustRightInd w:val="0"/>
        <w:snapToGrid w:val="0"/>
        <w:spacing w:line="336" w:lineRule="auto"/>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widowControl/>
        <w:tabs>
          <w:tab w:val="left" w:pos="502"/>
        </w:tabs>
        <w:adjustRightInd w:val="0"/>
        <w:snapToGrid w:val="0"/>
        <w:spacing w:line="336" w:lineRule="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spacing w:line="336" w:lineRule="auto"/>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r>
        <w:rPr>
          <w:rFonts w:hint="eastAsia" w:ascii="宋体" w:hAnsi="宋体" w:eastAsia="宋体" w:cs="宋体"/>
          <w:bCs/>
          <w:color w:val="000000" w:themeColor="text1"/>
          <w:highlight w:val="none"/>
        </w:rPr>
        <w:t>：</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1-11-18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2021年11月18日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2021年11月25日</w:t>
      </w:r>
      <w:r>
        <w:rPr>
          <w:rFonts w:hint="eastAsia" w:ascii="宋体" w:hAnsi="宋体" w:eastAsia="宋体" w:cs="宋体"/>
          <w:bCs/>
          <w:color w:val="000000" w:themeColor="text1"/>
          <w:highlight w:val="none"/>
        </w:rPr>
        <w:t>。</w:t>
      </w:r>
    </w:p>
    <w:p>
      <w:pPr>
        <w:widowControl/>
        <w:adjustRightInd w:val="0"/>
        <w:snapToGrid w:val="0"/>
        <w:spacing w:line="336" w:lineRule="auto"/>
        <w:ind w:left="315" w:leftChars="50" w:hanging="210" w:hangingChars="10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36"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widowControl/>
        <w:tabs>
          <w:tab w:val="left" w:pos="735"/>
        </w:tabs>
        <w:adjustRightInd w:val="0"/>
        <w:snapToGrid w:val="0"/>
        <w:spacing w:line="336" w:lineRule="auto"/>
        <w:ind w:left="315" w:hanging="315" w:hangingChars="15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2021年11月18日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2021年11月25日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widowControl/>
        <w:tabs>
          <w:tab w:val="left" w:pos="735"/>
        </w:tabs>
        <w:adjustRightInd w:val="0"/>
        <w:snapToGrid w:val="0"/>
        <w:spacing w:line="336" w:lineRule="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 xml:space="preserve">  2.购买招标文件地点：阳江市江城区猫山四街33号A座2楼</w:t>
      </w:r>
      <w:r>
        <w:rPr>
          <w:rFonts w:hint="eastAsia" w:ascii="宋体" w:hAnsi="宋体" w:eastAsia="宋体" w:cs="宋体"/>
          <w:color w:val="000000" w:themeColor="text1"/>
          <w:szCs w:val="21"/>
          <w:highlight w:val="none"/>
        </w:rPr>
        <w:t>205室。</w:t>
      </w:r>
    </w:p>
    <w:p>
      <w:pPr>
        <w:widowControl/>
        <w:tabs>
          <w:tab w:val="left" w:pos="735"/>
        </w:tabs>
        <w:adjustRightInd w:val="0"/>
        <w:snapToGrid w:val="0"/>
        <w:spacing w:line="336"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widowControl/>
        <w:tabs>
          <w:tab w:val="left" w:pos="735"/>
        </w:tabs>
        <w:adjustRightInd w:val="0"/>
        <w:snapToGrid w:val="0"/>
        <w:spacing w:line="336" w:lineRule="auto"/>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widowControl/>
        <w:tabs>
          <w:tab w:val="left" w:pos="735"/>
        </w:tabs>
        <w:adjustRightInd w:val="0"/>
        <w:snapToGrid w:val="0"/>
        <w:spacing w:line="336" w:lineRule="auto"/>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widowControl/>
        <w:tabs>
          <w:tab w:val="left" w:pos="735"/>
        </w:tabs>
        <w:adjustRightInd w:val="0"/>
        <w:snapToGrid w:val="0"/>
        <w:spacing w:line="336" w:lineRule="auto"/>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szCs w:val="21"/>
          <w:highlight w:val="none"/>
        </w:rPr>
        <w:t>http://www.gdgpo.com.cn、 http://www.yjcg.cc</w:t>
      </w:r>
      <w:r>
        <w:rPr>
          <w:rFonts w:hint="eastAsia" w:ascii="宋体" w:hAnsi="宋体" w:eastAsia="宋体" w:cs="宋体"/>
          <w:bCs/>
          <w:color w:val="000000" w:themeColor="text1"/>
          <w:szCs w:val="21"/>
          <w:highlight w:val="none"/>
        </w:rPr>
        <w:t>政府采购资料下载专区）加盖公章到指定地址购买。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widowControl/>
        <w:tabs>
          <w:tab w:val="left" w:pos="735"/>
        </w:tabs>
        <w:adjustRightInd w:val="0"/>
        <w:snapToGrid w:val="0"/>
        <w:spacing w:line="336" w:lineRule="auto"/>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36" w:lineRule="auto"/>
        <w:ind w:left="211" w:hanging="211" w:hangingChars="100"/>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widowControl/>
        <w:tabs>
          <w:tab w:val="left" w:pos="735"/>
        </w:tabs>
        <w:adjustRightInd w:val="0"/>
        <w:snapToGrid w:val="0"/>
        <w:spacing w:line="336"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w:t>
      </w:r>
      <w:r>
        <w:rPr>
          <w:rFonts w:hint="eastAsia" w:ascii="宋体" w:hAnsi="宋体" w:eastAsia="宋体" w:cs="宋体"/>
          <w:color w:val="000000" w:themeColor="text1"/>
          <w:kern w:val="2"/>
          <w:sz w:val="21"/>
          <w:szCs w:val="24"/>
          <w:highlight w:val="none"/>
          <w:lang w:val="en-US" w:eastAsia="zh-CN" w:bidi="ar-SA"/>
        </w:rPr>
        <w:t>2021年12月10日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0-</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highlight w:val="none"/>
        </w:rPr>
        <w:t xml:space="preserve"> (北京时间)。</w:t>
      </w:r>
    </w:p>
    <w:p>
      <w:pPr>
        <w:widowControl/>
        <w:tabs>
          <w:tab w:val="left" w:pos="735"/>
        </w:tabs>
        <w:adjustRightInd w:val="0"/>
        <w:snapToGrid w:val="0"/>
        <w:spacing w:line="336"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kern w:val="2"/>
          <w:sz w:val="21"/>
          <w:szCs w:val="24"/>
          <w:highlight w:val="none"/>
          <w:lang w:val="en-US" w:eastAsia="zh-CN" w:bidi="ar-SA"/>
        </w:rPr>
        <w:t>2021年12月10日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00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widowControl/>
        <w:tabs>
          <w:tab w:val="left" w:pos="735"/>
        </w:tabs>
        <w:adjustRightInd w:val="0"/>
        <w:snapToGrid w:val="0"/>
        <w:spacing w:line="336" w:lineRule="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3.递交投标文件地点、开标地点：阳江市江城区猫山四街33号A座2楼201楼开标室</w:t>
      </w:r>
    </w:p>
    <w:p>
      <w:pPr>
        <w:widowControl/>
        <w:tabs>
          <w:tab w:val="left" w:pos="735"/>
        </w:tabs>
        <w:adjustRightInd w:val="0"/>
        <w:snapToGrid w:val="0"/>
        <w:spacing w:line="336" w:lineRule="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widowControl/>
        <w:tabs>
          <w:tab w:val="left" w:pos="630"/>
        </w:tabs>
        <w:adjustRightInd w:val="0"/>
        <w:snapToGrid w:val="0"/>
        <w:spacing w:line="336" w:lineRule="auto"/>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名    称：阳春市公安局</w:t>
      </w:r>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址：广东省阳江市阳春市春城街道阳春大道北178号</w:t>
      </w:r>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 陈华杨</w:t>
      </w:r>
    </w:p>
    <w:p>
      <w:pPr>
        <w:tabs>
          <w:tab w:val="left" w:pos="735"/>
          <w:tab w:val="left" w:pos="4680"/>
        </w:tabs>
        <w:adjustRightInd w:val="0"/>
        <w:snapToGrid w:val="0"/>
        <w:spacing w:line="336" w:lineRule="auto"/>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联系电话：13829898799</w:t>
      </w:r>
      <w:bookmarkStart w:id="2129" w:name="_GoBack"/>
      <w:bookmarkEnd w:id="2129"/>
    </w:p>
    <w:p>
      <w:pPr>
        <w:tabs>
          <w:tab w:val="left" w:pos="735"/>
          <w:tab w:val="left" w:pos="4680"/>
        </w:tabs>
        <w:adjustRightInd w:val="0"/>
        <w:snapToGrid w:val="0"/>
        <w:spacing w:line="336" w:lineRule="auto"/>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widowControl/>
        <w:tabs>
          <w:tab w:val="left" w:pos="735"/>
        </w:tabs>
        <w:adjustRightInd w:val="0"/>
        <w:snapToGrid w:val="0"/>
        <w:spacing w:line="336" w:lineRule="auto"/>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tabs>
          <w:tab w:val="left" w:pos="4680"/>
        </w:tabs>
        <w:adjustRightInd w:val="0"/>
        <w:snapToGrid w:val="0"/>
        <w:spacing w:line="336" w:lineRule="auto"/>
        <w:ind w:firstLine="630" w:firstLineChars="300"/>
        <w:rPr>
          <w:rFonts w:hint="eastAsia" w:ascii="宋体" w:hAnsi="宋体" w:eastAsia="宋体" w:cs="宋体"/>
          <w:color w:val="000000" w:themeColor="text1"/>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color w:val="000000" w:themeColor="text1"/>
          <w:szCs w:val="21"/>
          <w:highlight w:val="none"/>
        </w:rPr>
        <w:t>http://www.gdgpo.com.cn</w:t>
      </w:r>
    </w:p>
    <w:p>
      <w:pPr>
        <w:tabs>
          <w:tab w:val="left" w:pos="4680"/>
        </w:tabs>
        <w:adjustRightInd w:val="0"/>
        <w:snapToGrid w:val="0"/>
        <w:spacing w:line="336" w:lineRule="auto"/>
        <w:ind w:firstLine="1680" w:firstLineChars="8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http://www.yjcg.cc</w:t>
      </w:r>
    </w:p>
    <w:p>
      <w:pPr>
        <w:widowControl/>
        <w:adjustRightInd w:val="0"/>
        <w:snapToGrid w:val="0"/>
        <w:spacing w:line="336" w:lineRule="auto"/>
        <w:rPr>
          <w:rFonts w:hint="eastAsia" w:ascii="宋体" w:hAnsi="宋体" w:eastAsia="宋体" w:cs="宋体"/>
          <w:b/>
          <w:color w:val="000000" w:themeColor="text1"/>
          <w:spacing w:val="20"/>
          <w:szCs w:val="21"/>
          <w:highlight w:val="none"/>
        </w:rPr>
      </w:pPr>
    </w:p>
    <w:p>
      <w:pPr>
        <w:widowControl/>
        <w:tabs>
          <w:tab w:val="left" w:pos="4769"/>
        </w:tabs>
        <w:adjustRightInd w:val="0"/>
        <w:snapToGrid w:val="0"/>
        <w:spacing w:line="336" w:lineRule="auto"/>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p>
    <w:p>
      <w:pPr>
        <w:widowControl/>
        <w:tabs>
          <w:tab w:val="left" w:pos="4769"/>
        </w:tabs>
        <w:adjustRightInd w:val="0"/>
        <w:snapToGrid w:val="0"/>
        <w:spacing w:line="336" w:lineRule="auto"/>
        <w:ind w:left="105" w:leftChars="50" w:firstLine="420" w:firstLineChars="200"/>
        <w:jc w:val="right"/>
        <w:rPr>
          <w:rFonts w:hint="eastAsia" w:ascii="宋体" w:hAnsi="宋体" w:eastAsia="宋体" w:cs="宋体"/>
          <w:bCs/>
          <w:color w:val="000000" w:themeColor="text1"/>
          <w:highlight w:val="none"/>
        </w:rPr>
      </w:pPr>
    </w:p>
    <w:p>
      <w:pPr>
        <w:widowControl/>
        <w:tabs>
          <w:tab w:val="left" w:pos="4769"/>
        </w:tabs>
        <w:adjustRightInd w:val="0"/>
        <w:snapToGrid w:val="0"/>
        <w:spacing w:line="336" w:lineRule="auto"/>
        <w:ind w:left="105" w:leftChars="50" w:firstLine="420" w:firstLineChars="200"/>
        <w:jc w:val="right"/>
        <w:rPr>
          <w:rFonts w:hint="eastAsia" w:ascii="宋体" w:hAnsi="宋体" w:eastAsia="宋体" w:cs="宋体"/>
          <w:bCs/>
          <w:color w:val="000000" w:themeColor="text1"/>
          <w:highlight w:val="none"/>
        </w:rPr>
      </w:pPr>
    </w:p>
    <w:p>
      <w:pPr>
        <w:widowControl/>
        <w:tabs>
          <w:tab w:val="left" w:pos="4769"/>
        </w:tabs>
        <w:adjustRightInd w:val="0"/>
        <w:snapToGrid w:val="0"/>
        <w:spacing w:line="336" w:lineRule="auto"/>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广东业信采购招标有限公司</w:t>
      </w:r>
    </w:p>
    <w:p>
      <w:pPr>
        <w:widowControl/>
        <w:tabs>
          <w:tab w:val="left" w:pos="4769"/>
        </w:tabs>
        <w:adjustRightInd w:val="0"/>
        <w:snapToGrid w:val="0"/>
        <w:spacing w:line="336" w:lineRule="auto"/>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bookmarkStart w:id="37" w:name="_Toc333237613"/>
      <w:bookmarkStart w:id="38" w:name="_Toc340672831"/>
      <w:bookmarkStart w:id="39" w:name="_Toc333238572"/>
      <w:bookmarkStart w:id="40" w:name="_Toc339020049"/>
      <w:bookmarkStart w:id="41" w:name="_Toc340507404"/>
      <w:bookmarkStart w:id="42" w:name="_Toc365985109"/>
      <w:bookmarkStart w:id="43" w:name="_Toc336681538"/>
      <w:bookmarkStart w:id="44" w:name="_Toc339020187"/>
      <w:bookmarkStart w:id="45" w:name="_Toc330459946"/>
      <w:bookmarkStart w:id="46" w:name="_Toc336681893"/>
      <w:bookmarkStart w:id="47" w:name="_Toc366072458"/>
      <w:bookmarkStart w:id="48" w:name="_Toc332206658"/>
      <w:bookmarkStart w:id="49" w:name="_Toc349143547"/>
      <w:bookmarkStart w:id="50" w:name="_Toc332270306"/>
      <w:bookmarkStart w:id="51" w:name="_Toc342296709"/>
      <w:bookmarkStart w:id="52" w:name="_Toc339019829"/>
      <w:bookmarkStart w:id="53" w:name="_Toc331512857"/>
      <w:bookmarkStart w:id="54" w:name="_Toc333935620"/>
      <w:bookmarkStart w:id="55" w:name="_Toc342060323"/>
      <w:bookmarkStart w:id="56" w:name="_Toc341348292"/>
      <w:bookmarkStart w:id="57" w:name="_Toc365967003"/>
      <w:bookmarkStart w:id="58" w:name="_Toc339019955"/>
      <w:bookmarkStart w:id="59" w:name="_Toc339362258"/>
      <w:bookmarkStart w:id="60" w:name="_Toc350438703"/>
      <w:bookmarkStart w:id="61" w:name="_Toc339441045"/>
      <w:bookmarkStart w:id="62" w:name="_Toc337632316"/>
      <w:bookmarkStart w:id="63" w:name="_Toc345513763"/>
      <w:bookmarkStart w:id="64" w:name="_Toc350756404"/>
      <w:bookmarkStart w:id="65" w:name="_Toc340677032"/>
      <w:bookmarkStart w:id="66" w:name="_Toc331683995"/>
      <w:bookmarkStart w:id="67" w:name="_Toc333237724"/>
      <w:bookmarkStart w:id="68" w:name="_Toc333935279"/>
      <w:bookmarkStart w:id="69" w:name="_Toc349127584"/>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2021年11月18日</w:t>
      </w:r>
    </w:p>
    <w:p>
      <w:pPr>
        <w:rPr>
          <w:color w:val="000000" w:themeColor="text1"/>
          <w:highlight w:val="none"/>
        </w:rPr>
      </w:pPr>
    </w:p>
    <w:p>
      <w:pPr>
        <w:rPr>
          <w:color w:val="000000" w:themeColor="text1"/>
          <w:highlight w:val="none"/>
        </w:rPr>
      </w:pPr>
    </w:p>
    <w:p>
      <w:pPr>
        <w:rPr>
          <w:color w:val="000000" w:themeColor="text1"/>
          <w:highlight w:val="none"/>
        </w:rPr>
      </w:pPr>
      <w:r>
        <w:rPr>
          <w:rFonts w:hint="eastAsia"/>
          <w:color w:val="000000" w:themeColor="text1"/>
          <w:highlight w:val="none"/>
        </w:rPr>
        <w:br w:type="page"/>
      </w: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32613"/>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935621"/>
      <w:bookmarkStart w:id="74" w:name="_Toc333237725"/>
      <w:bookmarkStart w:id="75" w:name="_Toc333935280"/>
      <w:bookmarkStart w:id="76" w:name="_Toc333237614"/>
      <w:bookmarkStart w:id="77" w:name="_Toc330459949"/>
      <w:bookmarkStart w:id="78" w:name="_Toc333238573"/>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18902"/>
      <w:bookmarkStart w:id="80" w:name="_Toc349127593"/>
      <w:bookmarkStart w:id="81" w:name="_Toc350438716"/>
      <w:bookmarkStart w:id="82" w:name="_Toc332270313"/>
      <w:bookmarkStart w:id="83" w:name="_Toc336681547"/>
      <w:bookmarkStart w:id="84" w:name="_Toc340507409"/>
      <w:bookmarkStart w:id="85" w:name="_Toc330459952"/>
      <w:bookmarkStart w:id="86" w:name="_Toc365985146"/>
      <w:bookmarkStart w:id="87" w:name="_Toc350756417"/>
      <w:bookmarkStart w:id="88" w:name="_Toc333237755"/>
      <w:bookmarkStart w:id="89" w:name="_Toc337632325"/>
      <w:bookmarkStart w:id="90" w:name="_Toc331684005"/>
      <w:bookmarkStart w:id="91" w:name="_Toc339441054"/>
      <w:bookmarkStart w:id="92" w:name="_Toc366072495"/>
      <w:bookmarkStart w:id="93" w:name="_Toc345513834"/>
      <w:bookmarkStart w:id="94" w:name="_Toc339362267"/>
      <w:bookmarkStart w:id="95" w:name="_Toc340672836"/>
      <w:bookmarkStart w:id="96" w:name="_Toc331512865"/>
      <w:bookmarkStart w:id="97" w:name="_Toc336681902"/>
      <w:bookmarkStart w:id="98" w:name="_Toc365967040"/>
      <w:bookmarkStart w:id="99" w:name="_Toc333237644"/>
      <w:bookmarkStart w:id="100" w:name="_Toc339020200"/>
      <w:bookmarkStart w:id="101" w:name="_Toc342060341"/>
      <w:bookmarkStart w:id="102" w:name="_Toc342296727"/>
      <w:bookmarkStart w:id="103" w:name="_Toc333935313"/>
      <w:bookmarkStart w:id="104" w:name="_Toc339019856"/>
      <w:bookmarkStart w:id="105" w:name="_Toc341348305"/>
      <w:bookmarkStart w:id="106" w:name="_Toc339020062"/>
      <w:bookmarkStart w:id="107" w:name="_Toc349143556"/>
      <w:bookmarkStart w:id="108" w:name="_Toc333935654"/>
      <w:bookmarkStart w:id="109" w:name="_Toc332206675"/>
      <w:bookmarkStart w:id="110" w:name="_Toc333238600"/>
      <w:bookmarkStart w:id="111" w:name="_Toc340677037"/>
      <w:bookmarkStart w:id="112" w:name="_Toc339019982"/>
      <w:r>
        <w:rPr>
          <w:color w:val="000000" w:themeColor="text1"/>
          <w:kern w:val="0"/>
          <w:sz w:val="24"/>
          <w:highlight w:val="none"/>
        </w:rPr>
        <w:t xml:space="preserve">A  </w:t>
      </w:r>
      <w:r>
        <w:rPr>
          <w:rFonts w:hint="eastAsia"/>
          <w:color w:val="000000" w:themeColor="text1"/>
          <w:kern w:val="0"/>
          <w:sz w:val="24"/>
          <w:highlight w:val="none"/>
        </w:rPr>
        <w:t>商务要求</w:t>
      </w:r>
      <w:bookmarkEnd w:id="79"/>
    </w:p>
    <w:p>
      <w:pPr>
        <w:spacing w:line="360" w:lineRule="auto"/>
        <w:jc w:val="center"/>
        <w:rPr>
          <w:rFonts w:ascii="宋体" w:cs="宋体"/>
          <w:b/>
          <w:bCs/>
          <w:color w:val="000000" w:themeColor="text1"/>
          <w:szCs w:val="21"/>
          <w:highlight w:val="none"/>
        </w:rPr>
      </w:pPr>
      <w:r>
        <w:rPr>
          <w:rFonts w:hint="eastAsia" w:ascii="宋体" w:hAnsi="宋体" w:cs="宋体"/>
          <w:b/>
          <w:bCs/>
          <w:color w:val="000000" w:themeColor="text1"/>
          <w:highlight w:val="none"/>
        </w:rPr>
        <w:t>（</w:t>
      </w:r>
      <w:r>
        <w:rPr>
          <w:rFonts w:ascii="宋体" w:hAnsi="宋体" w:cs="宋体"/>
          <w:b/>
          <w:bCs/>
          <w:color w:val="000000" w:themeColor="text1"/>
          <w:highlight w:val="none"/>
        </w:rPr>
        <w:t>01</w:t>
      </w:r>
      <w:r>
        <w:rPr>
          <w:rFonts w:hint="eastAsia" w:ascii="宋体" w:hAnsi="宋体" w:cs="宋体"/>
          <w:b/>
          <w:bCs/>
          <w:color w:val="000000" w:themeColor="text1"/>
          <w:highlight w:val="none"/>
        </w:rPr>
        <w:t>包组、</w:t>
      </w:r>
      <w:r>
        <w:rPr>
          <w:rFonts w:ascii="宋体" w:hAnsi="宋体" w:cs="宋体"/>
          <w:b/>
          <w:bCs/>
          <w:color w:val="000000" w:themeColor="text1"/>
          <w:highlight w:val="none"/>
        </w:rPr>
        <w:t>02</w:t>
      </w:r>
      <w:r>
        <w:rPr>
          <w:rFonts w:hint="eastAsia" w:ascii="宋体" w:hAnsi="宋体" w:cs="宋体"/>
          <w:b/>
          <w:bCs/>
          <w:color w:val="000000" w:themeColor="text1"/>
          <w:highlight w:val="none"/>
        </w:rPr>
        <w:t>包组）</w:t>
      </w:r>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详见第一部分《投标邀请函》。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详见第一部分《投标邀请函》。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rPr>
            </w:pPr>
            <w:bookmarkStart w:id="113" w:name="_Toc373222966"/>
            <w:bookmarkStart w:id="114" w:name="_Toc374515874"/>
            <w:bookmarkStart w:id="115" w:name="_Toc373223055"/>
            <w:r>
              <w:rPr>
                <w:rFonts w:hint="eastAsia" w:ascii="宋体" w:hAnsi="宋体"/>
                <w:b/>
                <w:color w:val="000000" w:themeColor="text1"/>
                <w:szCs w:val="21"/>
                <w:highlight w:val="none"/>
              </w:rPr>
              <w:t>产品配送要求</w:t>
            </w:r>
            <w:bookmarkEnd w:id="113"/>
            <w:bookmarkEnd w:id="114"/>
            <w:bookmarkEnd w:id="115"/>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1、送货方式：每次根据采购人的电话或其它方式通知订购品种、数量后，按时运送物品到指定地点，中标供应商随货提供注明货物名称、单位、数量、售价及总金额的商品送货清单，作为采购人入库验收之凭证。</w:t>
            </w:r>
          </w:p>
          <w:p>
            <w:pPr>
              <w:spacing w:line="320" w:lineRule="exact"/>
              <w:rPr>
                <w:color w:val="000000" w:themeColor="text1"/>
                <w:highlight w:val="none"/>
              </w:rPr>
            </w:pPr>
            <w:r>
              <w:rPr>
                <w:rFonts w:hint="eastAsia"/>
                <w:color w:val="000000" w:themeColor="text1"/>
                <w:highlight w:val="none"/>
              </w:rPr>
              <w:t>2、交货地点：采购人指定地点。</w:t>
            </w:r>
          </w:p>
          <w:p>
            <w:pPr>
              <w:spacing w:line="320" w:lineRule="exact"/>
              <w:rPr>
                <w:color w:val="000000" w:themeColor="text1"/>
                <w:highlight w:val="none"/>
              </w:rPr>
            </w:pPr>
            <w:r>
              <w:rPr>
                <w:rFonts w:hint="eastAsia"/>
                <w:color w:val="000000" w:themeColor="text1"/>
                <w:highlight w:val="none"/>
              </w:rPr>
              <w:t>3、包装与标志要求：包装：容器(框、箱、袋)要求清洁、干燥、牢固、透气，无污染、无异味、无霉变现象。标志：每件包装必须按《农产品包装和标识管理办法》贴标签，并标明产地、品种、净含量、生产单位及地址和采收日期。</w:t>
            </w:r>
          </w:p>
          <w:p>
            <w:pPr>
              <w:spacing w:line="320" w:lineRule="exact"/>
              <w:rPr>
                <w:color w:val="000000" w:themeColor="text1"/>
                <w:highlight w:val="none"/>
              </w:rPr>
            </w:pPr>
            <w:r>
              <w:rPr>
                <w:rFonts w:hint="eastAsia"/>
                <w:color w:val="000000" w:themeColor="text1"/>
                <w:highlight w:val="none"/>
              </w:rPr>
              <w:t>4、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蔬菜应小心轻卸，严防机械损伤。食品堆放科学合理，避免造成食品的交叉污染；如对温度有要求的食品应确定食品的温度，记录送货车辆温度，并记录存档。</w:t>
            </w:r>
          </w:p>
          <w:p>
            <w:pPr>
              <w:spacing w:line="320" w:lineRule="exact"/>
              <w:rPr>
                <w:color w:val="000000" w:themeColor="text1"/>
                <w:highlight w:val="none"/>
              </w:rPr>
            </w:pPr>
            <w:r>
              <w:rPr>
                <w:rFonts w:hint="eastAsia"/>
                <w:color w:val="000000" w:themeColor="text1"/>
                <w:highlight w:val="none"/>
              </w:rPr>
              <w:t>5、数量方面要求：保证配送品种斤两的准确性，以采购人的验货数量为准，中标供应商每次随货送上一式两份的送货清单，供双方验货后签字确认，双方各持一份，作为送、收货的凭证。</w:t>
            </w:r>
          </w:p>
          <w:p>
            <w:pPr>
              <w:spacing w:line="320" w:lineRule="exact"/>
              <w:rPr>
                <w:color w:val="000000" w:themeColor="text1"/>
                <w:highlight w:val="none"/>
              </w:rPr>
            </w:pPr>
            <w:r>
              <w:rPr>
                <w:rFonts w:hint="eastAsia"/>
                <w:color w:val="000000" w:themeColor="text1"/>
                <w:highlight w:val="none"/>
              </w:rPr>
              <w:t>6、每次根据采购用户的通知订购品种和数量后，24小时内送货，具体送货时间由采购用户通知时约定，由采购人指定负责人验收过秤记录。对于不符合质量的品种采购人可退货或换货（由于产品质量而造成用餐人员发生食品安全事故的，中标供应商须承担全部责任）。</w:t>
            </w:r>
          </w:p>
          <w:p>
            <w:pPr>
              <w:spacing w:line="320" w:lineRule="exact"/>
              <w:rPr>
                <w:color w:val="000000" w:themeColor="text1"/>
                <w:highlight w:val="none"/>
              </w:rPr>
            </w:pPr>
            <w:r>
              <w:rPr>
                <w:rFonts w:hint="eastAsia"/>
                <w:color w:val="000000" w:themeColor="text1"/>
                <w:highlight w:val="none"/>
              </w:rPr>
              <w:t>7、对采购人临时的供货要求，需随订随送，至少在1个小时内响应。</w:t>
            </w:r>
          </w:p>
          <w:p>
            <w:pPr>
              <w:spacing w:line="320" w:lineRule="exact"/>
              <w:rPr>
                <w:color w:val="000000" w:themeColor="text1"/>
                <w:highlight w:val="none"/>
              </w:rPr>
            </w:pPr>
            <w:r>
              <w:rPr>
                <w:rFonts w:hint="eastAsia"/>
                <w:color w:val="000000" w:themeColor="text1"/>
                <w:highlight w:val="none"/>
              </w:rPr>
              <w:t>8、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w:t>
            </w:r>
          </w:p>
          <w:p>
            <w:pPr>
              <w:spacing w:line="320" w:lineRule="exact"/>
              <w:rPr>
                <w:color w:val="000000" w:themeColor="text1"/>
                <w:highlight w:val="none"/>
              </w:rPr>
            </w:pPr>
            <w:r>
              <w:rPr>
                <w:rFonts w:hint="eastAsia"/>
                <w:color w:val="000000" w:themeColor="text1"/>
                <w:highlight w:val="none"/>
              </w:rPr>
              <w:t>9、送货车辆实行一小时配送圈运作，目的地在一小时内的用保温车配送，一小时以外的用制冷车配送，保证冷冻肉中心温度控制在-2-7℃的范围之内，保证运输过程冷链不中断。商品到达目的地时外包装箱干爽，无软化现象。</w:t>
            </w:r>
          </w:p>
          <w:p>
            <w:pPr>
              <w:spacing w:line="320" w:lineRule="exact"/>
              <w:rPr>
                <w:color w:val="000000" w:themeColor="text1"/>
                <w:highlight w:val="none"/>
              </w:rPr>
            </w:pPr>
            <w:r>
              <w:rPr>
                <w:rFonts w:hint="eastAsia"/>
                <w:color w:val="000000" w:themeColor="text1"/>
                <w:highlight w:val="none"/>
              </w:rPr>
              <w:t>10、送货车辆应保持清洁；食品堆放科学合理，避免造成食品的交叉污染；如对温度有要求的食品应确定食品的温度，记录送货车辆温度，并记录存档。</w:t>
            </w:r>
          </w:p>
          <w:p>
            <w:pPr>
              <w:spacing w:line="320" w:lineRule="exact"/>
              <w:rPr>
                <w:color w:val="000000" w:themeColor="text1"/>
                <w:highlight w:val="none"/>
              </w:rPr>
            </w:pPr>
            <w:r>
              <w:rPr>
                <w:rFonts w:hint="eastAsia"/>
                <w:color w:val="000000" w:themeColor="text1"/>
                <w:highlight w:val="none"/>
              </w:rPr>
              <w:t>11、在配送卸货环节中应保证冷藏食品脱离冷链时间不得超过 20 分钟，冷冻食品脱离冷链时间不得超过 30 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供货配送报价需包含整个项目实施所需的货物（购买或生产）、包装、配送、运输、装卸、保险、检验检疫，配备人员工资、福利、社保及相关税费等一切费用，采购人不再支付其他任何费用。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highlight w:val="none"/>
              </w:rPr>
              <w:t>采购合同由中标人与采购人双方签订，签订时间为《中标通知书》发出之日起20个日历日内。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一）本项目价格以政府相关部门每月在政府信息公开网站公布的价格为基准价格，未公布的品种根据阳春市漠阳市场、青石桥市场、东门头市场等市场的平均价为基准价。若仍无法参照同类或相近品种产品的，由中标单位与采购人双方共同调研的价格为基准价格，供货时由投标人与采购人共同协商（最终价格需由采购方确认），参考同类或相近品种产品的市场行情及根据投标人所报投标折扣率来确定执行标准。</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二）供货的干货产品以政府相关部门每月在政府信息公开网站公布的价格为基准价格；未公布的品种根据阳春市漠阳市场、青石桥市场、东门头市场等市场的平均价为基准价。若仍无法参照同类或相近品种产品的，由中标单位与采购人双方共同调研的价格为基准价格（最终价格需由采购方确认），供货时由投标人与采购人共同协商，参考同类或相近品种产品的市场行情及根据投标人所报投标折扣率来确定执行标准。</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（三）定价时间：每月定价2次。</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（四）当月结算价：</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 鱼、肉（含鱼肉、腊味等肉制品）、瓜果疏菜类物品货款=基准价×中标折扣率A×当月实际供货量；</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(2) 调味料、干货、奶制品、粮油（大米、面、油等）类等其余物品货款=基准价×中标折扣率B×当月实际供货量；</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（五）合同执行期内，不论中标供应商供应货物的来源何地均按中标折扣率结算，中标折扣率合同期内不作调整。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bookmarkStart w:id="116" w:name="_Toc175644393"/>
            <w:bookmarkStart w:id="117" w:name="_Toc203884215"/>
            <w:bookmarkStart w:id="118" w:name="_Toc101951262"/>
            <w:r>
              <w:rPr>
                <w:rFonts w:hint="eastAsia"/>
                <w:b/>
                <w:color w:val="000000" w:themeColor="text1"/>
                <w:highlight w:val="none"/>
              </w:rPr>
              <w:t>付款方式</w:t>
            </w:r>
            <w:bookmarkEnd w:id="116"/>
            <w:bookmarkEnd w:id="117"/>
            <w:bookmarkEnd w:id="118"/>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1、由采购人每月结算一次。</w:t>
            </w:r>
          </w:p>
          <w:p>
            <w:pPr>
              <w:spacing w:line="320" w:lineRule="exact"/>
              <w:rPr>
                <w:rFonts w:ascii="宋体" w:hAnsi="宋体" w:cs="宋体"/>
                <w:color w:val="000000" w:themeColor="text1"/>
                <w:highlight w:val="none"/>
              </w:rPr>
            </w:pPr>
            <w:r>
              <w:rPr>
                <w:rFonts w:hint="eastAsia" w:ascii="宋体" w:hAnsi="宋体" w:cs="宋体"/>
                <w:color w:val="000000" w:themeColor="text1"/>
                <w:highlight w:val="none"/>
              </w:rPr>
              <w:t xml:space="preserve">2、付款方式：中标供应商完成当月供货，根据政府相关部门在政府信息公开网站公布的价格或双方市场的定价，采购人与供应商核对当月供货数量和金额后，采购人收到供应商发票后在30个工作日内结清当月货款（不包括政府财政资金用款额度未下达时间）。 </w:t>
            </w:r>
          </w:p>
          <w:p>
            <w:pPr>
              <w:spacing w:line="320" w:lineRule="exact"/>
              <w:rPr>
                <w:rFonts w:ascii="宋体" w:hAnsi="宋体" w:cs="宋体"/>
                <w:b/>
                <w:bCs/>
                <w:color w:val="000000" w:themeColor="text1"/>
                <w:highlight w:val="none"/>
              </w:rPr>
            </w:pPr>
            <w:r>
              <w:rPr>
                <w:rFonts w:hint="eastAsia" w:ascii="宋体" w:hAnsi="宋体" w:cs="宋体"/>
                <w:b/>
                <w:bCs/>
                <w:color w:val="000000" w:themeColor="text1"/>
                <w:highlight w:val="none"/>
              </w:rPr>
              <w:t>注：</w:t>
            </w:r>
          </w:p>
          <w:p>
            <w:pPr>
              <w:spacing w:line="320" w:lineRule="exact"/>
              <w:rPr>
                <w:rFonts w:ascii="宋体" w:hAnsi="宋体" w:cs="宋体"/>
                <w:b/>
                <w:bCs/>
                <w:color w:val="000000" w:themeColor="text1"/>
                <w:highlight w:val="none"/>
              </w:rPr>
            </w:pPr>
            <w:r>
              <w:rPr>
                <w:rFonts w:hint="eastAsia" w:ascii="宋体" w:hAnsi="宋体" w:cs="宋体"/>
                <w:b/>
                <w:bCs/>
                <w:color w:val="000000" w:themeColor="text1"/>
                <w:highlight w:val="none"/>
              </w:rPr>
              <w:t>1）付款方式采用支票、银行汇付（含电汇）等形式。每期申请支付合同款项时，中标供应商须向采购人提供中华人民共和国大陆地区合法有效发票。</w:t>
            </w:r>
          </w:p>
          <w:p>
            <w:pPr>
              <w:spacing w:line="320" w:lineRule="exact"/>
              <w:rPr>
                <w:rFonts w:ascii="宋体" w:hAnsi="宋体" w:cs="宋体"/>
                <w:color w:val="000000" w:themeColor="text1"/>
                <w:highlight w:val="none"/>
              </w:rPr>
            </w:pPr>
            <w:r>
              <w:rPr>
                <w:rFonts w:hint="eastAsia" w:ascii="宋体" w:hAnsi="宋体" w:cs="宋体"/>
                <w:b/>
                <w:bCs/>
                <w:color w:val="000000" w:themeColor="text1"/>
                <w:highlight w:val="none"/>
              </w:rPr>
              <w:t>2）合同付款时间为采购人向政府采购支付部门提出支付申请的时间（不含政府采购支付部门的审核和支付时间），在规定时间内提交付款申请即视采购人已履行。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售后服务</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非采购人的人为原因而出现产品质量问题，由中标供应商负责包换或包退，并承担因此而产生的一切费用，由于中标方所供货物质量原因（以有资质的质检部门的质检报告为准），造成采购方用餐人员发生食品安全事故的，中标供应商须承担所有相关的经济赔偿及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9</w:t>
            </w:r>
          </w:p>
        </w:tc>
        <w:tc>
          <w:tcPr>
            <w:tcW w:w="2552" w:type="dxa"/>
            <w:tcBorders>
              <w:left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食材验收要求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1.做好卸货前的检查。采购人和中标供应商双方的验收人员卸货前应对场地和验收设备做好准备，并对食材的外观质量进行初步了解。</w:t>
            </w:r>
          </w:p>
          <w:p>
            <w:pPr>
              <w:spacing w:line="320" w:lineRule="exact"/>
              <w:rPr>
                <w:color w:val="000000" w:themeColor="text1"/>
                <w:highlight w:val="none"/>
              </w:rPr>
            </w:pPr>
            <w:r>
              <w:rPr>
                <w:rFonts w:hint="eastAsia"/>
                <w:color w:val="000000" w:themeColor="text1"/>
                <w:highlight w:val="none"/>
              </w:rPr>
              <w:t>2.采取现场验收的方式，验收人员应认真检查物资的质量，按索票、验证—留样—抽查—过磅—入库的程序完成验收，中标供应商提供原件的留原件，原件只有一份而无法提供给采购人的查验原件后索取复印件留存。每批次每种货物均留样进行抽查。</w:t>
            </w:r>
          </w:p>
          <w:p>
            <w:pPr>
              <w:spacing w:line="320" w:lineRule="exact"/>
              <w:rPr>
                <w:color w:val="000000" w:themeColor="text1"/>
                <w:highlight w:val="none"/>
              </w:rPr>
            </w:pPr>
            <w:r>
              <w:rPr>
                <w:rFonts w:hint="eastAsia"/>
                <w:color w:val="000000" w:themeColor="text1"/>
                <w:highlight w:val="none"/>
              </w:rPr>
              <w:t>3.对每次验收的食材均记录物资名称、数量、验收情况等事项，并由送货人签名确认。</w:t>
            </w:r>
          </w:p>
          <w:p>
            <w:pPr>
              <w:spacing w:line="320" w:lineRule="exact"/>
              <w:rPr>
                <w:color w:val="000000" w:themeColor="text1"/>
                <w:highlight w:val="none"/>
              </w:rPr>
            </w:pPr>
            <w:r>
              <w:rPr>
                <w:rFonts w:hint="eastAsia"/>
                <w:color w:val="000000" w:themeColor="text1"/>
                <w:highlight w:val="none"/>
              </w:rPr>
              <w:t>4.食材的质量问题争议及解决办法：因货物的质量问题发生争议，由国家法定的质量鉴定单位进行质量鉴定。货物符合质量标准的，鉴定费由采购人承担；货物不符合质量标准的，鉴定费由中标供应商承担，并且采购人有权追究中标供应商的相关责任。</w:t>
            </w:r>
          </w:p>
          <w:p>
            <w:pPr>
              <w:spacing w:line="320" w:lineRule="exact"/>
              <w:rPr>
                <w:color w:val="000000" w:themeColor="text1"/>
                <w:highlight w:val="none"/>
              </w:rPr>
            </w:pPr>
            <w:r>
              <w:rPr>
                <w:rFonts w:hint="eastAsia"/>
                <w:color w:val="000000" w:themeColor="text1"/>
                <w:highlight w:val="none"/>
              </w:rPr>
              <w:t>5.退（补）货流程</w:t>
            </w:r>
          </w:p>
          <w:p>
            <w:pPr>
              <w:spacing w:line="320" w:lineRule="exact"/>
              <w:rPr>
                <w:color w:val="000000" w:themeColor="text1"/>
                <w:highlight w:val="none"/>
              </w:rPr>
            </w:pPr>
            <w:r>
              <w:rPr>
                <w:rFonts w:hint="eastAsia"/>
                <w:color w:val="000000" w:themeColor="text1"/>
                <w:highlight w:val="none"/>
              </w:rPr>
              <w:t>对不符合采购要求的食材由验收人员提出清退，如双方对质量或重量有争议的可送具有检验资质的部门检测，同时留样备检，对数量不足或部分退货的，责成中标供应商以不影响采购人伙食供应为前提尽快补送。在退货过程中，对有碍公共卫生安全的食品，应按国家有关规定处理或进行协议销毁，不退货给中标供应商。</w:t>
            </w:r>
          </w:p>
          <w:p>
            <w:pPr>
              <w:spacing w:line="320" w:lineRule="exact"/>
              <w:rPr>
                <w:color w:val="000000" w:themeColor="text1"/>
                <w:highlight w:val="none"/>
              </w:rPr>
            </w:pPr>
            <w:r>
              <w:rPr>
                <w:rFonts w:hint="eastAsia"/>
                <w:color w:val="000000" w:themeColor="text1"/>
                <w:highlight w:val="none"/>
              </w:rPr>
              <w:t>6.抽查发现食品安全质量问题的处理</w:t>
            </w:r>
          </w:p>
          <w:p>
            <w:pPr>
              <w:spacing w:line="320" w:lineRule="exact"/>
              <w:rPr>
                <w:color w:val="000000" w:themeColor="text1"/>
                <w:highlight w:val="none"/>
              </w:rPr>
            </w:pPr>
            <w:r>
              <w:rPr>
                <w:rFonts w:hint="eastAsia"/>
                <w:color w:val="000000" w:themeColor="text1"/>
                <w:highlight w:val="none"/>
              </w:rPr>
              <w:t>1）对危及人身安全的食品质量问题采取零容忍措施，一经发现，当日所送同批次产品全部退货，如发现农药残留超标、腐败变质肉类等。</w:t>
            </w:r>
          </w:p>
          <w:p>
            <w:pPr>
              <w:spacing w:line="320" w:lineRule="exact"/>
              <w:rPr>
                <w:color w:val="000000" w:themeColor="text1"/>
                <w:highlight w:val="none"/>
              </w:rPr>
            </w:pPr>
            <w:r>
              <w:rPr>
                <w:rFonts w:hint="eastAsia"/>
                <w:color w:val="000000" w:themeColor="text1"/>
                <w:highlight w:val="none"/>
              </w:rPr>
              <w:t>2）若抽查未发现问题，而在加工食用前发现部分产品质量问题，应立即通知单位伙食物资验收小组及中标供应商，将问题食材退货处理。</w:t>
            </w:r>
          </w:p>
          <w:p>
            <w:pPr>
              <w:spacing w:line="320" w:lineRule="exact"/>
              <w:rPr>
                <w:color w:val="000000" w:themeColor="text1"/>
                <w:highlight w:val="none"/>
              </w:rPr>
            </w:pPr>
            <w:r>
              <w:rPr>
                <w:rFonts w:hint="eastAsia"/>
                <w:color w:val="000000" w:themeColor="text1"/>
                <w:highlight w:val="none"/>
              </w:rPr>
              <w:t>7.重量验收</w:t>
            </w:r>
          </w:p>
          <w:p>
            <w:pPr>
              <w:spacing w:line="320" w:lineRule="exact"/>
              <w:rPr>
                <w:color w:val="000000" w:themeColor="text1"/>
                <w:highlight w:val="none"/>
              </w:rPr>
            </w:pPr>
            <w:r>
              <w:rPr>
                <w:rFonts w:hint="eastAsia"/>
                <w:color w:val="000000" w:themeColor="text1"/>
                <w:highlight w:val="none"/>
              </w:rPr>
              <w:t>瓜菜类、新鲜肉类直接称重验收。</w:t>
            </w:r>
          </w:p>
          <w:p>
            <w:pPr>
              <w:spacing w:line="320" w:lineRule="exact"/>
              <w:rPr>
                <w:color w:val="000000" w:themeColor="text1"/>
                <w:highlight w:val="none"/>
              </w:rPr>
            </w:pPr>
            <w:r>
              <w:rPr>
                <w:rFonts w:hint="eastAsia"/>
                <w:color w:val="000000" w:themeColor="text1"/>
                <w:highlight w:val="none"/>
              </w:rPr>
              <w:t>2）冻肉类验货时，拆箱检查，如含水量太多称重时适当按比例除冰块的重量。称重时要扣除纸箱、以货品净重为准。如果外包装箱上标有净重，按净重入库，如果没有净重标识，按5%扣除含冰量。</w:t>
            </w:r>
          </w:p>
          <w:p>
            <w:pPr>
              <w:spacing w:line="320" w:lineRule="exact"/>
              <w:rPr>
                <w:color w:val="000000" w:themeColor="text1"/>
                <w:highlight w:val="none"/>
              </w:rPr>
            </w:pPr>
            <w:r>
              <w:rPr>
                <w:rFonts w:hint="eastAsia"/>
                <w:color w:val="000000" w:themeColor="text1"/>
                <w:highlight w:val="none"/>
              </w:rPr>
              <w:t>8.中标供应商提供假冒伪劣、过期、变质的、有毒食品的，一经发现，除按采购人要求无条件退货或换货外，还将受到如下处罚：</w:t>
            </w:r>
          </w:p>
          <w:p>
            <w:pPr>
              <w:spacing w:line="320" w:lineRule="exact"/>
              <w:rPr>
                <w:color w:val="000000" w:themeColor="text1"/>
                <w:highlight w:val="none"/>
              </w:rPr>
            </w:pPr>
            <w:r>
              <w:rPr>
                <w:rFonts w:hint="eastAsia"/>
                <w:color w:val="000000" w:themeColor="text1"/>
                <w:highlight w:val="none"/>
              </w:rPr>
              <w:t>1）中标供应商提供假冒伪劣、过期、变质食品的，采购人有权要求无条件退货或换货，中标供应商将被处以当次供应食品货款2倍的违约金，违约金在供货结算款内扣除。</w:t>
            </w:r>
          </w:p>
          <w:p>
            <w:pPr>
              <w:spacing w:line="320" w:lineRule="exact"/>
              <w:rPr>
                <w:color w:val="000000" w:themeColor="text1"/>
                <w:highlight w:val="none"/>
              </w:rPr>
            </w:pPr>
            <w:r>
              <w:rPr>
                <w:rFonts w:hint="eastAsia"/>
                <w:color w:val="000000" w:themeColor="text1"/>
                <w:highlight w:val="none"/>
              </w:rPr>
              <w:t>2）中标供应商若提供有毒食品，造成食品安全事故的，经有关单位鉴定原因后，如确实为中标供应商提供的食品问题，视为中标供应商单方违约，中标供应商须负担全数的医药费，采购人将取消该中标供应商的供货资格，没收其履约保证金，中标供应商同时承担相应的民事及刑事法律责任及放弃先诉抗辩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10</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1.合同签订前5个工作日内，01包组中标供应商须向采购人支付履约保</w:t>
            </w:r>
          </w:p>
          <w:p>
            <w:pPr>
              <w:spacing w:line="320" w:lineRule="exact"/>
              <w:rPr>
                <w:color w:val="000000" w:themeColor="text1"/>
                <w:highlight w:val="none"/>
              </w:rPr>
            </w:pPr>
            <w:r>
              <w:rPr>
                <w:rFonts w:hint="eastAsia"/>
                <w:color w:val="000000" w:themeColor="text1"/>
                <w:highlight w:val="none"/>
              </w:rPr>
              <w:t>证金人民币叁拾万元整（￥300000.00元）；02包组中标供应商须向采购人支付履约保证金人民币贰拾陆万伍仟元整（￥265000.00元）作为履约保证金。</w:t>
            </w:r>
          </w:p>
          <w:p>
            <w:pPr>
              <w:spacing w:line="320" w:lineRule="exact"/>
              <w:rPr>
                <w:color w:val="000000" w:themeColor="text1"/>
                <w:highlight w:val="none"/>
              </w:rPr>
            </w:pPr>
            <w:r>
              <w:rPr>
                <w:rFonts w:hint="eastAsia"/>
                <w:color w:val="000000" w:themeColor="text1"/>
                <w:highlight w:val="none"/>
              </w:rPr>
              <w:t>2.交纳方式：以支票、汇票、本票或者金融机构、担保机构出具的保函等非现金形式提交。</w:t>
            </w:r>
          </w:p>
          <w:p>
            <w:pPr>
              <w:spacing w:line="320" w:lineRule="exact"/>
              <w:rPr>
                <w:color w:val="000000" w:themeColor="text1"/>
                <w:highlight w:val="none"/>
              </w:rPr>
            </w:pPr>
            <w:r>
              <w:rPr>
                <w:rFonts w:hint="eastAsia"/>
                <w:color w:val="000000" w:themeColor="text1"/>
                <w:highlight w:val="none"/>
              </w:rPr>
              <w:t>3.履约保证金于合同期满并在中标供应商完全履行合同义务之日起20个工作日内退还。</w:t>
            </w:r>
          </w:p>
          <w:p>
            <w:pPr>
              <w:spacing w:line="320" w:lineRule="exact"/>
              <w:rPr>
                <w:color w:val="000000" w:themeColor="text1"/>
                <w:highlight w:val="none"/>
              </w:rPr>
            </w:pPr>
            <w:r>
              <w:rPr>
                <w:rFonts w:hint="eastAsia"/>
                <w:color w:val="000000" w:themeColor="text1"/>
                <w:highlight w:val="none"/>
              </w:rPr>
              <w:t>4.中标供应商在合同履行期间保证对采购人的货物供应，若中标后反悔或不能履行合同的，采购人有权单方终止合同并没收全额履约保证金，由此产生的一切经济损失由该中标供应商自行承担。</w:t>
            </w:r>
          </w:p>
          <w:p>
            <w:pPr>
              <w:spacing w:line="320" w:lineRule="exact"/>
              <w:rPr>
                <w:color w:val="000000" w:themeColor="text1"/>
                <w:highlight w:val="none"/>
              </w:rPr>
            </w:pPr>
            <w:r>
              <w:rPr>
                <w:rFonts w:hint="eastAsia"/>
                <w:color w:val="000000" w:themeColor="text1"/>
                <w:highlight w:val="none"/>
              </w:rPr>
              <w:t>5.履约保证金用于补偿采购人因中标供应商的过失导致未能达到合同约定的服务和质量要求而蒙受的损失。</w:t>
            </w:r>
          </w:p>
          <w:p>
            <w:pPr>
              <w:spacing w:line="320" w:lineRule="exact"/>
              <w:rPr>
                <w:color w:val="000000" w:themeColor="text1"/>
                <w:highlight w:val="none"/>
              </w:rPr>
            </w:pPr>
            <w:r>
              <w:rPr>
                <w:rFonts w:hint="eastAsia"/>
                <w:color w:val="000000" w:themeColor="text1"/>
                <w:highlight w:val="none"/>
              </w:rPr>
              <w:t>6.如果中标供应商无违反合同，合同期满后保证金全额退还中标供应商；如中标供应商违反合同，合同期满后采购人扣除相应的保证金剩余部分退还中标供应商。</w:t>
            </w:r>
          </w:p>
          <w:p>
            <w:pPr>
              <w:spacing w:line="320" w:lineRule="exact"/>
              <w:rPr>
                <w:color w:val="000000" w:themeColor="text1"/>
                <w:highlight w:val="none"/>
              </w:rPr>
            </w:pPr>
            <w:r>
              <w:rPr>
                <w:rFonts w:hint="eastAsia"/>
                <w:color w:val="000000" w:themeColor="text1"/>
                <w:highlight w:val="none"/>
              </w:rPr>
              <w:t>7.因中标供应商供应的材食材质量问题造成采购人人员发生食物中毒事件的，采购人有权单方解除合同，没收全额履约保证金；中毒人员的全部医疗费用及法律规定的其他费用全部由中标供应商承担；采购人保留通过法律途径追究中标供应商责任的权利。</w:t>
            </w:r>
          </w:p>
          <w:p>
            <w:pPr>
              <w:spacing w:line="320" w:lineRule="exact"/>
              <w:rPr>
                <w:color w:val="000000" w:themeColor="text1"/>
                <w:highlight w:val="none"/>
              </w:rPr>
            </w:pPr>
            <w:r>
              <w:rPr>
                <w:rFonts w:hint="eastAsia"/>
                <w:color w:val="000000" w:themeColor="text1"/>
                <w:highlight w:val="none"/>
              </w:rPr>
              <w:t>8.合同履行期间，中标供应商不得聘请采购人的工作人员及其直系亲属参与生产经营活动，发现类似情况，采购人有权单方终止合同，没收全额履约保证金，重新招标。</w:t>
            </w:r>
          </w:p>
          <w:p>
            <w:pPr>
              <w:spacing w:line="320" w:lineRule="exact"/>
              <w:rPr>
                <w:color w:val="000000" w:themeColor="text1"/>
                <w:highlight w:val="none"/>
              </w:rPr>
            </w:pPr>
            <w:r>
              <w:rPr>
                <w:rFonts w:hint="eastAsia"/>
                <w:color w:val="000000" w:themeColor="text1"/>
                <w:highlight w:val="none"/>
              </w:rPr>
              <w:t>9.采购人的工作人员及其直系亲属不得参与本项目投标，如隐瞒事实骗取中标的，采购人有权单方面终止合同。</w:t>
            </w:r>
          </w:p>
          <w:p>
            <w:pPr>
              <w:spacing w:line="320" w:lineRule="exact"/>
              <w:rPr>
                <w:color w:val="000000" w:themeColor="text1"/>
                <w:highlight w:val="none"/>
              </w:rPr>
            </w:pPr>
            <w:r>
              <w:rPr>
                <w:rFonts w:hint="eastAsia"/>
                <w:color w:val="000000" w:themeColor="text1"/>
                <w:highlight w:val="none"/>
              </w:rPr>
              <w:t>10.在合同执行期间，如因中标供应商的过失或工作不配合的原因造成采购人经济损失的，采购人有权根据损失的数额直接在履约保证金中扣除并书面通知中标供应商。中标供应商在收到采购人的通知后，应在3个工作日内补足被扣除的保证金，否则采购人有权拒付相应数额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11</w:t>
            </w:r>
          </w:p>
        </w:tc>
        <w:tc>
          <w:tcPr>
            <w:tcW w:w="2552" w:type="dxa"/>
            <w:tcBorders>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ascii="宋体" w:hAnsi="宋体"/>
                <w:b/>
                <w:color w:val="000000" w:themeColor="text1"/>
                <w:szCs w:val="21"/>
                <w:highlight w:val="none"/>
              </w:rPr>
              <w:t>保密条款</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中标供应商在实施货物供货期间，不得将供货的实际数量及供货地点泄露给其他企业或者个人，中标供应商必须指派相对固定的人员完成货物配送服务，并需将配送人员的详细资料报采购人备案，货物配送人员必须遵纪守法、品行良好，无违法犯罪记录。如需要更换配送人员，必须事先通知采购人并将其个人资料送采购人审批，审批合格者才能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12</w:t>
            </w:r>
          </w:p>
        </w:tc>
        <w:tc>
          <w:tcPr>
            <w:tcW w:w="2552" w:type="dxa"/>
            <w:tcBorders>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合同解除</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1.采购人与中标供应商签订的食品配送合同有效期为1年，合同期满或包组预算金额达到上限后合同自然失效。</w:t>
            </w:r>
          </w:p>
          <w:p>
            <w:pPr>
              <w:spacing w:line="320" w:lineRule="exact"/>
              <w:rPr>
                <w:color w:val="000000" w:themeColor="text1"/>
                <w:highlight w:val="none"/>
              </w:rPr>
            </w:pPr>
            <w:r>
              <w:rPr>
                <w:rFonts w:hint="eastAsia"/>
                <w:color w:val="000000" w:themeColor="text1"/>
                <w:highlight w:val="none"/>
              </w:rPr>
              <w:t>2.在招投标过程中以弄虚作假等欺诈手段中标，或配送过程中由于情况变化不再符合准入条件的，采购人有权取消其配送资格。</w:t>
            </w:r>
          </w:p>
          <w:p>
            <w:pPr>
              <w:spacing w:line="320" w:lineRule="exact"/>
              <w:rPr>
                <w:color w:val="000000" w:themeColor="text1"/>
                <w:highlight w:val="none"/>
              </w:rPr>
            </w:pPr>
            <w:r>
              <w:rPr>
                <w:rFonts w:hint="eastAsia"/>
                <w:color w:val="000000" w:themeColor="text1"/>
                <w:highlight w:val="none"/>
              </w:rPr>
              <w:t>3.中标供应商不得将中标项目转让或分包给第三方，一经发现，采购人有权取消其配送资格。</w:t>
            </w:r>
          </w:p>
          <w:p>
            <w:pPr>
              <w:spacing w:line="320" w:lineRule="exact"/>
              <w:rPr>
                <w:color w:val="000000" w:themeColor="text1"/>
                <w:highlight w:val="none"/>
              </w:rPr>
            </w:pPr>
            <w:r>
              <w:rPr>
                <w:rFonts w:hint="eastAsia"/>
                <w:color w:val="000000" w:themeColor="text1"/>
                <w:highlight w:val="none"/>
              </w:rPr>
              <w:t>4.中标供应商在合同期间未按配送要求提供原料，影响正常就餐的，三次以上者，采购人有权取消其配送资格。</w:t>
            </w:r>
          </w:p>
          <w:p>
            <w:pPr>
              <w:spacing w:line="320" w:lineRule="exact"/>
              <w:rPr>
                <w:color w:val="000000" w:themeColor="text1"/>
                <w:highlight w:val="none"/>
              </w:rPr>
            </w:pPr>
            <w:r>
              <w:rPr>
                <w:rFonts w:hint="eastAsia"/>
                <w:color w:val="000000" w:themeColor="text1"/>
                <w:highlight w:val="none"/>
              </w:rPr>
              <w:t>5.采购人将每次出现食品质量安全事件记录在案，如事件已危及人身安全，或此类问题出现已超过3次的，采购人有权单方终止合同，取消中标供应商配送资格。</w:t>
            </w:r>
          </w:p>
          <w:p>
            <w:pPr>
              <w:spacing w:line="320" w:lineRule="exact"/>
              <w:rPr>
                <w:color w:val="000000" w:themeColor="text1"/>
                <w:highlight w:val="none"/>
              </w:rPr>
            </w:pPr>
            <w:r>
              <w:rPr>
                <w:rFonts w:hint="eastAsia"/>
                <w:color w:val="000000" w:themeColor="text1"/>
                <w:highlight w:val="none"/>
              </w:rPr>
              <w:t>6.确认为中标供应商而造成的食物中毒事故或配送食品质量引发重大食品安全事故，采购人有权立即取消其配送资格；由此所造成采购人的经济损失以及引致的法律责任由中标供应商承担。</w:t>
            </w:r>
          </w:p>
          <w:p>
            <w:pPr>
              <w:spacing w:line="320" w:lineRule="exact"/>
              <w:rPr>
                <w:color w:val="000000" w:themeColor="text1"/>
                <w:highlight w:val="none"/>
              </w:rPr>
            </w:pPr>
            <w:r>
              <w:rPr>
                <w:rFonts w:hint="eastAsia"/>
                <w:color w:val="000000" w:themeColor="text1"/>
                <w:highlight w:val="none"/>
              </w:rPr>
              <w:t>7.中标供应商须及时对采购人提出的存在问题作出响应并实施整改，若不改正，采购人有权取消其配送资格。</w:t>
            </w:r>
          </w:p>
          <w:p>
            <w:pPr>
              <w:spacing w:line="320" w:lineRule="exact"/>
              <w:rPr>
                <w:color w:val="000000" w:themeColor="text1"/>
                <w:highlight w:val="none"/>
              </w:rPr>
            </w:pPr>
            <w:r>
              <w:rPr>
                <w:rFonts w:hint="eastAsia"/>
                <w:color w:val="000000" w:themeColor="text1"/>
                <w:highlight w:val="none"/>
              </w:rPr>
              <w:t>8.采购人对中标供应商在食品配送工作进行不定期抽查考核，原则上每月考核一次。若被抽查考核一次被扣减分数在20分以上的，或半年内考核有2次被扣减分数在10分以上的，采购人有权取消中标供应商的配送资格。</w:t>
            </w:r>
            <w:r>
              <w:rPr>
                <w:rFonts w:hint="eastAsia"/>
                <w:b/>
                <w:bCs/>
                <w:color w:val="000000" w:themeColor="text1"/>
                <w:highlight w:val="none"/>
              </w:rPr>
              <w:t>考核细则见技术要求附件《食品配送考核细则》。</w:t>
            </w:r>
          </w:p>
          <w:p>
            <w:pPr>
              <w:spacing w:line="320" w:lineRule="exact"/>
              <w:rPr>
                <w:color w:val="000000" w:themeColor="text1"/>
                <w:highlight w:val="none"/>
              </w:rPr>
            </w:pPr>
            <w:r>
              <w:rPr>
                <w:rFonts w:hint="eastAsia"/>
                <w:color w:val="000000" w:themeColor="text1"/>
                <w:highlight w:val="none"/>
              </w:rPr>
              <w:t>9.中标供应商不得以任何理由，对采购人相关人员进行贿赂，一经发现，采购人有权取消其配送资格，由此而引致的一切责任由中标供应商承担。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13</w:t>
            </w:r>
          </w:p>
        </w:tc>
        <w:tc>
          <w:tcPr>
            <w:tcW w:w="2552" w:type="dxa"/>
            <w:tcBorders>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themeColor="text1"/>
                <w:szCs w:val="21"/>
                <w:highlight w:val="none"/>
              </w:rPr>
            </w:pPr>
            <w:r>
              <w:rPr>
                <w:rFonts w:hint="eastAsia" w:ascii="宋体" w:hAnsi="宋体"/>
                <w:b/>
                <w:color w:val="000000" w:themeColor="text1"/>
                <w:highlight w:val="none"/>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1.中标供应商需严格履行招标文件和合同的约定，保质、保量、按时配送食品。</w:t>
            </w:r>
          </w:p>
          <w:p>
            <w:pPr>
              <w:spacing w:line="320" w:lineRule="exact"/>
              <w:rPr>
                <w:color w:val="000000" w:themeColor="text1"/>
                <w:highlight w:val="none"/>
              </w:rPr>
            </w:pPr>
            <w:r>
              <w:rPr>
                <w:rFonts w:hint="eastAsia"/>
                <w:color w:val="000000" w:themeColor="text1"/>
                <w:highlight w:val="none"/>
              </w:rPr>
              <w:t>2.因使用中标供应商配送的食品而引致安全事故，中标供应商需承担全部经济和法律责任，并放弃先诉抗辩权。</w:t>
            </w:r>
          </w:p>
          <w:p>
            <w:pPr>
              <w:spacing w:line="320" w:lineRule="exact"/>
              <w:rPr>
                <w:color w:val="000000" w:themeColor="text1"/>
                <w:highlight w:val="none"/>
              </w:rPr>
            </w:pPr>
            <w:r>
              <w:rPr>
                <w:rFonts w:hint="eastAsia"/>
                <w:color w:val="000000" w:themeColor="text1"/>
                <w:highlight w:val="none"/>
              </w:rPr>
              <w:t>3.中标供应商在食品配送过程中如出现需向采购人支付经济赔偿金、违约金等相关费用时，采购人可直接在每月食品配送结算金额中扣除。</w:t>
            </w:r>
          </w:p>
          <w:p>
            <w:pPr>
              <w:spacing w:line="320" w:lineRule="exact"/>
              <w:rPr>
                <w:color w:val="000000" w:themeColor="text1"/>
                <w:highlight w:val="none"/>
              </w:rPr>
            </w:pPr>
            <w:r>
              <w:rPr>
                <w:rFonts w:hint="eastAsia"/>
                <w:color w:val="000000" w:themeColor="text1"/>
                <w:highlight w:val="none"/>
              </w:rPr>
              <w:t>4.合同期内，如因中标供应商违约原因被采购人解除合同或中标供应商单方解除合同时，履约保证金、经济赔偿金、违约罚金等相关费用按如下处理：</w:t>
            </w:r>
          </w:p>
          <w:p>
            <w:pPr>
              <w:spacing w:line="320" w:lineRule="exact"/>
              <w:rPr>
                <w:color w:val="000000" w:themeColor="text1"/>
                <w:highlight w:val="none"/>
              </w:rPr>
            </w:pPr>
            <w:r>
              <w:rPr>
                <w:rFonts w:hint="eastAsia"/>
                <w:color w:val="000000" w:themeColor="text1"/>
                <w:highlight w:val="none"/>
              </w:rPr>
              <w:t>（1）采购人有权没收中标供应商交纳的履约保证金。</w:t>
            </w:r>
          </w:p>
          <w:p>
            <w:pPr>
              <w:spacing w:line="320" w:lineRule="exact"/>
              <w:rPr>
                <w:color w:val="000000" w:themeColor="text1"/>
                <w:highlight w:val="none"/>
              </w:rPr>
            </w:pPr>
            <w:r>
              <w:rPr>
                <w:rFonts w:hint="eastAsia"/>
                <w:color w:val="000000" w:themeColor="text1"/>
                <w:highlight w:val="none"/>
              </w:rPr>
              <w:t>（2）如中标供应商出现需向采购人支付经济赔偿金、违约罚金等相关费用，而食品配送结算金额以及履约保证金不足以支付时，差额部分中标供应商需3日内另行向采购人支付。</w:t>
            </w:r>
          </w:p>
          <w:p>
            <w:pPr>
              <w:spacing w:line="320" w:lineRule="exact"/>
              <w:rPr>
                <w:color w:val="000000" w:themeColor="text1"/>
                <w:highlight w:val="none"/>
              </w:rPr>
            </w:pPr>
            <w:r>
              <w:rPr>
                <w:rFonts w:hint="eastAsia"/>
                <w:color w:val="000000" w:themeColor="text1"/>
                <w:highlight w:val="none"/>
              </w:rPr>
              <w:t>5.中标供应商因违反合同约定给采购方造成重大影响或经济损失或未及时向采购人支付经济赔偿金、违约金等相关费用差额的，采购人保留法律追究权。</w:t>
            </w:r>
          </w:p>
          <w:p>
            <w:pPr>
              <w:spacing w:line="320" w:lineRule="exact"/>
              <w:rPr>
                <w:color w:val="000000" w:themeColor="text1"/>
                <w:highlight w:val="none"/>
              </w:rPr>
            </w:pPr>
            <w:r>
              <w:rPr>
                <w:rFonts w:hint="eastAsia"/>
                <w:color w:val="000000" w:themeColor="text1"/>
                <w:highlight w:val="none"/>
              </w:rPr>
              <w:t>6.合同履行过程中，如中标供应商质量履约保证金没有发生被没收、抵扣或抵扣后仍有余额的，采购人根据实际在合同期满后20个工作日内将剩余的履约保证金一次性返还中标供应商。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14</w:t>
            </w:r>
          </w:p>
        </w:tc>
        <w:tc>
          <w:tcPr>
            <w:tcW w:w="2552" w:type="dxa"/>
            <w:tcBorders>
              <w:left w:val="single" w:color="auto" w:sz="4" w:space="0"/>
              <w:bottom w:val="single" w:color="auto" w:sz="4" w:space="0"/>
              <w:right w:val="single" w:color="auto" w:sz="4" w:space="0"/>
            </w:tcBorders>
            <w:vAlign w:val="center"/>
          </w:tcPr>
          <w:p>
            <w:pPr>
              <w:spacing w:line="320" w:lineRule="exact"/>
              <w:jc w:val="center"/>
              <w:rPr>
                <w:rFonts w:ascii="宋体" w:hAnsi="宋体"/>
                <w:b/>
                <w:color w:val="000000" w:themeColor="text1"/>
                <w:highlight w:val="none"/>
              </w:rPr>
            </w:pPr>
            <w:r>
              <w:rPr>
                <w:rFonts w:hint="eastAsia" w:ascii="宋体" w:hAnsi="宋体"/>
                <w:b/>
                <w:color w:val="000000" w:themeColor="text1"/>
                <w:highlight w:val="none"/>
              </w:rPr>
              <w:t>考核标准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 xml:space="preserve">1.采购人在服务期限内对中标供应商实行考核制度，服务期限内（即一年内）若扣分累计达到30分或以上则采购人有权利取消取消中标供应商的配送资格。 </w:t>
            </w:r>
          </w:p>
          <w:p>
            <w:pPr>
              <w:spacing w:line="320" w:lineRule="exact"/>
              <w:rPr>
                <w:color w:val="000000" w:themeColor="text1"/>
                <w:highlight w:val="none"/>
              </w:rPr>
            </w:pPr>
            <w:r>
              <w:rPr>
                <w:rFonts w:hint="eastAsia"/>
                <w:color w:val="000000" w:themeColor="text1"/>
                <w:highlight w:val="none"/>
              </w:rPr>
              <w:t>2.考核标准：每次供应肉菜不提供残留农药合格证明扣10分；每次不符合肉菜验收标准细则中任一条扣3分/条；每次在上午9:00后供货的扣2分。如因肉菜质量问题造成食品安全事故，中标供应商须负一切责任并且采购人有权利取消其中标供应商的配送资格。</w:t>
            </w:r>
            <w:r>
              <w:rPr>
                <w:rFonts w:hint="eastAsia"/>
                <w:b/>
                <w:bCs/>
                <w:color w:val="000000" w:themeColor="text1"/>
                <w:highlight w:val="none"/>
              </w:rPr>
              <w:t>考核细则见技术要求附件《配送服务质量考核评价办法》。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15</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87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ascii="宋体" w:hAnsi="宋体" w:cs="宋体"/>
                <w:b/>
                <w:color w:val="000000" w:themeColor="text1"/>
                <w:szCs w:val="21"/>
                <w:highlight w:val="none"/>
              </w:rPr>
              <w:t>01</w:t>
            </w:r>
            <w:r>
              <w:rPr>
                <w:rFonts w:hint="eastAsia" w:ascii="宋体" w:hAnsi="宋体" w:cs="宋体"/>
                <w:b/>
                <w:color w:val="000000" w:themeColor="text1"/>
                <w:szCs w:val="21"/>
                <w:highlight w:val="none"/>
              </w:rPr>
              <w:t>包组：人民币陆万元整（￥60000</w:t>
            </w:r>
            <w:r>
              <w:rPr>
                <w:rFonts w:ascii="宋体" w:cs="宋体"/>
                <w:b/>
                <w:color w:val="000000" w:themeColor="text1"/>
                <w:szCs w:val="21"/>
                <w:highlight w:val="none"/>
              </w:rPr>
              <w:t>.00</w:t>
            </w:r>
            <w:r>
              <w:rPr>
                <w:rFonts w:hint="eastAsia" w:ascii="宋体" w:hAnsi="宋体" w:cs="宋体"/>
                <w:b/>
                <w:color w:val="000000" w:themeColor="text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b/>
                <w:color w:val="000000" w:themeColor="text1"/>
                <w:highlight w:val="none"/>
              </w:rPr>
            </w:pPr>
          </w:p>
        </w:tc>
        <w:tc>
          <w:tcPr>
            <w:tcW w:w="1871"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ascii="宋体" w:cs="宋体"/>
                <w:b/>
                <w:color w:val="000000" w:themeColor="text1"/>
                <w:szCs w:val="21"/>
                <w:highlight w:val="none"/>
              </w:rPr>
              <w:t>0</w:t>
            </w:r>
            <w:r>
              <w:rPr>
                <w:rFonts w:ascii="宋体" w:hAnsi="宋体" w:cs="宋体"/>
                <w:b/>
                <w:color w:val="000000" w:themeColor="text1"/>
                <w:szCs w:val="21"/>
                <w:highlight w:val="none"/>
              </w:rPr>
              <w:t>2</w:t>
            </w:r>
            <w:r>
              <w:rPr>
                <w:rFonts w:hint="eastAsia" w:ascii="宋体" w:hAnsi="宋体" w:cs="宋体"/>
                <w:b/>
                <w:color w:val="000000" w:themeColor="text1"/>
                <w:szCs w:val="21"/>
                <w:highlight w:val="none"/>
              </w:rPr>
              <w:t>包组：人民币伍万伍仟元整（￥55000</w:t>
            </w:r>
            <w:r>
              <w:rPr>
                <w:rFonts w:ascii="宋体" w:cs="宋体"/>
                <w:b/>
                <w:color w:val="000000" w:themeColor="text1"/>
                <w:szCs w:val="21"/>
                <w:highlight w:val="none"/>
              </w:rPr>
              <w:t>.00</w:t>
            </w:r>
            <w:r>
              <w:rPr>
                <w:rFonts w:hint="eastAsia" w:ascii="宋体" w:hAnsi="宋体" w:cs="宋体"/>
                <w:b/>
                <w:color w:val="000000" w:themeColor="text1"/>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b/>
                <w:bCs/>
                <w:color w:val="000000" w:themeColor="text1"/>
                <w:szCs w:val="21"/>
                <w:highlight w:val="none"/>
              </w:rPr>
            </w:pPr>
            <w:r>
              <w:rPr>
                <w:rFonts w:hint="eastAsia" w:ascii="宋体" w:hAnsi="宋体"/>
                <w:b/>
                <w:bCs/>
                <w:color w:val="000000" w:themeColor="text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rPr>
            </w:pPr>
            <w:r>
              <w:rPr>
                <w:rFonts w:hint="eastAsia" w:ascii="宋体" w:hAnsi="宋体"/>
                <w:b/>
                <w:bCs/>
                <w:color w:val="000000" w:themeColor="text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16</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中标服务费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根据《国家发展改革委关于降低部分建设项目收费标准规范收费行为等有关问题的通知》（发改价格〔</w:t>
            </w:r>
            <w:r>
              <w:rPr>
                <w:rFonts w:ascii="宋体" w:hAnsi="宋体"/>
                <w:bCs/>
                <w:color w:val="000000" w:themeColor="text1"/>
                <w:szCs w:val="21"/>
                <w:highlight w:val="none"/>
              </w:rPr>
              <w:t>2011</w:t>
            </w:r>
            <w:r>
              <w:rPr>
                <w:rFonts w:hint="eastAsia" w:ascii="宋体" w:hAnsi="宋体"/>
                <w:bCs/>
                <w:color w:val="000000" w:themeColor="text1"/>
                <w:szCs w:val="21"/>
                <w:highlight w:val="none"/>
              </w:rPr>
              <w:t>〕</w:t>
            </w:r>
            <w:r>
              <w:rPr>
                <w:rFonts w:ascii="宋体" w:hAnsi="宋体"/>
                <w:bCs/>
                <w:color w:val="000000" w:themeColor="text1"/>
                <w:szCs w:val="21"/>
                <w:highlight w:val="none"/>
              </w:rPr>
              <w:t>534</w:t>
            </w:r>
            <w:r>
              <w:rPr>
                <w:rFonts w:hint="eastAsia" w:ascii="宋体" w:hAnsi="宋体"/>
                <w:bCs/>
                <w:color w:val="000000" w:themeColor="text1"/>
                <w:szCs w:val="21"/>
                <w:highlight w:val="none"/>
              </w:rPr>
              <w:t>号）的规定</w:t>
            </w:r>
            <w:r>
              <w:rPr>
                <w:rFonts w:hint="eastAsia" w:ascii="宋体" w:hAnsi="宋体"/>
                <w:color w:val="000000" w:themeColor="text1"/>
                <w:szCs w:val="21"/>
                <w:highlight w:val="none"/>
              </w:rPr>
              <w:t>，招标代理服务费按差额定率累进法计算。中标服务费由中标人分别在领取中标通知书前以银行转账方式一次性支付。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中国农业银行股份有限公司阳江江城支行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4"/>
        <w:numPr>
          <w:ilvl w:val="0"/>
          <w:numId w:val="0"/>
        </w:numPr>
        <w:spacing w:beforeLines="150" w:after="0" w:line="360" w:lineRule="auto"/>
        <w:rPr>
          <w:color w:val="000000" w:themeColor="text1"/>
          <w:kern w:val="0"/>
          <w:sz w:val="24"/>
          <w:highlight w:val="none"/>
        </w:rPr>
      </w:pPr>
      <w:bookmarkStart w:id="119" w:name="_Toc505160648"/>
      <w:bookmarkStart w:id="120" w:name="_Toc16323"/>
      <w:r>
        <w:rPr>
          <w:rFonts w:hint="eastAsia"/>
          <w:color w:val="000000" w:themeColor="text1"/>
          <w:kern w:val="0"/>
          <w:sz w:val="24"/>
          <w:highlight w:val="none"/>
        </w:rPr>
        <w:t>B  技术要求</w:t>
      </w:r>
      <w:bookmarkEnd w:id="119"/>
      <w:bookmarkEnd w:id="120"/>
    </w:p>
    <w:p>
      <w:pPr>
        <w:pStyle w:val="193"/>
        <w:spacing w:line="360" w:lineRule="auto"/>
        <w:ind w:firstLine="0" w:firstLineChars="0"/>
        <w:rPr>
          <w:rFonts w:ascii="宋体" w:hAnsi="宋体"/>
          <w:b/>
          <w:color w:val="000000" w:themeColor="text1"/>
          <w:szCs w:val="21"/>
          <w:highlight w:val="none"/>
        </w:rPr>
      </w:pPr>
      <w:r>
        <w:rPr>
          <w:rFonts w:hint="eastAsia" w:ascii="宋体" w:hAnsi="宋体"/>
          <w:b/>
          <w:color w:val="000000" w:themeColor="text1"/>
          <w:szCs w:val="21"/>
          <w:highlight w:val="none"/>
        </w:rPr>
        <w:t>一、项目概况</w:t>
      </w:r>
    </w:p>
    <w:p>
      <w:pPr>
        <w:snapToGrid w:val="0"/>
        <w:spacing w:line="360" w:lineRule="auto"/>
        <w:ind w:firstLine="420" w:firstLineChars="200"/>
        <w:rPr>
          <w:rFonts w:ascii="宋体" w:hAnsi="宋体"/>
          <w:color w:val="000000" w:themeColor="text1"/>
          <w:highlight w:val="none"/>
        </w:rPr>
      </w:pPr>
      <w:bookmarkStart w:id="121" w:name="_Toc443995190"/>
      <w:r>
        <w:rPr>
          <w:rFonts w:hint="eastAsia" w:ascii="宋体" w:hAnsi="宋体"/>
          <w:color w:val="000000" w:themeColor="text1"/>
          <w:highlight w:val="none"/>
        </w:rPr>
        <w:t>阳春市公安局共有1.市局机关饭堂 2.交通警察大队饭堂 3.治安巡逻警察大队饭堂 4.阳春市看守所5.阳春市强制隔离戒毒所（拘留所）所饭堂；</w:t>
      </w:r>
    </w:p>
    <w:p>
      <w:pPr>
        <w:snapToGrid w:val="0"/>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各包组情况：</w:t>
      </w:r>
    </w:p>
    <w:tbl>
      <w:tblPr>
        <w:tblStyle w:val="47"/>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6461"/>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pPr>
              <w:snapToGrid w:val="0"/>
              <w:spacing w:line="400" w:lineRule="exact"/>
              <w:jc w:val="center"/>
              <w:rPr>
                <w:rFonts w:ascii="宋体" w:hAnsi="宋体"/>
                <w:color w:val="000000" w:themeColor="text1"/>
                <w:highlight w:val="none"/>
              </w:rPr>
            </w:pPr>
            <w:r>
              <w:rPr>
                <w:rFonts w:hint="eastAsia" w:ascii="宋体" w:hAnsi="宋体"/>
                <w:color w:val="000000" w:themeColor="text1"/>
                <w:highlight w:val="none"/>
              </w:rPr>
              <w:t>包组</w:t>
            </w:r>
          </w:p>
        </w:tc>
        <w:tc>
          <w:tcPr>
            <w:tcW w:w="6461" w:type="dxa"/>
            <w:vAlign w:val="center"/>
          </w:tcPr>
          <w:p>
            <w:pPr>
              <w:snapToGrid w:val="0"/>
              <w:spacing w:line="400" w:lineRule="exact"/>
              <w:jc w:val="center"/>
              <w:rPr>
                <w:rFonts w:ascii="宋体" w:hAnsi="宋体"/>
                <w:color w:val="000000" w:themeColor="text1"/>
                <w:highlight w:val="none"/>
              </w:rPr>
            </w:pPr>
            <w:r>
              <w:rPr>
                <w:rFonts w:hint="eastAsia" w:ascii="宋体" w:hAnsi="宋体"/>
                <w:color w:val="000000" w:themeColor="text1"/>
                <w:highlight w:val="none"/>
              </w:rPr>
              <w:t>配送地点</w:t>
            </w:r>
          </w:p>
        </w:tc>
        <w:tc>
          <w:tcPr>
            <w:tcW w:w="1312" w:type="dxa"/>
            <w:vAlign w:val="center"/>
          </w:tcPr>
          <w:p>
            <w:pPr>
              <w:snapToGrid w:val="0"/>
              <w:spacing w:line="400" w:lineRule="exact"/>
              <w:jc w:val="center"/>
              <w:rPr>
                <w:rFonts w:ascii="宋体" w:hAnsi="宋体"/>
                <w:color w:val="000000" w:themeColor="text1"/>
                <w:highlight w:val="none"/>
              </w:rPr>
            </w:pPr>
            <w:r>
              <w:rPr>
                <w:rFonts w:hint="eastAsia" w:ascii="宋体" w:hAnsi="宋体"/>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pPr>
              <w:snapToGrid w:val="0"/>
              <w:spacing w:line="400" w:lineRule="exact"/>
              <w:jc w:val="center"/>
              <w:rPr>
                <w:rFonts w:ascii="宋体" w:hAnsi="宋体"/>
                <w:color w:val="000000" w:themeColor="text1"/>
                <w:highlight w:val="none"/>
              </w:rPr>
            </w:pPr>
            <w:r>
              <w:rPr>
                <w:rFonts w:hint="eastAsia" w:ascii="宋体" w:hAnsi="宋体"/>
                <w:color w:val="000000" w:themeColor="text1"/>
                <w:highlight w:val="none"/>
              </w:rPr>
              <w:t>01包组</w:t>
            </w:r>
          </w:p>
        </w:tc>
        <w:tc>
          <w:tcPr>
            <w:tcW w:w="6461" w:type="dxa"/>
            <w:vAlign w:val="center"/>
          </w:tcPr>
          <w:p>
            <w:pPr>
              <w:snapToGrid w:val="0"/>
              <w:spacing w:line="400" w:lineRule="exact"/>
              <w:rPr>
                <w:rFonts w:ascii="宋体" w:hAnsi="宋体"/>
                <w:color w:val="000000" w:themeColor="text1"/>
                <w:highlight w:val="none"/>
              </w:rPr>
            </w:pPr>
            <w:r>
              <w:rPr>
                <w:rFonts w:hint="eastAsia" w:ascii="宋体" w:hAnsi="宋体"/>
                <w:color w:val="000000" w:themeColor="text1"/>
                <w:highlight w:val="none"/>
              </w:rPr>
              <w:t>1.市局机关饭堂</w:t>
            </w:r>
          </w:p>
          <w:p>
            <w:pPr>
              <w:snapToGrid w:val="0"/>
              <w:spacing w:line="400" w:lineRule="exact"/>
              <w:rPr>
                <w:rFonts w:ascii="宋体" w:hAnsi="宋体"/>
                <w:color w:val="000000" w:themeColor="text1"/>
                <w:highlight w:val="none"/>
              </w:rPr>
            </w:pPr>
            <w:r>
              <w:rPr>
                <w:rFonts w:hint="eastAsia" w:ascii="宋体" w:hAnsi="宋体"/>
                <w:color w:val="000000" w:themeColor="text1"/>
                <w:highlight w:val="none"/>
              </w:rPr>
              <w:t>2.交通警察大队饭堂</w:t>
            </w:r>
          </w:p>
          <w:p>
            <w:pPr>
              <w:snapToGrid w:val="0"/>
              <w:spacing w:line="400" w:lineRule="exact"/>
              <w:rPr>
                <w:rFonts w:ascii="宋体" w:hAnsi="宋体"/>
                <w:color w:val="000000" w:themeColor="text1"/>
                <w:highlight w:val="none"/>
              </w:rPr>
            </w:pPr>
            <w:r>
              <w:rPr>
                <w:rFonts w:hint="eastAsia" w:ascii="宋体" w:hAnsi="宋体"/>
                <w:color w:val="000000" w:themeColor="text1"/>
                <w:highlight w:val="none"/>
              </w:rPr>
              <w:t>3.治安巡逻警察大队饭堂</w:t>
            </w:r>
          </w:p>
        </w:tc>
        <w:tc>
          <w:tcPr>
            <w:tcW w:w="1312" w:type="dxa"/>
            <w:vAlign w:val="center"/>
          </w:tcPr>
          <w:p>
            <w:pPr>
              <w:snapToGrid w:val="0"/>
              <w:spacing w:line="400" w:lineRule="exact"/>
              <w:jc w:val="center"/>
              <w:rPr>
                <w:rFonts w:ascii="宋体" w:hAnsi="宋体"/>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vAlign w:val="center"/>
          </w:tcPr>
          <w:p>
            <w:pPr>
              <w:snapToGrid w:val="0"/>
              <w:spacing w:line="400" w:lineRule="exact"/>
              <w:jc w:val="center"/>
              <w:rPr>
                <w:rFonts w:ascii="宋体" w:hAnsi="宋体"/>
                <w:color w:val="000000" w:themeColor="text1"/>
                <w:highlight w:val="none"/>
              </w:rPr>
            </w:pPr>
            <w:r>
              <w:rPr>
                <w:rFonts w:hint="eastAsia" w:ascii="宋体" w:hAnsi="宋体"/>
                <w:color w:val="000000" w:themeColor="text1"/>
                <w:highlight w:val="none"/>
              </w:rPr>
              <w:t>02包组</w:t>
            </w:r>
          </w:p>
        </w:tc>
        <w:tc>
          <w:tcPr>
            <w:tcW w:w="6461" w:type="dxa"/>
            <w:vAlign w:val="center"/>
          </w:tcPr>
          <w:p>
            <w:pPr>
              <w:snapToGrid w:val="0"/>
              <w:spacing w:line="400" w:lineRule="exact"/>
              <w:rPr>
                <w:rFonts w:ascii="宋体" w:hAnsi="宋体"/>
                <w:color w:val="000000" w:themeColor="text1"/>
                <w:highlight w:val="none"/>
              </w:rPr>
            </w:pPr>
            <w:r>
              <w:rPr>
                <w:rFonts w:hint="eastAsia" w:ascii="宋体" w:hAnsi="宋体"/>
                <w:color w:val="000000" w:themeColor="text1"/>
                <w:highlight w:val="none"/>
              </w:rPr>
              <w:t>1.阳春市看守所</w:t>
            </w:r>
          </w:p>
          <w:p>
            <w:pPr>
              <w:snapToGrid w:val="0"/>
              <w:spacing w:line="400" w:lineRule="exact"/>
              <w:rPr>
                <w:rFonts w:ascii="宋体" w:hAnsi="宋体"/>
                <w:color w:val="000000" w:themeColor="text1"/>
                <w:highlight w:val="none"/>
              </w:rPr>
            </w:pPr>
            <w:r>
              <w:rPr>
                <w:rFonts w:hint="eastAsia" w:ascii="宋体" w:hAnsi="宋体"/>
                <w:color w:val="000000" w:themeColor="text1"/>
                <w:highlight w:val="none"/>
              </w:rPr>
              <w:t>2.阳春市强制隔离戒毒所（拘留所）所饭堂</w:t>
            </w:r>
          </w:p>
        </w:tc>
        <w:tc>
          <w:tcPr>
            <w:tcW w:w="1312" w:type="dxa"/>
            <w:vAlign w:val="center"/>
          </w:tcPr>
          <w:p>
            <w:pPr>
              <w:snapToGrid w:val="0"/>
              <w:spacing w:line="400" w:lineRule="exact"/>
              <w:jc w:val="center"/>
              <w:rPr>
                <w:rFonts w:ascii="宋体" w:hAnsi="宋体"/>
                <w:color w:val="000000" w:themeColor="text1"/>
                <w:highlight w:val="none"/>
              </w:rPr>
            </w:pPr>
          </w:p>
        </w:tc>
      </w:tr>
    </w:tbl>
    <w:p>
      <w:pPr>
        <w:pStyle w:val="193"/>
        <w:spacing w:line="360" w:lineRule="auto"/>
        <w:rPr>
          <w:rFonts w:ascii="宋体" w:hAnsi="宋体"/>
          <w:b/>
          <w:color w:val="000000" w:themeColor="text1"/>
          <w:szCs w:val="21"/>
          <w:highlight w:val="none"/>
        </w:rPr>
      </w:pPr>
      <w:bookmarkStart w:id="122" w:name="_Toc468788724"/>
      <w:r>
        <w:rPr>
          <w:rFonts w:hint="eastAsia" w:ascii="宋体" w:hAnsi="宋体"/>
          <w:bCs/>
          <w:color w:val="000000" w:themeColor="text1"/>
          <w:szCs w:val="21"/>
          <w:highlight w:val="none"/>
        </w:rPr>
        <w:t>采购人每月对中标供应商工作考核一次，若考核3次不达标的中标供应商，采购人有权终止中标供应商的合同。</w:t>
      </w:r>
      <w:r>
        <w:rPr>
          <w:rFonts w:hint="eastAsia" w:ascii="宋体" w:hAnsi="宋体"/>
          <w:b/>
          <w:color w:val="000000" w:themeColor="text1"/>
          <w:szCs w:val="21"/>
          <w:highlight w:val="none"/>
        </w:rPr>
        <w:t xml:space="preserve"> </w:t>
      </w:r>
    </w:p>
    <w:p>
      <w:pPr>
        <w:pStyle w:val="193"/>
        <w:numPr>
          <w:ilvl w:val="0"/>
          <w:numId w:val="24"/>
        </w:numPr>
        <w:spacing w:line="360" w:lineRule="auto"/>
        <w:ind w:firstLine="0" w:firstLineChars="0"/>
        <w:rPr>
          <w:rFonts w:ascii="宋体" w:hAnsi="宋体"/>
          <w:b/>
          <w:color w:val="000000" w:themeColor="text1"/>
          <w:szCs w:val="21"/>
          <w:highlight w:val="none"/>
        </w:rPr>
      </w:pPr>
      <w:r>
        <w:rPr>
          <w:rFonts w:hint="eastAsia" w:ascii="宋体" w:hAnsi="宋体"/>
          <w:b/>
          <w:color w:val="000000" w:themeColor="text1"/>
          <w:szCs w:val="21"/>
          <w:highlight w:val="none"/>
        </w:rPr>
        <w:t>总体要求</w:t>
      </w:r>
      <w:bookmarkEnd w:id="122"/>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1、</w:t>
      </w:r>
      <w:bookmarkStart w:id="123" w:name="_Toc468788725"/>
      <w:r>
        <w:rPr>
          <w:rFonts w:hint="eastAsia" w:ascii="宋体" w:hAnsi="宋体"/>
          <w:color w:val="000000" w:themeColor="text1"/>
          <w:highlight w:val="none"/>
        </w:rPr>
        <w:t>★所有食材要求为非转基因食品。</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2、食材有使用有效期的，其剩余有效期不得少于标注有效期的80%。</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3、所供的物品必须符合“中华人民共和国食品卫生法”要求。</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4、供应商需承诺所供的物品必须符合国家有关标准，保证无异味、无霉烂变质，如不符合投标文件所描述的质量标准，必须退货并承担违约责任。</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5、所供商品必须符合国家行业生产及经营标准，货真价实，均能提供相应批次的合格检验证明。</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6、供应的货物必须各项技术指标完全符合国家有关质量检测、环保标准及产品出厂标准。</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7、供应商必须负责中标货物的运输、质量检测等工作，所产生的费用由中标供应商负责。</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8、物品具体需求量以实际供应前一天通知的为准。</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9、供应商不得将中标项目转包、分包，否则采购人有权单方终止合同,由此产生的一切经济损失由中标供应商自行承担。</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10、由于采购人工作的特殊性，供应商应做好本单位工作人员的教育工作，遵守采购人各项规定。</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11、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12、供应商不得变更供应商品，应严格按招标要求（含商标、名称、产地、规格和重量等）供应，否则，采购人有权拒收。如因市场流通问题确实需要变更的，应书面向采购人申请，按采购人书面回复的意见执行。</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13、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pPr>
        <w:pStyle w:val="193"/>
        <w:spacing w:line="360" w:lineRule="auto"/>
        <w:rPr>
          <w:rFonts w:ascii="宋体" w:hAnsi="宋体"/>
          <w:b/>
          <w:bCs/>
          <w:color w:val="000000" w:themeColor="text1"/>
          <w:highlight w:val="none"/>
        </w:rPr>
      </w:pPr>
      <w:r>
        <w:rPr>
          <w:rFonts w:hint="eastAsia" w:ascii="宋体" w:hAnsi="宋体"/>
          <w:color w:val="000000" w:themeColor="text1"/>
          <w:highlight w:val="none"/>
        </w:rPr>
        <w:t>14、为保证服务质量，投标人应就近具有自有（或租赁）冷库</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15、为保证服务质量，投标人应就近具有固定的配送加工场地</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16、为保证服务质量，投标人应具有自有（或租赁）冷链车</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17、投标人应购买食品安全责任险。</w:t>
      </w:r>
    </w:p>
    <w:p>
      <w:pPr>
        <w:pStyle w:val="193"/>
        <w:spacing w:line="360" w:lineRule="auto"/>
        <w:rPr>
          <w:rFonts w:ascii="宋体" w:hAnsi="宋体"/>
          <w:color w:val="000000" w:themeColor="text1"/>
          <w:highlight w:val="none"/>
        </w:rPr>
      </w:pPr>
      <w:r>
        <w:rPr>
          <w:rFonts w:hint="eastAsia" w:ascii="宋体" w:hAnsi="宋体"/>
          <w:color w:val="000000" w:themeColor="text1"/>
          <w:highlight w:val="none"/>
        </w:rPr>
        <w:t>18、为保证服务质量，投标人应就近具有自有（或合作）种植和养殖基地</w:t>
      </w:r>
    </w:p>
    <w:p>
      <w:pPr>
        <w:pStyle w:val="193"/>
        <w:spacing w:line="360" w:lineRule="auto"/>
        <w:ind w:firstLine="422"/>
        <w:rPr>
          <w:rFonts w:ascii="宋体" w:hAnsi="宋体"/>
          <w:b/>
          <w:bCs/>
          <w:color w:val="000000" w:themeColor="text1"/>
          <w:highlight w:val="none"/>
        </w:rPr>
      </w:pPr>
      <w:r>
        <w:rPr>
          <w:rFonts w:hint="eastAsia" w:ascii="宋体" w:hAnsi="宋体"/>
          <w:b/>
          <w:bCs/>
          <w:color w:val="000000" w:themeColor="text1"/>
          <w:highlight w:val="none"/>
        </w:rPr>
        <w:t>19、如有国家政策要求采购其他食品物资的，以国家政策为准，中标供应商需无条件执行。</w:t>
      </w:r>
    </w:p>
    <w:p>
      <w:pPr>
        <w:pStyle w:val="193"/>
        <w:spacing w:line="360" w:lineRule="auto"/>
        <w:ind w:firstLine="0" w:firstLineChars="0"/>
        <w:rPr>
          <w:rFonts w:ascii="宋体" w:hAnsi="宋体"/>
          <w:b/>
          <w:color w:val="000000" w:themeColor="text1"/>
          <w:szCs w:val="21"/>
          <w:highlight w:val="none"/>
        </w:rPr>
      </w:pPr>
      <w:r>
        <w:rPr>
          <w:rFonts w:hint="eastAsia" w:ascii="宋体" w:hAnsi="宋体"/>
          <w:b/>
          <w:color w:val="000000" w:themeColor="text1"/>
          <w:szCs w:val="21"/>
          <w:highlight w:val="none"/>
        </w:rPr>
        <w:t>三、</w:t>
      </w:r>
      <w:bookmarkEnd w:id="121"/>
      <w:r>
        <w:rPr>
          <w:rFonts w:hint="eastAsia" w:ascii="宋体" w:hAnsi="宋体"/>
          <w:b/>
          <w:color w:val="000000" w:themeColor="text1"/>
          <w:szCs w:val="21"/>
          <w:highlight w:val="none"/>
        </w:rPr>
        <w:t>具体项目要求</w:t>
      </w:r>
      <w:bookmarkEnd w:id="123"/>
    </w:p>
    <w:p>
      <w:pPr>
        <w:spacing w:line="360" w:lineRule="auto"/>
        <w:ind w:right="-171" w:firstLine="422" w:firstLineChars="200"/>
        <w:rPr>
          <w:rFonts w:ascii="宋体" w:hAnsi="宋体"/>
          <w:b/>
          <w:bCs/>
          <w:color w:val="000000" w:themeColor="text1"/>
          <w:highlight w:val="none"/>
        </w:rPr>
      </w:pPr>
      <w:r>
        <w:rPr>
          <w:rFonts w:hint="eastAsia" w:ascii="宋体" w:hAnsi="宋体"/>
          <w:b/>
          <w:bCs/>
          <w:color w:val="000000" w:themeColor="text1"/>
          <w:highlight w:val="none"/>
        </w:rPr>
        <w:t>（一）肉类、干货及瓜果蔬菜等</w:t>
      </w:r>
    </w:p>
    <w:p>
      <w:pPr>
        <w:snapToGrid w:val="0"/>
        <w:spacing w:line="360" w:lineRule="auto"/>
        <w:ind w:firstLine="422" w:firstLineChars="200"/>
        <w:rPr>
          <w:rFonts w:ascii="宋体" w:hAnsi="宋体"/>
          <w:b/>
          <w:color w:val="000000" w:themeColor="text1"/>
          <w:highlight w:val="none"/>
        </w:rPr>
      </w:pPr>
      <w:r>
        <w:rPr>
          <w:rFonts w:hint="eastAsia" w:ascii="宋体" w:hAnsi="宋体"/>
          <w:b/>
          <w:color w:val="000000" w:themeColor="text1"/>
          <w:highlight w:val="none"/>
        </w:rPr>
        <w:t>1、鲜肉（边猪）、家禽、鱼类基本要求</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c）鸡、鹅、鸭需去毛、去内脏。</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d）鱼类要求鱼眼睛清亮，角膜透明，鳞片上覆有冻结的透明黏液层，皮肤天然色泽明显。</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e）所有货物规格符合采购人提交的日采购计划中明确的具体需求，所有的肉类产品不得有注水现象。</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f）不得供应冷冻禽类、猪肉类食品。</w:t>
      </w:r>
    </w:p>
    <w:p>
      <w:pPr>
        <w:snapToGrid w:val="0"/>
        <w:spacing w:line="360" w:lineRule="auto"/>
        <w:ind w:firstLine="422" w:firstLineChars="200"/>
        <w:rPr>
          <w:rFonts w:ascii="宋体" w:hAnsi="宋体"/>
          <w:b/>
          <w:color w:val="000000" w:themeColor="text1"/>
          <w:highlight w:val="none"/>
        </w:rPr>
      </w:pPr>
      <w:r>
        <w:rPr>
          <w:rFonts w:hint="eastAsia" w:ascii="宋体" w:hAnsi="宋体"/>
          <w:b/>
          <w:color w:val="000000" w:themeColor="text1"/>
          <w:highlight w:val="none"/>
        </w:rPr>
        <w:t>2、干货及腊味：</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干货制品的质量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采购人可根据实际情况对需要的干货制品进行品质抽检，对质量未达到国家标准的干货制品采购人有权拒绝接收。</w:t>
      </w:r>
    </w:p>
    <w:p>
      <w:pPr>
        <w:snapToGrid w:val="0"/>
        <w:spacing w:line="360" w:lineRule="auto"/>
        <w:ind w:firstLine="422" w:firstLineChars="200"/>
        <w:rPr>
          <w:rFonts w:ascii="宋体" w:hAnsi="宋体"/>
          <w:b/>
          <w:color w:val="000000" w:themeColor="text1"/>
          <w:highlight w:val="none"/>
        </w:rPr>
      </w:pPr>
      <w:r>
        <w:rPr>
          <w:rFonts w:hint="eastAsia" w:ascii="宋体" w:hAnsi="宋体"/>
          <w:b/>
          <w:color w:val="000000" w:themeColor="text1"/>
          <w:highlight w:val="none"/>
        </w:rPr>
        <w:t>3、瓜果蔬菜、辅料、佐料</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1）供应产品的质量要求：辅料、佐料类必须为正规厂家的产品，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7"/>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≤4</w:t>
            </w:r>
          </w:p>
        </w:tc>
      </w:tr>
    </w:tbl>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（2）具体感观要求：</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pPr>
        <w:snapToGrid w:val="0"/>
        <w:spacing w:line="360" w:lineRule="auto"/>
        <w:ind w:left="420" w:leftChars="200"/>
        <w:rPr>
          <w:rFonts w:ascii="宋体" w:hAnsi="宋体"/>
          <w:color w:val="000000" w:themeColor="text1"/>
          <w:highlight w:val="none"/>
        </w:rPr>
      </w:pPr>
      <w:r>
        <w:rPr>
          <w:rFonts w:hint="eastAsia" w:ascii="宋体" w:hAnsi="宋体"/>
          <w:b/>
          <w:color w:val="000000" w:themeColor="text1"/>
          <w:highlight w:val="none"/>
        </w:rPr>
        <w:t>叶菜类：</w:t>
      </w:r>
      <w:r>
        <w:rPr>
          <w:rFonts w:hint="eastAsia" w:ascii="宋体" w:hAnsi="宋体"/>
          <w:color w:val="000000" w:themeColor="text1"/>
          <w:highlight w:val="none"/>
        </w:rPr>
        <w:t xml:space="preserve"> </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pacing w:line="360" w:lineRule="auto"/>
        <w:ind w:left="420" w:leftChars="200"/>
        <w:rPr>
          <w:rFonts w:ascii="宋体" w:hAnsi="宋体"/>
          <w:color w:val="000000" w:themeColor="text1"/>
          <w:highlight w:val="none"/>
        </w:rPr>
      </w:pPr>
      <w:r>
        <w:rPr>
          <w:rFonts w:hint="eastAsia" w:ascii="宋体" w:hAnsi="宋体"/>
          <w:b/>
          <w:bCs/>
          <w:color w:val="000000" w:themeColor="text1"/>
          <w:highlight w:val="none"/>
        </w:rPr>
        <w:t>茄果类：</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pPr>
        <w:spacing w:line="360" w:lineRule="auto"/>
        <w:ind w:left="420" w:leftChars="200"/>
        <w:rPr>
          <w:rFonts w:ascii="宋体" w:hAnsi="宋体"/>
          <w:color w:val="000000" w:themeColor="text1"/>
          <w:highlight w:val="none"/>
        </w:rPr>
      </w:pPr>
      <w:r>
        <w:rPr>
          <w:rFonts w:hint="eastAsia" w:ascii="宋体" w:hAnsi="宋体"/>
          <w:b/>
          <w:bCs/>
          <w:color w:val="000000" w:themeColor="text1"/>
          <w:highlight w:val="none"/>
        </w:rPr>
        <w:t>瓜果类：</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pPr>
        <w:spacing w:line="360" w:lineRule="auto"/>
        <w:ind w:left="420" w:leftChars="200"/>
        <w:rPr>
          <w:rFonts w:ascii="宋体" w:hAnsi="宋体"/>
          <w:color w:val="000000" w:themeColor="text1"/>
          <w:highlight w:val="none"/>
        </w:rPr>
      </w:pPr>
      <w:r>
        <w:rPr>
          <w:rFonts w:hint="eastAsia" w:ascii="宋体" w:hAnsi="宋体"/>
          <w:b/>
          <w:bCs/>
          <w:color w:val="000000" w:themeColor="text1"/>
          <w:highlight w:val="none"/>
        </w:rPr>
        <w:t>根菜类：</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pPr>
        <w:spacing w:line="360" w:lineRule="auto"/>
        <w:ind w:left="420" w:leftChars="200"/>
        <w:rPr>
          <w:rFonts w:ascii="宋体" w:hAnsi="宋体"/>
          <w:color w:val="000000" w:themeColor="text1"/>
          <w:highlight w:val="none"/>
        </w:rPr>
      </w:pPr>
      <w:r>
        <w:rPr>
          <w:rFonts w:hint="eastAsia" w:ascii="宋体" w:hAnsi="宋体"/>
          <w:b/>
          <w:bCs/>
          <w:color w:val="000000" w:themeColor="text1"/>
          <w:highlight w:val="none"/>
        </w:rPr>
        <w:t>薯芋类：</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pPr>
        <w:spacing w:line="360" w:lineRule="auto"/>
        <w:ind w:firstLine="422" w:firstLineChars="200"/>
        <w:rPr>
          <w:rFonts w:ascii="宋体" w:hAnsi="宋体"/>
          <w:color w:val="000000" w:themeColor="text1"/>
          <w:highlight w:val="none"/>
        </w:rPr>
      </w:pPr>
      <w:r>
        <w:rPr>
          <w:rFonts w:hint="eastAsia" w:ascii="宋体" w:hAnsi="宋体"/>
          <w:b/>
          <w:bCs/>
          <w:color w:val="000000" w:themeColor="text1"/>
          <w:highlight w:val="none"/>
        </w:rPr>
        <w:t>葱蒜类：</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属同一品种规格，允许葱、青蒜类保留干净须根，葱、蒜、韭菜不带老叶，蒜头、洋葱去根去枯叶，可食部分新鲜幼嫩，无腐烂、畸形、异味。</w:t>
      </w:r>
    </w:p>
    <w:p>
      <w:pPr>
        <w:spacing w:line="360" w:lineRule="auto"/>
        <w:ind w:left="420" w:leftChars="200"/>
        <w:rPr>
          <w:rFonts w:ascii="宋体" w:hAnsi="宋体"/>
          <w:color w:val="000000" w:themeColor="text1"/>
          <w:highlight w:val="none"/>
        </w:rPr>
      </w:pPr>
      <w:r>
        <w:rPr>
          <w:rFonts w:hint="eastAsia" w:ascii="宋体" w:hAnsi="宋体"/>
          <w:b/>
          <w:bCs/>
          <w:color w:val="000000" w:themeColor="text1"/>
          <w:highlight w:val="none"/>
        </w:rPr>
        <w:t>豆类：</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pPr>
        <w:spacing w:line="360" w:lineRule="auto"/>
        <w:ind w:left="420" w:leftChars="200"/>
        <w:rPr>
          <w:rFonts w:ascii="宋体" w:hAnsi="宋体"/>
          <w:color w:val="000000" w:themeColor="text1"/>
          <w:highlight w:val="none"/>
        </w:rPr>
      </w:pPr>
      <w:r>
        <w:rPr>
          <w:rFonts w:hint="eastAsia" w:ascii="宋体" w:hAnsi="宋体"/>
          <w:b/>
          <w:bCs/>
          <w:color w:val="000000" w:themeColor="text1"/>
          <w:highlight w:val="none"/>
        </w:rPr>
        <w:t>水生菜类：</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pPr>
        <w:spacing w:line="360" w:lineRule="auto"/>
        <w:ind w:left="420" w:leftChars="200"/>
        <w:rPr>
          <w:rFonts w:ascii="宋体" w:hAnsi="宋体"/>
          <w:color w:val="000000" w:themeColor="text1"/>
          <w:highlight w:val="none"/>
        </w:rPr>
      </w:pPr>
      <w:r>
        <w:rPr>
          <w:rFonts w:hint="eastAsia" w:ascii="宋体" w:hAnsi="宋体"/>
          <w:b/>
          <w:bCs/>
          <w:color w:val="000000" w:themeColor="text1"/>
          <w:highlight w:val="none"/>
        </w:rPr>
        <w:t>食用菌类：</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属同一品种规格，蘑菇、草菇菌盖圆整略展开，柄粗壮，菌膜紧，菇柄切削平整，不浸泡水（蘑菇允许浸盐水保鲜），新鲜，无杂质，无畸形菇，无腐烂、异味。</w:t>
      </w:r>
    </w:p>
    <w:p>
      <w:pPr>
        <w:spacing w:line="360" w:lineRule="auto"/>
        <w:ind w:left="420" w:leftChars="200"/>
        <w:rPr>
          <w:rFonts w:ascii="宋体" w:hAnsi="宋体"/>
          <w:color w:val="000000" w:themeColor="text1"/>
          <w:highlight w:val="none"/>
        </w:rPr>
      </w:pPr>
      <w:r>
        <w:rPr>
          <w:rFonts w:hint="eastAsia" w:ascii="宋体" w:hAnsi="宋体"/>
          <w:b/>
          <w:bCs/>
          <w:color w:val="000000" w:themeColor="text1"/>
          <w:highlight w:val="none"/>
        </w:rPr>
        <w:t>芽苗类：</w:t>
      </w:r>
      <w:r>
        <w:rPr>
          <w:rFonts w:hint="eastAsia" w:ascii="宋体" w:hAnsi="宋体"/>
          <w:color w:val="000000" w:themeColor="text1"/>
          <w:highlight w:val="none"/>
        </w:rPr>
        <w:t xml:space="preserve"> </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芽苗幼嫩，不带豆壳杂质，新鲜，不浸水，无腐烂、异味。</w:t>
      </w:r>
    </w:p>
    <w:p>
      <w:pPr>
        <w:spacing w:line="360" w:lineRule="auto"/>
        <w:ind w:firstLine="422" w:firstLineChars="200"/>
        <w:rPr>
          <w:rFonts w:ascii="宋体" w:hAnsi="宋体"/>
          <w:b/>
          <w:color w:val="000000" w:themeColor="text1"/>
          <w:highlight w:val="none"/>
        </w:rPr>
      </w:pPr>
      <w:r>
        <w:rPr>
          <w:rFonts w:hint="eastAsia" w:ascii="宋体" w:hAnsi="宋体"/>
          <w:b/>
          <w:color w:val="000000" w:themeColor="text1"/>
          <w:highlight w:val="none"/>
        </w:rPr>
        <w:t>（3）食品供应链要求：所有食品的来源必须清晰。蔬菜来源应当为受到地方政府部门监管的自有基地、商品菜基地或蔬菜专业流通市场。</w:t>
      </w:r>
    </w:p>
    <w:p>
      <w:pPr>
        <w:spacing w:line="360" w:lineRule="auto"/>
        <w:ind w:right="-171" w:firstLine="422" w:firstLineChars="200"/>
        <w:outlineLvl w:val="3"/>
        <w:rPr>
          <w:rFonts w:ascii="宋体" w:hAnsi="宋体"/>
          <w:b/>
          <w:bCs/>
          <w:color w:val="000000" w:themeColor="text1"/>
          <w:highlight w:val="none"/>
        </w:rPr>
      </w:pPr>
      <w:bookmarkStart w:id="124" w:name="_Toc374515870"/>
      <w:bookmarkStart w:id="125" w:name="_Toc373222962"/>
      <w:bookmarkStart w:id="126" w:name="_Toc257799728"/>
      <w:bookmarkStart w:id="127" w:name="_Toc443995191"/>
      <w:bookmarkStart w:id="128" w:name="_Toc258594149"/>
      <w:bookmarkStart w:id="129" w:name="_Toc258595213"/>
      <w:bookmarkStart w:id="130" w:name="_Toc373223051"/>
      <w:r>
        <w:rPr>
          <w:rFonts w:hint="eastAsia" w:ascii="宋体" w:hAnsi="宋体"/>
          <w:b/>
          <w:bCs/>
          <w:color w:val="000000" w:themeColor="text1"/>
          <w:highlight w:val="none"/>
        </w:rPr>
        <w:t>（二）粮油（大米、食用调和油）</w:t>
      </w:r>
    </w:p>
    <w:p>
      <w:pPr>
        <w:snapToGrid w:val="0"/>
        <w:spacing w:line="360" w:lineRule="auto"/>
        <w:ind w:firstLine="422" w:firstLineChars="200"/>
        <w:rPr>
          <w:rFonts w:ascii="宋体" w:hAnsi="宋体"/>
          <w:b/>
          <w:color w:val="000000" w:themeColor="text1"/>
          <w:highlight w:val="none"/>
        </w:rPr>
      </w:pPr>
      <w:r>
        <w:rPr>
          <w:rFonts w:hint="eastAsia" w:ascii="宋体" w:hAnsi="宋体"/>
          <w:b/>
          <w:color w:val="000000" w:themeColor="text1"/>
          <w:highlight w:val="none"/>
        </w:rPr>
        <w:t xml:space="preserve">1、供应产品的质量要求： </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①米、油货物必须符合卫生，不得有腐烂、变质、油脂酸败、霉变、生虫、污秽不结、混有异物或者其他感官性状异常，并可能对人体健康有害的物质。</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snapToGrid w:val="0"/>
        <w:spacing w:line="360" w:lineRule="auto"/>
        <w:ind w:firstLine="422" w:firstLineChars="200"/>
        <w:rPr>
          <w:rFonts w:ascii="宋体" w:hAnsi="宋体"/>
          <w:b/>
          <w:color w:val="000000" w:themeColor="text1"/>
          <w:highlight w:val="none"/>
        </w:rPr>
      </w:pPr>
      <w:r>
        <w:rPr>
          <w:rFonts w:hint="eastAsia" w:ascii="宋体" w:hAnsi="宋体"/>
          <w:b/>
          <w:color w:val="000000" w:themeColor="text1"/>
          <w:highlight w:val="none"/>
        </w:rPr>
        <w:t>2、执行标准：</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①米类执行标准：GB1354-2009  标准一等米 不含添加剂</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②大米的质量标准：除符合标准一等米外，要求：</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碎米总量≤17% （国家标准：≤35%） </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小碎米总量≤2% （国家标准：≤2.5%） </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不完善米≤3.5% （国家标准：≤4.0%） </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黄米粒按国家标准执行 :</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③油类执行标准：SB｜T 10292-1998</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④油类质量要求：</w:t>
      </w:r>
    </w:p>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每个食用油品种必须色泽好，透明度高，无浑浊，无沉淀和悬浮物，粘度小，无分层现象，气味正常，无酸臭异味。严格执行国家相关质量标准及卫生安全标准，色泽、气味、霉变、真菌毒素、重金属污染物、农药等严格控制在国家标准范围内（原粮及成品粮色泽、气味必须正常。  霉变粒不得超过2％。 真菌毒素：黄曲霉毒素B1 （5μg/kg～20μg/kg）、脱氧雪腐镰刀菌烯醇（≤1000μg/kg）、玉米赤霉烯酮（≤60μg/kg）、赭曲霉毒素A（5μg/kg）。重金属污染物：铅（≤0.2mg/kg）、镉(0.1 mg/kg～0.2 mg/kg)、汞（0.02 mg/kg）、无机砷（0.1 mg/kg～0.2 mg/kg）。 农药：对磷化物、马拉硫磷等140余种农药规定了最大残留限量）。并根据用户需求的食用油等级保质保量完成供货。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bookmarkEnd w:id="124"/>
      <w:bookmarkEnd w:id="125"/>
      <w:bookmarkEnd w:id="126"/>
      <w:bookmarkEnd w:id="127"/>
      <w:bookmarkEnd w:id="128"/>
      <w:bookmarkEnd w:id="129"/>
      <w:bookmarkEnd w:id="130"/>
    </w:p>
    <w:p>
      <w:pPr>
        <w:rPr>
          <w:rFonts w:ascii="宋体" w:hAnsi="宋体" w:cs="宋体"/>
          <w:b/>
          <w:bCs/>
          <w:color w:val="000000" w:themeColor="text1"/>
          <w:highlight w:val="none"/>
        </w:rPr>
      </w:pPr>
    </w:p>
    <w:p>
      <w:pPr>
        <w:pStyle w:val="54"/>
        <w:ind w:firstLine="482"/>
        <w:rPr>
          <w:b/>
          <w:bCs/>
          <w:color w:val="000000" w:themeColor="text1"/>
          <w:highlight w:val="none"/>
        </w:rPr>
      </w:pPr>
    </w:p>
    <w:p>
      <w:pPr>
        <w:pStyle w:val="54"/>
        <w:ind w:firstLine="482"/>
        <w:rPr>
          <w:b/>
          <w:bCs/>
          <w:color w:val="000000" w:themeColor="text1"/>
          <w:highlight w:val="none"/>
        </w:rPr>
      </w:pPr>
    </w:p>
    <w:p>
      <w:pPr>
        <w:rPr>
          <w:rFonts w:ascii="宋体" w:hAnsi="宋体" w:cs="宋体"/>
          <w:b/>
          <w:bCs/>
          <w:color w:val="000000" w:themeColor="text1"/>
          <w:highlight w:val="none"/>
        </w:rPr>
      </w:pPr>
      <w:r>
        <w:rPr>
          <w:rFonts w:hint="eastAsia" w:ascii="宋体" w:hAnsi="宋体" w:cs="宋体"/>
          <w:b/>
          <w:bCs/>
          <w:color w:val="000000" w:themeColor="text1"/>
          <w:highlight w:val="none"/>
        </w:rPr>
        <w:br w:type="page"/>
      </w:r>
    </w:p>
    <w:p>
      <w:pPr>
        <w:spacing w:line="360" w:lineRule="auto"/>
        <w:rPr>
          <w:rFonts w:ascii="宋体" w:hAnsi="宋体" w:cs="宋体"/>
          <w:b/>
          <w:bCs/>
          <w:color w:val="000000" w:themeColor="text1"/>
          <w:highlight w:val="none"/>
        </w:rPr>
      </w:pPr>
      <w:r>
        <w:rPr>
          <w:rFonts w:hint="eastAsia" w:ascii="宋体" w:hAnsi="宋体" w:cs="宋体"/>
          <w:b/>
          <w:bCs/>
          <w:color w:val="000000" w:themeColor="text1"/>
          <w:highlight w:val="none"/>
        </w:rPr>
        <w:t>附件</w:t>
      </w:r>
    </w:p>
    <w:p>
      <w:pPr>
        <w:spacing w:line="360" w:lineRule="auto"/>
        <w:jc w:val="center"/>
        <w:rPr>
          <w:rFonts w:ascii="宋体" w:hAnsi="宋体" w:cs="宋体"/>
          <w:b/>
          <w:bCs/>
          <w:color w:val="000000" w:themeColor="text1"/>
          <w:highlight w:val="none"/>
        </w:rPr>
      </w:pPr>
      <w:r>
        <w:rPr>
          <w:rFonts w:hint="eastAsia" w:ascii="宋体" w:hAnsi="宋体" w:cs="宋体"/>
          <w:b/>
          <w:bCs/>
          <w:color w:val="000000" w:themeColor="text1"/>
          <w:highlight w:val="none"/>
        </w:rPr>
        <w:t>配送服务质量考核评价办法</w:t>
      </w:r>
    </w:p>
    <w:p>
      <w:pPr>
        <w:spacing w:line="360" w:lineRule="auto"/>
        <w:rPr>
          <w:rFonts w:ascii="宋体" w:hAnsi="宋体" w:cs="宋体"/>
          <w:b/>
          <w:bCs/>
          <w:color w:val="000000" w:themeColor="text1"/>
          <w:highlight w:val="none"/>
        </w:rPr>
      </w:pP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1、每月综合服务满意度满分为100分，合格标准为90分，满意度低于90分的每下降1%扣除当月结算金额的1%。半年内累计出现低于合格满意度次数超过3次的，采购人有权解除合同。</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2、中标单位需及时对采购人提出的存在问题作出响应并实施整改，次月未作出整改的，采购人将发出警告信1次，连续因同一问题发出警告信息3次，采购人有权终止其供货资格。</w:t>
      </w:r>
    </w:p>
    <w:p>
      <w:pPr>
        <w:spacing w:line="360" w:lineRule="auto"/>
        <w:rPr>
          <w:rFonts w:ascii="宋体" w:hAnsi="宋体" w:cs="宋体"/>
          <w:color w:val="000000" w:themeColor="text1"/>
          <w:highlight w:val="none"/>
        </w:rPr>
      </w:pPr>
      <w:r>
        <w:rPr>
          <w:rFonts w:hint="eastAsia" w:ascii="宋体" w:hAnsi="宋体" w:cs="宋体"/>
          <w:color w:val="000000" w:themeColor="text1"/>
          <w:highlight w:val="none"/>
        </w:rPr>
        <w:t>3、提前终止供货服务的一周前，需以书面形式通知对方。</w:t>
      </w:r>
    </w:p>
    <w:p>
      <w:pPr>
        <w:pStyle w:val="54"/>
        <w:rPr>
          <w:color w:val="000000" w:themeColor="text1"/>
          <w:highlight w:val="none"/>
        </w:rPr>
      </w:pPr>
    </w:p>
    <w:tbl>
      <w:tblPr>
        <w:tblStyle w:val="47"/>
        <w:tblW w:w="9698" w:type="dxa"/>
        <w:tblInd w:w="0" w:type="dxa"/>
        <w:tblLayout w:type="fixed"/>
        <w:tblCellMar>
          <w:top w:w="0" w:type="dxa"/>
          <w:left w:w="0" w:type="dxa"/>
          <w:bottom w:w="0" w:type="dxa"/>
          <w:right w:w="0" w:type="dxa"/>
        </w:tblCellMar>
      </w:tblPr>
      <w:tblGrid>
        <w:gridCol w:w="1471"/>
        <w:gridCol w:w="641"/>
        <w:gridCol w:w="3714"/>
        <w:gridCol w:w="986"/>
        <w:gridCol w:w="2886"/>
      </w:tblGrid>
      <w:tr>
        <w:tblPrEx>
          <w:tblCellMar>
            <w:top w:w="0" w:type="dxa"/>
            <w:left w:w="0" w:type="dxa"/>
            <w:bottom w:w="0" w:type="dxa"/>
            <w:right w:w="0" w:type="dxa"/>
          </w:tblCellMar>
        </w:tblPrEx>
        <w:trPr>
          <w:trHeight w:val="440" w:hRule="atLeast"/>
        </w:trPr>
        <w:tc>
          <w:tcPr>
            <w:tcW w:w="9698"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b/>
                <w:color w:val="000000" w:themeColor="text1"/>
                <w:sz w:val="20"/>
                <w:szCs w:val="20"/>
                <w:highlight w:val="none"/>
              </w:rPr>
            </w:pPr>
            <w:r>
              <w:rPr>
                <w:rFonts w:hint="eastAsia" w:ascii="宋体" w:hAnsi="宋体" w:cs="宋体"/>
                <w:b/>
                <w:color w:val="000000" w:themeColor="text1"/>
                <w:kern w:val="0"/>
                <w:sz w:val="20"/>
                <w:szCs w:val="20"/>
                <w:highlight w:val="none"/>
              </w:rPr>
              <w:t>考核细则</w:t>
            </w:r>
          </w:p>
        </w:tc>
      </w:tr>
      <w:tr>
        <w:tblPrEx>
          <w:tblCellMar>
            <w:top w:w="0" w:type="dxa"/>
            <w:left w:w="0" w:type="dxa"/>
            <w:bottom w:w="0" w:type="dxa"/>
            <w:right w:w="0" w:type="dxa"/>
          </w:tblCellMar>
        </w:tblPrEx>
        <w:trPr>
          <w:trHeight w:val="380" w:hRule="atLeast"/>
        </w:trPr>
        <w:tc>
          <w:tcPr>
            <w:tcW w:w="14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b/>
                <w:color w:val="000000" w:themeColor="text1"/>
                <w:sz w:val="20"/>
                <w:szCs w:val="20"/>
                <w:highlight w:val="none"/>
              </w:rPr>
            </w:pPr>
            <w:r>
              <w:rPr>
                <w:rFonts w:hint="eastAsia" w:ascii="宋体" w:hAnsi="宋体" w:cs="宋体"/>
                <w:b/>
                <w:color w:val="000000" w:themeColor="text1"/>
                <w:kern w:val="0"/>
                <w:sz w:val="20"/>
                <w:szCs w:val="20"/>
                <w:highlight w:val="none"/>
              </w:rPr>
              <w:t>项目</w:t>
            </w: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b/>
                <w:color w:val="000000" w:themeColor="text1"/>
                <w:sz w:val="20"/>
                <w:szCs w:val="20"/>
                <w:highlight w:val="none"/>
              </w:rPr>
            </w:pPr>
            <w:r>
              <w:rPr>
                <w:rFonts w:hint="eastAsia" w:ascii="宋体" w:hAnsi="宋体" w:cs="宋体"/>
                <w:b/>
                <w:color w:val="000000" w:themeColor="text1"/>
                <w:kern w:val="0"/>
                <w:sz w:val="20"/>
                <w:szCs w:val="20"/>
                <w:highlight w:val="none"/>
              </w:rPr>
              <w:t>序号</w:t>
            </w:r>
          </w:p>
        </w:tc>
        <w:tc>
          <w:tcPr>
            <w:tcW w:w="3714"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b/>
                <w:color w:val="000000" w:themeColor="text1"/>
                <w:sz w:val="20"/>
                <w:szCs w:val="20"/>
                <w:highlight w:val="none"/>
              </w:rPr>
            </w:pPr>
            <w:r>
              <w:rPr>
                <w:rFonts w:hint="eastAsia" w:ascii="宋体" w:hAnsi="宋体" w:cs="宋体"/>
                <w:b/>
                <w:color w:val="000000" w:themeColor="text1"/>
                <w:kern w:val="0"/>
                <w:sz w:val="20"/>
                <w:szCs w:val="20"/>
                <w:highlight w:val="none"/>
              </w:rPr>
              <w:t>评分细则</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b/>
                <w:color w:val="000000" w:themeColor="text1"/>
                <w:sz w:val="20"/>
                <w:szCs w:val="20"/>
                <w:highlight w:val="none"/>
              </w:rPr>
            </w:pPr>
            <w:r>
              <w:rPr>
                <w:rFonts w:hint="eastAsia" w:ascii="宋体" w:hAnsi="宋体" w:cs="宋体"/>
                <w:b/>
                <w:color w:val="000000" w:themeColor="text1"/>
                <w:kern w:val="0"/>
                <w:sz w:val="20"/>
                <w:szCs w:val="20"/>
                <w:highlight w:val="none"/>
              </w:rPr>
              <w:t>扣分</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b/>
                <w:color w:val="000000" w:themeColor="text1"/>
                <w:sz w:val="20"/>
                <w:szCs w:val="20"/>
                <w:highlight w:val="none"/>
              </w:rPr>
            </w:pPr>
            <w:r>
              <w:rPr>
                <w:rFonts w:hint="eastAsia" w:ascii="宋体" w:hAnsi="宋体" w:cs="宋体"/>
                <w:b/>
                <w:color w:val="000000" w:themeColor="text1"/>
                <w:kern w:val="0"/>
                <w:sz w:val="20"/>
                <w:szCs w:val="20"/>
                <w:highlight w:val="none"/>
              </w:rPr>
              <w:t>备注</w:t>
            </w:r>
          </w:p>
        </w:tc>
      </w:tr>
      <w:tr>
        <w:tblPrEx>
          <w:tblCellMar>
            <w:top w:w="0" w:type="dxa"/>
            <w:left w:w="0" w:type="dxa"/>
            <w:bottom w:w="0" w:type="dxa"/>
            <w:right w:w="0" w:type="dxa"/>
          </w:tblCellMar>
        </w:tblPrEx>
        <w:trPr>
          <w:trHeight w:val="780" w:hRule="atLeast"/>
        </w:trPr>
        <w:tc>
          <w:tcPr>
            <w:tcW w:w="1471"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配送要求</w:t>
            </w: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1</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配送车辆、实际运输不符合招标文件及合同约定的，每次扣2分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2</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780" w:hRule="atLeast"/>
        </w:trPr>
        <w:tc>
          <w:tcPr>
            <w:tcW w:w="1471"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 w:val="20"/>
                <w:szCs w:val="20"/>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2</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在协议供货期，未在规定时间内（迟到超过半小时）完成配送、供货，每次扣3分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3</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780" w:hRule="atLeast"/>
        </w:trPr>
        <w:tc>
          <w:tcPr>
            <w:tcW w:w="1471"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 w:val="20"/>
                <w:szCs w:val="20"/>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3</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实际配送货物少于订购数量且不能及时补充的，每次扣5分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5</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1040" w:hRule="atLeast"/>
        </w:trPr>
        <w:tc>
          <w:tcPr>
            <w:tcW w:w="1471"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 w:val="20"/>
                <w:szCs w:val="20"/>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4</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实际配送的货物与订购货物种类、质量不符，每次扣5分；未能及时更换的，采购人有权拒收，并每次加扣5分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10</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780" w:hRule="atLeast"/>
        </w:trPr>
        <w:tc>
          <w:tcPr>
            <w:tcW w:w="1471"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 w:val="20"/>
                <w:szCs w:val="20"/>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5</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相应批次的货物未能提供相关合格检验证明的，每次扣8分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8</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1420" w:hRule="atLeast"/>
        </w:trPr>
        <w:tc>
          <w:tcPr>
            <w:tcW w:w="1471"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质量要求</w:t>
            </w: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6</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食品卫生不符合要求造成食物中毒的，每次扣25分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25</w:t>
            </w:r>
          </w:p>
        </w:tc>
        <w:tc>
          <w:tcPr>
            <w:tcW w:w="2886"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中标供应商应承担由此造成的全部法律责任及经济损失赔偿（主要包括但不限于食物中毒人员医疗费、误工费、事故处理费等）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1040" w:hRule="atLeast"/>
        </w:trPr>
        <w:tc>
          <w:tcPr>
            <w:tcW w:w="1471"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 w:val="20"/>
                <w:szCs w:val="20"/>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7</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滥用或过量使用食品添加剂、发现使用劣质原料、抗生素、激素等有害物质，每次扣5分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5</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780" w:hRule="atLeast"/>
        </w:trPr>
        <w:tc>
          <w:tcPr>
            <w:tcW w:w="1471"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 w:val="20"/>
                <w:szCs w:val="20"/>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8</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货物品质与招标文件不符，并未能及时补充的，每次扣5分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5</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1040" w:hRule="atLeast"/>
        </w:trPr>
        <w:tc>
          <w:tcPr>
            <w:tcW w:w="1471" w:type="dxa"/>
            <w:vMerge w:val="restar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安全生产管理要求</w:t>
            </w: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9</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没有建立、健全本单位安全生产责任制，制定安全生产规章制度和操作规程，或违反制度操作的，每次扣2分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2</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520" w:hRule="atLeast"/>
        </w:trPr>
        <w:tc>
          <w:tcPr>
            <w:tcW w:w="14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 w:val="20"/>
                <w:szCs w:val="20"/>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10</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没有相关应急预案的，每次扣5分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5</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520" w:hRule="atLeast"/>
        </w:trPr>
        <w:tc>
          <w:tcPr>
            <w:tcW w:w="14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 w:val="20"/>
                <w:szCs w:val="20"/>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11</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造成重大事故或有重大事故不配合处理的，每宗扣10分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10</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520" w:hRule="atLeast"/>
        </w:trPr>
        <w:tc>
          <w:tcPr>
            <w:tcW w:w="14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 w:val="20"/>
                <w:szCs w:val="20"/>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12</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未按要求及时、如实报告生产安全事故，每次扣10分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10</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520" w:hRule="atLeast"/>
        </w:trPr>
        <w:tc>
          <w:tcPr>
            <w:tcW w:w="1471" w:type="dxa"/>
            <w:vMerge w:val="continue"/>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jc w:val="center"/>
              <w:rPr>
                <w:rFonts w:ascii="宋体" w:hAnsi="宋体" w:cs="宋体"/>
                <w:color w:val="000000" w:themeColor="text1"/>
                <w:sz w:val="20"/>
                <w:szCs w:val="20"/>
                <w:highlight w:val="none"/>
              </w:rPr>
            </w:pP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13</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提供资料弄虚作假的，每次扣5分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5</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r>
        <w:tblPrEx>
          <w:tblCellMar>
            <w:top w:w="0" w:type="dxa"/>
            <w:left w:w="0" w:type="dxa"/>
            <w:bottom w:w="0" w:type="dxa"/>
            <w:right w:w="0" w:type="dxa"/>
          </w:tblCellMar>
        </w:tblPrEx>
        <w:trPr>
          <w:trHeight w:val="1040" w:hRule="atLeast"/>
        </w:trPr>
        <w:tc>
          <w:tcPr>
            <w:tcW w:w="147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其他</w:t>
            </w:r>
          </w:p>
        </w:tc>
        <w:tc>
          <w:tcPr>
            <w:tcW w:w="6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14</w:t>
            </w:r>
          </w:p>
        </w:tc>
        <w:tc>
          <w:tcPr>
            <w:tcW w:w="3714" w:type="dxa"/>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center"/>
          </w:tcPr>
          <w:p>
            <w:pPr>
              <w:widowControl/>
              <w:jc w:val="left"/>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有违反招标文件及合同规定的其他违约事件的，每发现1次，需按违约性质并结合上述违约类型，每次扣5分</w:t>
            </w:r>
          </w:p>
        </w:tc>
        <w:tc>
          <w:tcPr>
            <w:tcW w:w="9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widowControl/>
              <w:jc w:val="center"/>
              <w:textAlignment w:val="center"/>
              <w:rPr>
                <w:rFonts w:ascii="宋体" w:hAnsi="宋体" w:cs="宋体"/>
                <w:color w:val="000000" w:themeColor="text1"/>
                <w:sz w:val="20"/>
                <w:szCs w:val="20"/>
                <w:highlight w:val="none"/>
              </w:rPr>
            </w:pPr>
            <w:r>
              <w:rPr>
                <w:rFonts w:hint="eastAsia" w:ascii="宋体" w:hAnsi="宋体" w:cs="宋体"/>
                <w:color w:val="000000" w:themeColor="text1"/>
                <w:kern w:val="0"/>
                <w:sz w:val="20"/>
                <w:szCs w:val="20"/>
                <w:highlight w:val="none"/>
              </w:rPr>
              <w:t>5</w:t>
            </w:r>
          </w:p>
        </w:tc>
        <w:tc>
          <w:tcPr>
            <w:tcW w:w="288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ascii="宋体" w:hAnsi="宋体" w:cs="宋体"/>
                <w:color w:val="000000" w:themeColor="text1"/>
                <w:sz w:val="20"/>
                <w:szCs w:val="20"/>
                <w:highlight w:val="none"/>
              </w:rPr>
            </w:pPr>
          </w:p>
        </w:tc>
      </w:tr>
    </w:tbl>
    <w:p>
      <w:pPr>
        <w:rPr>
          <w:color w:val="000000" w:themeColor="text1"/>
          <w:highlight w:val="none"/>
        </w:rPr>
      </w:pPr>
    </w:p>
    <w:p>
      <w:pPr>
        <w:rPr>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31" w:name="_Toc12078"/>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31"/>
    </w:p>
    <w:p>
      <w:pPr>
        <w:pStyle w:val="4"/>
        <w:numPr>
          <w:ilvl w:val="0"/>
          <w:numId w:val="0"/>
        </w:numPr>
        <w:rPr>
          <w:color w:val="000000" w:themeColor="text1"/>
          <w:szCs w:val="21"/>
          <w:highlight w:val="none"/>
        </w:rPr>
      </w:pPr>
      <w:bookmarkStart w:id="132" w:name="_Toc456648358"/>
      <w:bookmarkStart w:id="133" w:name="_Toc456272919"/>
      <w:bookmarkStart w:id="134" w:name="_Toc14983"/>
      <w:bookmarkStart w:id="135" w:name="_Toc434832495"/>
      <w:r>
        <w:rPr>
          <w:rFonts w:hint="eastAsia"/>
          <w:color w:val="000000" w:themeColor="text1"/>
          <w:szCs w:val="21"/>
          <w:highlight w:val="none"/>
        </w:rPr>
        <w:t>投标人须知前附表</w:t>
      </w:r>
      <w:bookmarkEnd w:id="132"/>
      <w:bookmarkEnd w:id="133"/>
      <w:bookmarkEnd w:id="134"/>
      <w:bookmarkEnd w:id="135"/>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bCs/>
                <w:color w:val="000000" w:themeColor="text1"/>
                <w:highlight w:val="none"/>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7</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投标资料数量和封装要求</w:t>
            </w:r>
          </w:p>
        </w:tc>
        <w:tc>
          <w:tcPr>
            <w:tcW w:w="1587" w:type="dxa"/>
            <w:vMerge w:val="restart"/>
            <w:tcBorders>
              <w:top w:val="single" w:color="auto" w:sz="4" w:space="0"/>
              <w:left w:val="single" w:color="auto" w:sz="4" w:space="0"/>
              <w:right w:val="single" w:color="auto" w:sz="4" w:space="0"/>
            </w:tcBorders>
            <w:vAlign w:val="center"/>
          </w:tcPr>
          <w:p>
            <w:pPr>
              <w:tabs>
                <w:tab w:val="left" w:pos="528"/>
                <w:tab w:val="left" w:pos="783"/>
              </w:tabs>
              <w:spacing w:line="400" w:lineRule="exact"/>
              <w:rPr>
                <w:color w:val="000000" w:themeColor="text1"/>
                <w:highlight w:val="none"/>
              </w:rPr>
            </w:pPr>
            <w:r>
              <w:rPr>
                <w:rFonts w:hint="eastAsia" w:ascii="宋体" w:hAnsi="宋体"/>
                <w:b/>
                <w:bCs/>
                <w:color w:val="000000" w:themeColor="text1"/>
                <w:szCs w:val="21"/>
                <w:highlight w:val="none"/>
              </w:rPr>
              <w:t>共提供4份投标资料，分别封装：</w:t>
            </w:r>
            <w:r>
              <w:rPr>
                <w:rFonts w:hint="eastAsia" w:ascii="宋体" w:hAnsi="宋体"/>
                <w:b/>
                <w:bCs/>
                <w:color w:val="000000" w:themeColor="text1"/>
                <w:szCs w:val="21"/>
                <w:highlight w:val="none"/>
              </w:rPr>
              <w:br w:type="textWrapping"/>
            </w:r>
          </w:p>
          <w:p>
            <w:pPr>
              <w:tabs>
                <w:tab w:val="left" w:pos="528"/>
                <w:tab w:val="left" w:pos="783"/>
              </w:tabs>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1、资格审查文件。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6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rPr>
            </w:pPr>
            <w:r>
              <w:rPr>
                <w:rFonts w:hint="eastAsia" w:ascii="宋体" w:hAnsi="宋体"/>
                <w:b/>
                <w:bCs/>
                <w:color w:val="000000" w:themeColor="text1"/>
                <w:szCs w:val="21"/>
                <w:highlight w:val="none"/>
              </w:rPr>
              <w:t>2、商务及技术文件。</w:t>
            </w:r>
            <w:r>
              <w:rPr>
                <w:rFonts w:hint="eastAsia"/>
                <w:color w:val="000000" w:themeColor="text1"/>
                <w:highlight w:val="none"/>
              </w:rPr>
              <w:t>（内含</w:t>
            </w:r>
            <w:r>
              <w:rPr>
                <w:rFonts w:hint="eastAsia"/>
                <w:color w:val="000000" w:themeColor="text1"/>
                <w:highlight w:val="none"/>
                <w:u w:val="single"/>
              </w:rPr>
              <w:t xml:space="preserve"> 1 </w:t>
            </w:r>
            <w:r>
              <w:rPr>
                <w:rFonts w:hint="eastAsia"/>
                <w:color w:val="000000" w:themeColor="text1"/>
                <w:highlight w:val="none"/>
              </w:rPr>
              <w:t>正</w:t>
            </w:r>
            <w:r>
              <w:rPr>
                <w:rFonts w:hint="eastAsia"/>
                <w:color w:val="000000" w:themeColor="text1"/>
                <w:highlight w:val="none"/>
                <w:u w:val="single"/>
              </w:rPr>
              <w:t xml:space="preserve"> 6 </w:t>
            </w:r>
            <w:r>
              <w:rPr>
                <w:rFonts w:hint="eastAsia"/>
                <w:color w:val="000000" w:themeColor="text1"/>
                <w:highlight w:val="none"/>
              </w:rPr>
              <w:t>副，</w:t>
            </w:r>
            <w:r>
              <w:rPr>
                <w:rFonts w:hint="eastAsia" w:ascii="宋体" w:hAnsi="宋体"/>
                <w:bCs/>
                <w:color w:val="000000" w:themeColor="text1"/>
                <w:szCs w:val="21"/>
                <w:highlight w:val="none"/>
              </w:rPr>
              <w:t>独立装订成册</w:t>
            </w:r>
            <w:r>
              <w:rPr>
                <w:rFonts w:hint="eastAsia"/>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numPr>
                <w:ilvl w:val="0"/>
                <w:numId w:val="25"/>
              </w:num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开标信封。</w:t>
            </w:r>
            <w:r>
              <w:rPr>
                <w:rFonts w:hint="eastAsia"/>
                <w:color w:val="000000" w:themeColor="text1"/>
                <w:highlight w:val="none"/>
              </w:rPr>
              <w:t>（内含“开标一览表”、“投标保证金”、“保证金退付书”、“法定代表人（负责人）证明书”和“法定代表人（负责人）授权书”。）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tabs>
                <w:tab w:val="left" w:pos="528"/>
                <w:tab w:val="left" w:pos="783"/>
              </w:tabs>
              <w:spacing w:line="400" w:lineRule="exact"/>
              <w:jc w:val="left"/>
              <w:rPr>
                <w:b/>
                <w:bCs/>
                <w:color w:val="000000" w:themeColor="text1"/>
                <w:szCs w:val="21"/>
                <w:highlight w:val="none"/>
              </w:rPr>
            </w:pPr>
            <w:r>
              <w:rPr>
                <w:rFonts w:hint="eastAsia"/>
                <w:b/>
                <w:bCs/>
                <w:color w:val="000000" w:themeColor="text1"/>
                <w:szCs w:val="21"/>
                <w:highlight w:val="none"/>
              </w:rPr>
              <w:t>4、</w:t>
            </w:r>
            <w:r>
              <w:rPr>
                <w:rFonts w:hint="eastAsia"/>
                <w:b/>
                <w:bCs/>
                <w:color w:val="000000" w:themeColor="text1"/>
                <w:highlight w:val="none"/>
              </w:rPr>
              <w:t>投标文件电子版。</w:t>
            </w:r>
            <w:r>
              <w:rPr>
                <w:rFonts w:hint="eastAsia"/>
                <w:color w:val="000000" w:themeColor="text1"/>
                <w:highlight w:val="none"/>
              </w:rPr>
              <w:t>（以光盘或U盘提供，内含PDF及可编辑的投标文件电子版1份，</w:t>
            </w:r>
            <w:r>
              <w:rPr>
                <w:rFonts w:hint="eastAsia"/>
                <w:color w:val="000000" w:themeColor="text1"/>
                <w:szCs w:val="21"/>
                <w:highlight w:val="none"/>
              </w:rPr>
              <w:t>在封面上注明“公司名称-</w:t>
            </w:r>
            <w:r>
              <w:rPr>
                <w:rFonts w:hint="eastAsia"/>
                <w:color w:val="000000" w:themeColor="text1"/>
                <w:highlight w:val="none"/>
              </w:rPr>
              <w:t>投标文件电子版</w:t>
            </w:r>
            <w:r>
              <w:rPr>
                <w:rFonts w:hint="eastAsia"/>
                <w:color w:val="000000" w:themeColor="text1"/>
                <w:szCs w:val="21"/>
                <w:highlight w:val="none"/>
              </w:rPr>
              <w:t>”</w:t>
            </w:r>
            <w:r>
              <w:rPr>
                <w:rFonts w:hint="eastAsia"/>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spacing w:line="400" w:lineRule="exact"/>
              <w:jc w:val="center"/>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rPr>
            </w:pPr>
            <w:r>
              <w:rPr>
                <w:rFonts w:hint="eastAsia" w:ascii="宋体" w:hAnsi="宋体"/>
                <w:b/>
                <w:color w:val="000000" w:themeColor="text1"/>
                <w:szCs w:val="21"/>
                <w:highlight w:val="none"/>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rPr>
            </w:pPr>
            <w:r>
              <w:rPr>
                <w:rFonts w:hint="eastAsia" w:ascii="宋体"/>
                <w:bCs/>
                <w:color w:val="000000" w:themeColor="text1"/>
                <w:highlight w:val="none"/>
              </w:rPr>
              <w:t>每一密封封装上均注明“于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eastAsia="宋体"/>
                <w:bCs/>
                <w:color w:val="000000" w:themeColor="text1"/>
                <w:highlight w:val="none"/>
                <w:lang w:val="en-US" w:eastAsia="zh-CN"/>
              </w:rPr>
            </w:pPr>
            <w:r>
              <w:rPr>
                <w:rFonts w:hint="eastAsia" w:ascii="宋体"/>
                <w:bCs/>
                <w:color w:val="000000" w:themeColor="text1"/>
                <w:highlight w:val="none"/>
              </w:rPr>
              <w:t>投标人</w:t>
            </w:r>
            <w:r>
              <w:rPr>
                <w:rFonts w:hint="eastAsia" w:ascii="宋体"/>
                <w:bCs/>
                <w:color w:val="000000" w:themeColor="text1"/>
                <w:highlight w:val="none"/>
                <w:lang w:val="en-US" w:eastAsia="zh-CN"/>
              </w:rPr>
              <w:t>如</w:t>
            </w:r>
            <w:r>
              <w:rPr>
                <w:rFonts w:hint="eastAsia" w:ascii="宋体"/>
                <w:bCs/>
                <w:color w:val="000000" w:themeColor="text1"/>
                <w:highlight w:val="none"/>
              </w:rPr>
              <w:t>同时对两个包组进行投标</w:t>
            </w:r>
            <w:r>
              <w:rPr>
                <w:rFonts w:hint="eastAsia" w:ascii="宋体"/>
                <w:bCs/>
                <w:color w:val="000000" w:themeColor="text1"/>
                <w:highlight w:val="none"/>
                <w:lang w:val="en-US" w:eastAsia="zh-CN"/>
              </w:rPr>
              <w:t>,可一个包组分别制作一份投标文件，也可两个包组制作一份投标文件，须在投标文件注明投标的包组号。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numPr>
                <w:ilvl w:val="1"/>
                <w:numId w:val="20"/>
              </w:numPr>
              <w:tabs>
                <w:tab w:val="left" w:pos="26"/>
                <w:tab w:val="clear" w:pos="783"/>
              </w:tabs>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numPr>
                <w:ilvl w:val="1"/>
                <w:numId w:val="20"/>
              </w:numPr>
              <w:tabs>
                <w:tab w:val="left" w:pos="26"/>
                <w:tab w:val="clear" w:pos="783"/>
              </w:tabs>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广东省政府采购网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rPr>
          <w:color w:val="000000" w:themeColor="text1"/>
          <w:highlight w:val="none"/>
        </w:rPr>
      </w:pPr>
    </w:p>
    <w:p>
      <w:pPr>
        <w:pStyle w:val="4"/>
        <w:numPr>
          <w:ilvl w:val="0"/>
          <w:numId w:val="0"/>
        </w:numPr>
        <w:rPr>
          <w:color w:val="000000" w:themeColor="text1"/>
          <w:sz w:val="24"/>
          <w:highlight w:val="none"/>
        </w:rPr>
      </w:pPr>
      <w:bookmarkStart w:id="136" w:name="_Hlt21938668"/>
      <w:bookmarkEnd w:id="136"/>
      <w:bookmarkStart w:id="137" w:name="_Hlt21938665"/>
      <w:bookmarkEnd w:id="137"/>
      <w:bookmarkStart w:id="138" w:name="_Toc339019857"/>
      <w:bookmarkStart w:id="139" w:name="_Toc340677038"/>
      <w:bookmarkStart w:id="140" w:name="_Toc349143557"/>
      <w:bookmarkStart w:id="141" w:name="_Toc339020063"/>
      <w:bookmarkStart w:id="142" w:name="_Toc350756418"/>
      <w:bookmarkStart w:id="143" w:name="_Toc332270314"/>
      <w:bookmarkStart w:id="144" w:name="_Toc340507410"/>
      <w:bookmarkStart w:id="145" w:name="_Toc331684006"/>
      <w:bookmarkStart w:id="146" w:name="_Toc365985147"/>
      <w:bookmarkStart w:id="147" w:name="_Toc497224194"/>
      <w:bookmarkStart w:id="148" w:name="_Toc339362268"/>
      <w:bookmarkStart w:id="149" w:name="_Toc332206676"/>
      <w:bookmarkStart w:id="150" w:name="_Toc333237756"/>
      <w:bookmarkStart w:id="151" w:name="_Toc365967041"/>
      <w:bookmarkStart w:id="152" w:name="_Toc339020201"/>
      <w:bookmarkStart w:id="153" w:name="_Toc340672837"/>
      <w:bookmarkStart w:id="154" w:name="_Toc342060342"/>
      <w:bookmarkStart w:id="155" w:name="_Toc331512866"/>
      <w:bookmarkStart w:id="156" w:name="_Toc333935314"/>
      <w:bookmarkStart w:id="157" w:name="_Toc330459953"/>
      <w:bookmarkStart w:id="158" w:name="_Toc336681548"/>
      <w:bookmarkStart w:id="159" w:name="_Toc333238601"/>
      <w:bookmarkStart w:id="160" w:name="_Toc333935655"/>
      <w:bookmarkStart w:id="161" w:name="_Toc339441055"/>
      <w:bookmarkStart w:id="162" w:name="_Toc25627"/>
      <w:bookmarkStart w:id="163" w:name="_Toc345513835"/>
      <w:bookmarkStart w:id="164" w:name="_Toc336681903"/>
      <w:bookmarkStart w:id="165" w:name="_Toc339019983"/>
      <w:bookmarkStart w:id="166" w:name="_Toc341348306"/>
      <w:bookmarkStart w:id="167" w:name="_Toc503785396"/>
      <w:bookmarkStart w:id="168" w:name="_Toc350438717"/>
      <w:bookmarkStart w:id="169" w:name="_Toc366072496"/>
      <w:bookmarkStart w:id="170" w:name="_Toc342296728"/>
      <w:bookmarkStart w:id="171" w:name="_Toc349127594"/>
      <w:bookmarkStart w:id="172" w:name="_Toc337632326"/>
      <w:bookmarkStart w:id="173" w:name="_Toc333237645"/>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pStyle w:val="2"/>
        <w:numPr>
          <w:ilvl w:val="4"/>
          <w:numId w:val="26"/>
        </w:numPr>
        <w:tabs>
          <w:tab w:val="left" w:pos="720"/>
        </w:tabs>
        <w:spacing w:before="240" w:after="120"/>
        <w:ind w:left="2432" w:hanging="2432"/>
        <w:rPr>
          <w:color w:val="000000" w:themeColor="text1"/>
          <w:highlight w:val="none"/>
        </w:rPr>
      </w:pPr>
      <w:bookmarkStart w:id="174" w:name="_Toc497224195"/>
      <w:bookmarkStart w:id="175" w:name="_Toc503785397"/>
      <w:bookmarkStart w:id="176" w:name="_Toc350438718"/>
      <w:bookmarkStart w:id="177" w:name="_Toc336681904"/>
      <w:bookmarkStart w:id="178" w:name="_Toc331684007"/>
      <w:bookmarkStart w:id="179" w:name="_Toc340672838"/>
      <w:bookmarkStart w:id="180" w:name="_Toc342060343"/>
      <w:bookmarkStart w:id="181" w:name="_Toc365985148"/>
      <w:bookmarkStart w:id="182" w:name="_Toc339020064"/>
      <w:bookmarkStart w:id="183" w:name="_Toc350756419"/>
      <w:bookmarkStart w:id="184" w:name="_Toc340507411"/>
      <w:bookmarkStart w:id="185" w:name="_Toc330459954"/>
      <w:bookmarkStart w:id="186" w:name="_Toc339020202"/>
      <w:bookmarkStart w:id="187" w:name="_Toc333935315"/>
      <w:bookmarkStart w:id="188" w:name="_Toc341348307"/>
      <w:bookmarkStart w:id="189" w:name="_Toc339441056"/>
      <w:bookmarkStart w:id="190" w:name="_Toc349143558"/>
      <w:bookmarkStart w:id="191" w:name="_Toc366072497"/>
      <w:bookmarkStart w:id="192" w:name="_Toc339019858"/>
      <w:bookmarkStart w:id="193" w:name="_Toc342296729"/>
      <w:bookmarkStart w:id="194" w:name="_Toc339362269"/>
      <w:bookmarkStart w:id="195" w:name="_Toc345513836"/>
      <w:bookmarkStart w:id="196" w:name="_Toc332206677"/>
      <w:bookmarkStart w:id="197" w:name="_Toc339019984"/>
      <w:bookmarkStart w:id="198" w:name="_Toc333238602"/>
      <w:bookmarkStart w:id="199" w:name="_Toc336681549"/>
      <w:bookmarkStart w:id="200" w:name="_Toc365967042"/>
      <w:bookmarkStart w:id="201" w:name="_Toc333237646"/>
      <w:bookmarkStart w:id="202" w:name="_Toc333237757"/>
      <w:bookmarkStart w:id="203" w:name="_Toc332270315"/>
      <w:bookmarkStart w:id="204" w:name="_Toc340677039"/>
      <w:bookmarkStart w:id="205" w:name="_Toc15157"/>
      <w:bookmarkStart w:id="206" w:name="_Toc349127595"/>
      <w:bookmarkStart w:id="207" w:name="_Toc337632327"/>
      <w:bookmarkStart w:id="208" w:name="_Toc333935656"/>
      <w:bookmarkStart w:id="209" w:name="_Toc331512867"/>
      <w:r>
        <w:rPr>
          <w:rFonts w:hint="eastAsia"/>
          <w:color w:val="000000" w:themeColor="text1"/>
          <w:highlight w:val="none"/>
        </w:rPr>
        <w:t>适用范围</w:t>
      </w:r>
      <w:bookmarkEnd w:id="174"/>
      <w:bookmarkEnd w:id="175"/>
      <w:r>
        <w:rPr>
          <w:rFonts w:hint="eastAsia"/>
          <w:color w:val="000000" w:themeColor="text1"/>
          <w:highlight w:val="none"/>
        </w:rPr>
        <w:t>和资金来源</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210" w:name="_Toc503785398"/>
      <w:bookmarkStart w:id="211" w:name="_Toc340677040"/>
      <w:bookmarkStart w:id="212" w:name="_Toc339020065"/>
      <w:bookmarkStart w:id="213" w:name="_Toc374454571"/>
      <w:bookmarkStart w:id="214" w:name="_Toc332206678"/>
      <w:bookmarkStart w:id="215" w:name="_Toc497224196"/>
      <w:bookmarkStart w:id="216" w:name="_Toc350438719"/>
      <w:bookmarkStart w:id="217" w:name="_Toc330459955"/>
      <w:bookmarkStart w:id="218" w:name="_Toc339019859"/>
      <w:bookmarkStart w:id="219" w:name="_Toc366072498"/>
      <w:bookmarkStart w:id="220" w:name="_Toc349127596"/>
      <w:bookmarkStart w:id="221" w:name="_Toc333935657"/>
      <w:bookmarkStart w:id="222" w:name="_Toc337632328"/>
      <w:bookmarkStart w:id="223" w:name="_Toc339441057"/>
      <w:bookmarkStart w:id="224" w:name="_Toc333238603"/>
      <w:bookmarkStart w:id="225" w:name="_Toc349143559"/>
      <w:bookmarkStart w:id="226" w:name="_Toc350756420"/>
      <w:bookmarkStart w:id="227" w:name="_Toc336681550"/>
      <w:bookmarkStart w:id="228" w:name="_Toc339362270"/>
      <w:bookmarkStart w:id="229" w:name="_Toc365967043"/>
      <w:bookmarkStart w:id="230" w:name="_Toc331684008"/>
      <w:bookmarkStart w:id="231" w:name="_Toc333935316"/>
      <w:bookmarkStart w:id="232" w:name="_Toc333237758"/>
      <w:bookmarkStart w:id="233" w:name="_Toc340507412"/>
      <w:bookmarkStart w:id="234" w:name="_Toc342296730"/>
      <w:bookmarkStart w:id="235" w:name="_Toc365985149"/>
      <w:bookmarkStart w:id="236" w:name="_Toc333237647"/>
      <w:bookmarkStart w:id="237" w:name="_Toc342060344"/>
      <w:bookmarkStart w:id="238" w:name="_Toc345513837"/>
      <w:bookmarkStart w:id="239" w:name="_Toc331512868"/>
      <w:bookmarkStart w:id="240" w:name="_Toc339019985"/>
      <w:bookmarkStart w:id="241" w:name="_Toc340672839"/>
      <w:bookmarkStart w:id="242" w:name="_Toc341348308"/>
      <w:bookmarkStart w:id="243" w:name="_Toc332270316"/>
      <w:bookmarkStart w:id="244" w:name="_Toc339020203"/>
      <w:bookmarkStart w:id="245" w:name="_Toc336681905"/>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2"/>
        <w:numPr>
          <w:ilvl w:val="4"/>
          <w:numId w:val="26"/>
        </w:numPr>
        <w:tabs>
          <w:tab w:val="left" w:pos="720"/>
        </w:tabs>
        <w:spacing w:before="240" w:after="120"/>
        <w:ind w:left="2432" w:hanging="2432"/>
        <w:rPr>
          <w:color w:val="000000" w:themeColor="text1"/>
          <w:highlight w:val="none"/>
        </w:rPr>
      </w:pPr>
      <w:bookmarkStart w:id="246" w:name="_Toc22101"/>
      <w:r>
        <w:rPr>
          <w:rFonts w:hint="eastAsia"/>
          <w:color w:val="000000" w:themeColor="text1"/>
          <w:highlight w:val="none"/>
        </w:rPr>
        <w:t>定义</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“采购人”系指阳春市公安局，即项目采购用户方。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2"/>
        <w:numPr>
          <w:ilvl w:val="4"/>
          <w:numId w:val="26"/>
        </w:numPr>
        <w:tabs>
          <w:tab w:val="left" w:pos="720"/>
        </w:tabs>
        <w:spacing w:before="240" w:after="120"/>
        <w:ind w:left="2432" w:hanging="2432"/>
        <w:rPr>
          <w:color w:val="000000" w:themeColor="text1"/>
          <w:highlight w:val="none"/>
        </w:rPr>
      </w:pPr>
      <w:bookmarkStart w:id="247" w:name="_Toc503785399"/>
      <w:bookmarkStart w:id="248" w:name="_Toc497224197"/>
      <w:bookmarkStart w:id="249" w:name="_Toc345513838"/>
      <w:bookmarkStart w:id="250" w:name="_Toc4061"/>
      <w:bookmarkStart w:id="251" w:name="_Toc339020204"/>
      <w:bookmarkStart w:id="252" w:name="_Toc342060345"/>
      <w:bookmarkStart w:id="253" w:name="_Toc336681906"/>
      <w:bookmarkStart w:id="254" w:name="_Toc333935658"/>
      <w:bookmarkStart w:id="255" w:name="_Toc339019860"/>
      <w:bookmarkStart w:id="256" w:name="_Toc349127597"/>
      <w:bookmarkStart w:id="257" w:name="_Toc331512869"/>
      <w:bookmarkStart w:id="258" w:name="_Toc339019986"/>
      <w:bookmarkStart w:id="259" w:name="_Toc342296731"/>
      <w:bookmarkStart w:id="260" w:name="_Toc350756421"/>
      <w:bookmarkStart w:id="261" w:name="_Toc339020066"/>
      <w:bookmarkStart w:id="262" w:name="_Toc340507413"/>
      <w:bookmarkStart w:id="263" w:name="_Toc366072499"/>
      <w:bookmarkStart w:id="264" w:name="_Toc337632329"/>
      <w:bookmarkStart w:id="265" w:name="_Toc331684009"/>
      <w:bookmarkStart w:id="266" w:name="_Toc333238604"/>
      <w:bookmarkStart w:id="267" w:name="_Toc332206679"/>
      <w:bookmarkStart w:id="268" w:name="_Toc350438720"/>
      <w:bookmarkStart w:id="269" w:name="_Toc340672840"/>
      <w:bookmarkStart w:id="270" w:name="_Toc336681551"/>
      <w:bookmarkStart w:id="271" w:name="_Toc333237759"/>
      <w:bookmarkStart w:id="272" w:name="_Toc374454572"/>
      <w:bookmarkStart w:id="273" w:name="_Toc333237648"/>
      <w:bookmarkStart w:id="274" w:name="_Toc339362271"/>
      <w:bookmarkStart w:id="275" w:name="_Toc339441058"/>
      <w:bookmarkStart w:id="276" w:name="_Toc349143560"/>
      <w:bookmarkStart w:id="277" w:name="_Toc365985150"/>
      <w:bookmarkStart w:id="278" w:name="_Toc333935317"/>
      <w:bookmarkStart w:id="279" w:name="_Toc330459956"/>
      <w:bookmarkStart w:id="280" w:name="_Toc341348309"/>
      <w:bookmarkStart w:id="281" w:name="_Toc332270317"/>
      <w:bookmarkStart w:id="282" w:name="_Toc340677041"/>
      <w:bookmarkStart w:id="283" w:name="_Toc365967044"/>
      <w:r>
        <w:rPr>
          <w:rFonts w:hint="eastAsia"/>
          <w:color w:val="000000" w:themeColor="text1"/>
          <w:highlight w:val="none"/>
        </w:rPr>
        <w:t>合格的</w:t>
      </w:r>
      <w:bookmarkEnd w:id="247"/>
      <w:bookmarkEnd w:id="248"/>
      <w:r>
        <w:rPr>
          <w:rFonts w:hint="eastAsia"/>
          <w:color w:val="000000" w:themeColor="text1"/>
          <w:highlight w:val="none"/>
        </w:rPr>
        <w:t>投标人</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2"/>
        <w:numPr>
          <w:ilvl w:val="4"/>
          <w:numId w:val="26"/>
        </w:numPr>
        <w:tabs>
          <w:tab w:val="left" w:pos="720"/>
        </w:tabs>
        <w:spacing w:before="240" w:after="120"/>
        <w:ind w:left="2432" w:hanging="2432"/>
        <w:rPr>
          <w:color w:val="000000" w:themeColor="text1"/>
          <w:highlight w:val="none"/>
        </w:rPr>
      </w:pPr>
      <w:bookmarkStart w:id="284" w:name="_Toc341348310"/>
      <w:bookmarkStart w:id="285" w:name="_Toc15868"/>
      <w:bookmarkStart w:id="286" w:name="_Toc333935318"/>
      <w:bookmarkStart w:id="287" w:name="_Toc366072500"/>
      <w:bookmarkStart w:id="288" w:name="_Toc365985151"/>
      <w:bookmarkStart w:id="289" w:name="_Toc349127598"/>
      <w:bookmarkStart w:id="290" w:name="_Toc333237649"/>
      <w:bookmarkStart w:id="291" w:name="_Toc333238605"/>
      <w:bookmarkStart w:id="292" w:name="_Toc332206680"/>
      <w:bookmarkStart w:id="293" w:name="_Toc374454573"/>
      <w:bookmarkStart w:id="294" w:name="_Toc340677042"/>
      <w:bookmarkStart w:id="295" w:name="_Toc342296732"/>
      <w:bookmarkStart w:id="296" w:name="_Toc339020205"/>
      <w:bookmarkStart w:id="297" w:name="_Toc331512870"/>
      <w:bookmarkStart w:id="298" w:name="_Toc337632330"/>
      <w:bookmarkStart w:id="299" w:name="_Toc350438721"/>
      <w:bookmarkStart w:id="300" w:name="_Toc333935659"/>
      <w:bookmarkStart w:id="301" w:name="_Toc339019987"/>
      <w:bookmarkStart w:id="302" w:name="_Toc342060346"/>
      <w:bookmarkStart w:id="303" w:name="_Toc331684010"/>
      <w:bookmarkStart w:id="304" w:name="_Toc339020067"/>
      <w:bookmarkStart w:id="305" w:name="_Toc339362272"/>
      <w:bookmarkStart w:id="306" w:name="_Toc330459957"/>
      <w:bookmarkStart w:id="307" w:name="_Toc497224198"/>
      <w:bookmarkStart w:id="308" w:name="_Toc332270318"/>
      <w:bookmarkStart w:id="309" w:name="_Toc340672841"/>
      <w:bookmarkStart w:id="310" w:name="_Toc503785400"/>
      <w:bookmarkStart w:id="311" w:name="_Toc340507414"/>
      <w:bookmarkStart w:id="312" w:name="_Toc339019861"/>
      <w:bookmarkStart w:id="313" w:name="_Toc339441059"/>
      <w:bookmarkStart w:id="314" w:name="_Toc336681907"/>
      <w:bookmarkStart w:id="315" w:name="_Toc345513839"/>
      <w:bookmarkStart w:id="316" w:name="_Toc350756422"/>
      <w:bookmarkStart w:id="317" w:name="_Toc349143561"/>
      <w:bookmarkStart w:id="318" w:name="_Toc336681552"/>
      <w:bookmarkStart w:id="319" w:name="_Toc333237760"/>
      <w:bookmarkStart w:id="320" w:name="_Toc365967045"/>
      <w:r>
        <w:rPr>
          <w:rFonts w:hint="eastAsia"/>
          <w:color w:val="000000" w:themeColor="text1"/>
          <w:highlight w:val="none"/>
        </w:rPr>
        <w:t>投标费用</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21" w:name="_Toc336681553"/>
      <w:bookmarkStart w:id="322" w:name="_Toc497224199"/>
      <w:bookmarkStart w:id="323" w:name="_Toc331512871"/>
      <w:bookmarkStart w:id="324" w:name="_Toc333935319"/>
      <w:bookmarkStart w:id="325" w:name="_Toc333237761"/>
      <w:bookmarkStart w:id="326" w:name="_Toc339441060"/>
      <w:bookmarkStart w:id="327" w:name="_Toc340677043"/>
      <w:bookmarkStart w:id="328" w:name="_Toc349143562"/>
      <w:bookmarkStart w:id="329" w:name="_Toc342060347"/>
      <w:bookmarkStart w:id="330" w:name="_Toc340507415"/>
      <w:bookmarkStart w:id="331" w:name="_Toc342296733"/>
      <w:bookmarkStart w:id="332" w:name="_Toc339019988"/>
      <w:bookmarkStart w:id="333" w:name="_Toc350756423"/>
      <w:bookmarkStart w:id="334" w:name="_Toc333935660"/>
      <w:bookmarkStart w:id="335" w:name="_Toc339020206"/>
      <w:bookmarkStart w:id="336" w:name="_Toc341348311"/>
      <w:bookmarkStart w:id="337" w:name="_Toc333237650"/>
      <w:bookmarkStart w:id="338" w:name="_Toc339020068"/>
      <w:bookmarkStart w:id="339" w:name="_Toc503785401"/>
      <w:bookmarkStart w:id="340" w:name="_Toc339019862"/>
      <w:bookmarkStart w:id="341" w:name="_Toc333238606"/>
      <w:bookmarkStart w:id="342" w:name="_Toc336681908"/>
      <w:bookmarkStart w:id="343" w:name="_Toc332270319"/>
      <w:bookmarkStart w:id="344" w:name="_Toc374454574"/>
      <w:bookmarkStart w:id="345" w:name="_Toc339362273"/>
      <w:bookmarkStart w:id="346" w:name="_Toc332206681"/>
      <w:bookmarkStart w:id="347" w:name="_Toc366072501"/>
      <w:bookmarkStart w:id="348" w:name="_Toc350438722"/>
      <w:bookmarkStart w:id="349" w:name="_Toc365967046"/>
      <w:bookmarkStart w:id="350" w:name="_Toc337632331"/>
      <w:bookmarkStart w:id="351" w:name="_Toc365985152"/>
      <w:bookmarkStart w:id="352" w:name="_Toc349127599"/>
      <w:bookmarkStart w:id="353" w:name="_Toc340672842"/>
      <w:bookmarkStart w:id="354" w:name="_Toc330459958"/>
      <w:bookmarkStart w:id="355" w:name="_Toc331684011"/>
      <w:bookmarkStart w:id="356" w:name="_Toc345513840"/>
    </w:p>
    <w:p>
      <w:pPr>
        <w:pStyle w:val="4"/>
        <w:numPr>
          <w:ilvl w:val="0"/>
          <w:numId w:val="0"/>
        </w:numPr>
        <w:rPr>
          <w:color w:val="000000" w:themeColor="text1"/>
          <w:sz w:val="24"/>
          <w:highlight w:val="none"/>
        </w:rPr>
      </w:pPr>
      <w:bookmarkStart w:id="357" w:name="_Toc28967"/>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pStyle w:val="2"/>
        <w:numPr>
          <w:ilvl w:val="4"/>
          <w:numId w:val="26"/>
        </w:numPr>
        <w:tabs>
          <w:tab w:val="left" w:pos="720"/>
        </w:tabs>
        <w:spacing w:before="240" w:after="120"/>
        <w:ind w:left="2432" w:hanging="2432"/>
        <w:rPr>
          <w:color w:val="000000" w:themeColor="text1"/>
          <w:highlight w:val="none"/>
        </w:rPr>
      </w:pPr>
      <w:bookmarkStart w:id="358" w:name="_Toc339020069"/>
      <w:bookmarkStart w:id="359" w:name="_Toc339019989"/>
      <w:bookmarkStart w:id="360" w:name="_Toc342296734"/>
      <w:bookmarkStart w:id="361" w:name="_Toc365985153"/>
      <w:bookmarkStart w:id="362" w:name="_Toc333935661"/>
      <w:bookmarkStart w:id="363" w:name="_Toc340677044"/>
      <w:bookmarkStart w:id="364" w:name="_Toc332270320"/>
      <w:bookmarkStart w:id="365" w:name="_Toc350438723"/>
      <w:bookmarkStart w:id="366" w:name="_Toc340507416"/>
      <w:bookmarkStart w:id="367" w:name="_Toc497224200"/>
      <w:bookmarkStart w:id="368" w:name="_Toc350756424"/>
      <w:bookmarkStart w:id="369" w:name="_Toc339362274"/>
      <w:bookmarkStart w:id="370" w:name="_Toc330459959"/>
      <w:bookmarkStart w:id="371" w:name="_Toc339019863"/>
      <w:bookmarkStart w:id="372" w:name="_Toc340672843"/>
      <w:bookmarkStart w:id="373" w:name="_Toc339020207"/>
      <w:bookmarkStart w:id="374" w:name="_Toc349127600"/>
      <w:bookmarkStart w:id="375" w:name="_Toc365967047"/>
      <w:bookmarkStart w:id="376" w:name="_Toc333237762"/>
      <w:bookmarkStart w:id="377" w:name="_Toc503785402"/>
      <w:bookmarkStart w:id="378" w:name="_Toc341348312"/>
      <w:bookmarkStart w:id="379" w:name="_Toc331684012"/>
      <w:bookmarkStart w:id="380" w:name="_Toc345513841"/>
      <w:bookmarkStart w:id="381" w:name="_Toc331512872"/>
      <w:bookmarkStart w:id="382" w:name="_Toc336681554"/>
      <w:bookmarkStart w:id="383" w:name="_Toc337632332"/>
      <w:bookmarkStart w:id="384" w:name="_Toc336681909"/>
      <w:bookmarkStart w:id="385" w:name="_Toc332206682"/>
      <w:bookmarkStart w:id="386" w:name="_Toc30204"/>
      <w:bookmarkStart w:id="387" w:name="_Toc333935320"/>
      <w:bookmarkStart w:id="388" w:name="_Toc366072502"/>
      <w:bookmarkStart w:id="389" w:name="_Toc339441061"/>
      <w:bookmarkStart w:id="390" w:name="_Toc342060348"/>
      <w:bookmarkStart w:id="391" w:name="_Toc349143563"/>
      <w:bookmarkStart w:id="392" w:name="_Toc333237651"/>
      <w:bookmarkStart w:id="393" w:name="_Toc333238607"/>
      <w:bookmarkStart w:id="394" w:name="_Toc374454575"/>
      <w:r>
        <w:rPr>
          <w:rFonts w:hint="eastAsia"/>
          <w:color w:val="000000" w:themeColor="text1"/>
          <w:highlight w:val="none"/>
        </w:rPr>
        <w:t>招标文件的构成</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采购项目合同（参考范本）</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2"/>
        <w:numPr>
          <w:ilvl w:val="4"/>
          <w:numId w:val="26"/>
        </w:numPr>
        <w:tabs>
          <w:tab w:val="left" w:pos="720"/>
        </w:tabs>
        <w:spacing w:before="240" w:after="120"/>
        <w:ind w:left="2432" w:hanging="2432"/>
        <w:rPr>
          <w:color w:val="000000" w:themeColor="text1"/>
          <w:szCs w:val="21"/>
          <w:highlight w:val="none"/>
        </w:rPr>
      </w:pPr>
      <w:bookmarkStart w:id="395" w:name="_Toc350438724"/>
      <w:bookmarkStart w:id="396" w:name="_Toc336681555"/>
      <w:bookmarkStart w:id="397" w:name="_Toc349127601"/>
      <w:bookmarkStart w:id="398" w:name="_Toc332206683"/>
      <w:bookmarkStart w:id="399" w:name="_Toc333237652"/>
      <w:bookmarkStart w:id="400" w:name="_Toc331684013"/>
      <w:bookmarkStart w:id="401" w:name="_Toc370388389"/>
      <w:bookmarkStart w:id="402" w:name="_Toc333935662"/>
      <w:bookmarkStart w:id="403" w:name="_Toc350756425"/>
      <w:bookmarkStart w:id="404" w:name="_Toc340677045"/>
      <w:bookmarkStart w:id="405" w:name="_Toc365967048"/>
      <w:bookmarkStart w:id="406" w:name="_Toc336681910"/>
      <w:bookmarkStart w:id="407" w:name="_Toc340672844"/>
      <w:bookmarkStart w:id="408" w:name="_Toc349143564"/>
      <w:bookmarkStart w:id="409" w:name="_Toc340507417"/>
      <w:bookmarkStart w:id="410" w:name="_Toc339362275"/>
      <w:bookmarkStart w:id="411" w:name="_Toc339020070"/>
      <w:bookmarkStart w:id="412" w:name="_Toc342060349"/>
      <w:bookmarkStart w:id="413" w:name="_Toc341348313"/>
      <w:bookmarkStart w:id="414" w:name="_Toc333935321"/>
      <w:bookmarkStart w:id="415" w:name="_Toc497224201"/>
      <w:bookmarkStart w:id="416" w:name="_Toc339019990"/>
      <w:bookmarkStart w:id="417" w:name="_Toc330459960"/>
      <w:bookmarkStart w:id="418" w:name="_Toc331512873"/>
      <w:bookmarkStart w:id="419" w:name="_Toc365985154"/>
      <w:bookmarkStart w:id="420" w:name="_Toc345513842"/>
      <w:bookmarkStart w:id="421" w:name="_Toc342296735"/>
      <w:bookmarkStart w:id="422" w:name="_Toc337632333"/>
      <w:bookmarkStart w:id="423" w:name="_Toc503785403"/>
      <w:bookmarkStart w:id="424" w:name="_Toc339020208"/>
      <w:bookmarkStart w:id="425" w:name="_Toc333238608"/>
      <w:bookmarkStart w:id="426" w:name="_Toc332270321"/>
      <w:bookmarkStart w:id="427" w:name="_Toc333237763"/>
      <w:bookmarkStart w:id="428" w:name="_Toc339019864"/>
      <w:bookmarkStart w:id="429" w:name="_Toc339441062"/>
      <w:bookmarkStart w:id="430" w:name="_Toc374454576"/>
      <w:bookmarkStart w:id="431" w:name="_Toc18349"/>
      <w:bookmarkStart w:id="432" w:name="_Toc497224203"/>
      <w:bookmarkStart w:id="433" w:name="_Toc503785405"/>
      <w:bookmarkStart w:id="434" w:name="_Toc366072505"/>
      <w:bookmarkStart w:id="435" w:name="_Toc340672846"/>
      <w:bookmarkStart w:id="436" w:name="_Toc349143566"/>
      <w:bookmarkStart w:id="437" w:name="_Toc339020072"/>
      <w:bookmarkStart w:id="438" w:name="_Toc341348315"/>
      <w:bookmarkStart w:id="439" w:name="_Toc336681557"/>
      <w:bookmarkStart w:id="440" w:name="_Toc331512875"/>
      <w:bookmarkStart w:id="441" w:name="_Toc333237654"/>
      <w:bookmarkStart w:id="442" w:name="_Toc331684015"/>
      <w:bookmarkStart w:id="443" w:name="_Toc342296737"/>
      <w:bookmarkStart w:id="444" w:name="_Toc332270323"/>
      <w:bookmarkStart w:id="445" w:name="_Toc332206685"/>
      <w:bookmarkStart w:id="446" w:name="_Toc339020210"/>
      <w:bookmarkStart w:id="447" w:name="_Toc349127603"/>
      <w:bookmarkStart w:id="448" w:name="_Toc336681912"/>
      <w:bookmarkStart w:id="449" w:name="_Toc365967050"/>
      <w:bookmarkStart w:id="450" w:name="_Toc337632335"/>
      <w:bookmarkStart w:id="451" w:name="_Toc333935323"/>
      <w:bookmarkStart w:id="452" w:name="_Toc333237765"/>
      <w:bookmarkStart w:id="453" w:name="_Toc333238610"/>
      <w:bookmarkStart w:id="454" w:name="_Toc330459962"/>
      <w:bookmarkStart w:id="455" w:name="_Toc350756427"/>
      <w:bookmarkStart w:id="456" w:name="_Toc340677047"/>
      <w:bookmarkStart w:id="457" w:name="_Toc339019992"/>
      <w:bookmarkStart w:id="458" w:name="_Toc339362277"/>
      <w:bookmarkStart w:id="459" w:name="_Toc340507419"/>
      <w:bookmarkStart w:id="460" w:name="_Toc365985156"/>
      <w:bookmarkStart w:id="461" w:name="_Toc339441064"/>
      <w:bookmarkStart w:id="462" w:name="_Toc339019866"/>
      <w:bookmarkStart w:id="463" w:name="_Toc333935664"/>
      <w:bookmarkStart w:id="464" w:name="_Toc345513844"/>
      <w:bookmarkStart w:id="465" w:name="_Toc342060351"/>
      <w:bookmarkStart w:id="466" w:name="_Toc350438726"/>
      <w:r>
        <w:rPr>
          <w:rFonts w:hint="eastAsia"/>
          <w:color w:val="000000" w:themeColor="text1"/>
          <w:szCs w:val="21"/>
          <w:highlight w:val="none"/>
        </w:rPr>
        <w:t>招标文件的澄清</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hint="eastAsia"/>
          <w:color w:val="000000" w:themeColor="text1"/>
          <w:szCs w:val="21"/>
          <w:highlight w:val="none"/>
        </w:rPr>
        <w:t>、修改</w:t>
      </w:r>
      <w:bookmarkEnd w:id="430"/>
      <w:bookmarkEnd w:id="431"/>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Cs w:val="21"/>
          <w:highlight w:val="none"/>
        </w:rPr>
      </w:pPr>
      <w:r>
        <w:rPr>
          <w:rFonts w:hint="eastAsia" w:ascii="宋体" w:hAnsi="宋体"/>
          <w:color w:val="000000" w:themeColor="text1"/>
          <w:szCs w:val="21"/>
          <w:highlight w:val="none"/>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Cs w:val="21"/>
          <w:highlight w:val="none"/>
        </w:rPr>
      </w:pPr>
      <w:r>
        <w:rPr>
          <w:rFonts w:hint="eastAsia" w:ascii="宋体" w:hAnsi="宋体"/>
          <w:color w:val="000000" w:themeColor="text1"/>
          <w:szCs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szCs w:val="21"/>
          <w:highlight w:val="none"/>
        </w:rPr>
      </w:pPr>
      <w:r>
        <w:rPr>
          <w:rFonts w:hint="eastAsia" w:ascii="宋体" w:hAnsi="宋体"/>
          <w:color w:val="000000" w:themeColor="text1"/>
          <w:szCs w:val="21"/>
          <w:highlight w:val="none"/>
        </w:rPr>
        <w:t>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pPr>
        <w:pStyle w:val="4"/>
        <w:numPr>
          <w:ilvl w:val="0"/>
          <w:numId w:val="0"/>
        </w:numPr>
        <w:rPr>
          <w:color w:val="000000" w:themeColor="text1"/>
          <w:sz w:val="24"/>
          <w:highlight w:val="none"/>
        </w:rPr>
      </w:pPr>
      <w:bookmarkStart w:id="467" w:name="_Toc374454577"/>
      <w:r>
        <w:rPr>
          <w:color w:val="000000" w:themeColor="text1"/>
          <w:sz w:val="24"/>
          <w:highlight w:val="none"/>
        </w:rPr>
        <w:br w:type="page"/>
      </w:r>
      <w:bookmarkStart w:id="468" w:name="_Toc16504"/>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32"/>
      <w:bookmarkEnd w:id="433"/>
      <w:r>
        <w:rPr>
          <w:rFonts w:hint="eastAsia"/>
          <w:color w:val="000000" w:themeColor="text1"/>
          <w:sz w:val="24"/>
          <w:highlight w:val="none"/>
        </w:rPr>
        <w:t>制</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pStyle w:val="2"/>
        <w:numPr>
          <w:ilvl w:val="4"/>
          <w:numId w:val="26"/>
        </w:numPr>
        <w:tabs>
          <w:tab w:val="left" w:pos="720"/>
        </w:tabs>
        <w:spacing w:before="240" w:after="120"/>
        <w:ind w:left="2432" w:hanging="2432"/>
        <w:rPr>
          <w:color w:val="000000" w:themeColor="text1"/>
          <w:highlight w:val="none"/>
        </w:rPr>
      </w:pPr>
      <w:bookmarkStart w:id="469" w:name="_Toc342296738"/>
      <w:bookmarkStart w:id="470" w:name="_Toc333935665"/>
      <w:bookmarkStart w:id="471" w:name="_Toc349127604"/>
      <w:bookmarkStart w:id="472" w:name="_Toc333238611"/>
      <w:bookmarkStart w:id="473" w:name="_Toc345513845"/>
      <w:bookmarkStart w:id="474" w:name="_Toc331512876"/>
      <w:bookmarkStart w:id="475" w:name="_Toc333237766"/>
      <w:bookmarkStart w:id="476" w:name="_Toc339020211"/>
      <w:bookmarkStart w:id="477" w:name="_Toc341348316"/>
      <w:bookmarkStart w:id="478" w:name="_Toc336681913"/>
      <w:bookmarkStart w:id="479" w:name="_Toc365985157"/>
      <w:bookmarkStart w:id="480" w:name="_Toc349143567"/>
      <w:bookmarkStart w:id="481" w:name="_Toc339362278"/>
      <w:bookmarkStart w:id="482" w:name="_Toc503785406"/>
      <w:bookmarkStart w:id="483" w:name="_Toc374454578"/>
      <w:bookmarkStart w:id="484" w:name="_Toc342060352"/>
      <w:bookmarkStart w:id="485" w:name="_Toc333935324"/>
      <w:bookmarkStart w:id="486" w:name="_Toc365967051"/>
      <w:bookmarkStart w:id="487" w:name="_Toc332270324"/>
      <w:bookmarkStart w:id="488" w:name="_Toc340677048"/>
      <w:bookmarkStart w:id="489" w:name="_Toc366072506"/>
      <w:bookmarkStart w:id="490" w:name="_Toc339019993"/>
      <w:bookmarkStart w:id="491" w:name="_Toc332206686"/>
      <w:bookmarkStart w:id="492" w:name="_Toc497224204"/>
      <w:bookmarkStart w:id="493" w:name="_Toc336681558"/>
      <w:bookmarkStart w:id="494" w:name="_Toc339020073"/>
      <w:bookmarkStart w:id="495" w:name="_Toc8497"/>
      <w:bookmarkStart w:id="496" w:name="_Toc340507420"/>
      <w:bookmarkStart w:id="497" w:name="_Toc340672847"/>
      <w:bookmarkStart w:id="498" w:name="_Toc331684016"/>
      <w:bookmarkStart w:id="499" w:name="_Toc330459963"/>
      <w:bookmarkStart w:id="500" w:name="_Toc339441065"/>
      <w:bookmarkStart w:id="501" w:name="_Toc339019867"/>
      <w:bookmarkStart w:id="502" w:name="_Toc337632336"/>
      <w:bookmarkStart w:id="503" w:name="_Toc333237655"/>
      <w:bookmarkStart w:id="504" w:name="_Toc350438727"/>
      <w:bookmarkStart w:id="505" w:name="_Toc350756428"/>
      <w:r>
        <w:rPr>
          <w:rFonts w:hint="eastAsia"/>
          <w:color w:val="000000" w:themeColor="text1"/>
          <w:highlight w:val="none"/>
        </w:rPr>
        <w:t>要求</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2"/>
        <w:numPr>
          <w:ilvl w:val="4"/>
          <w:numId w:val="26"/>
        </w:numPr>
        <w:tabs>
          <w:tab w:val="left" w:pos="720"/>
        </w:tabs>
        <w:spacing w:before="240" w:after="120"/>
        <w:ind w:left="2432" w:hanging="2432"/>
        <w:rPr>
          <w:color w:val="000000" w:themeColor="text1"/>
          <w:highlight w:val="none"/>
        </w:rPr>
      </w:pPr>
      <w:bookmarkStart w:id="506" w:name="_Toc349143568"/>
      <w:bookmarkStart w:id="507" w:name="_Toc365985158"/>
      <w:bookmarkStart w:id="508" w:name="_Toc333238612"/>
      <w:bookmarkStart w:id="509" w:name="_Toc341348317"/>
      <w:bookmarkStart w:id="510" w:name="_Toc345513846"/>
      <w:bookmarkStart w:id="511" w:name="_Toc333237767"/>
      <w:bookmarkStart w:id="512" w:name="_Toc331512877"/>
      <w:bookmarkStart w:id="513" w:name="_Toc340507421"/>
      <w:bookmarkStart w:id="514" w:name="_Toc336681914"/>
      <w:bookmarkStart w:id="515" w:name="_Toc337632337"/>
      <w:bookmarkStart w:id="516" w:name="_Toc339019994"/>
      <w:bookmarkStart w:id="517" w:name="_Toc339441066"/>
      <w:bookmarkStart w:id="518" w:name="_Toc342296739"/>
      <w:bookmarkStart w:id="519" w:name="_Toc336681559"/>
      <w:bookmarkStart w:id="520" w:name="_Toc340677049"/>
      <w:bookmarkStart w:id="521" w:name="_Toc333237656"/>
      <w:bookmarkStart w:id="522" w:name="_Toc350756429"/>
      <w:bookmarkStart w:id="523" w:name="_Toc374454579"/>
      <w:bookmarkStart w:id="524" w:name="_Toc333935666"/>
      <w:bookmarkStart w:id="525" w:name="_Toc503785407"/>
      <w:bookmarkStart w:id="526" w:name="_Toc339019868"/>
      <w:bookmarkStart w:id="527" w:name="_Toc332206687"/>
      <w:bookmarkStart w:id="528" w:name="_Toc332270325"/>
      <w:bookmarkStart w:id="529" w:name="_Toc366072507"/>
      <w:bookmarkStart w:id="530" w:name="_Toc339020212"/>
      <w:bookmarkStart w:id="531" w:name="_Toc8109"/>
      <w:bookmarkStart w:id="532" w:name="_Toc342060353"/>
      <w:bookmarkStart w:id="533" w:name="_Toc350438728"/>
      <w:bookmarkStart w:id="534" w:name="_Toc339362279"/>
      <w:bookmarkStart w:id="535" w:name="_Toc340672848"/>
      <w:bookmarkStart w:id="536" w:name="_Toc339020074"/>
      <w:bookmarkStart w:id="537" w:name="_Toc333935325"/>
      <w:bookmarkStart w:id="538" w:name="_Toc349127605"/>
      <w:bookmarkStart w:id="539" w:name="_Toc331684017"/>
      <w:bookmarkStart w:id="540" w:name="_Toc330459964"/>
      <w:bookmarkStart w:id="541" w:name="_Toc365967052"/>
      <w:bookmarkStart w:id="542" w:name="_Toc497224205"/>
      <w:r>
        <w:rPr>
          <w:rFonts w:hint="eastAsia"/>
          <w:color w:val="000000" w:themeColor="text1"/>
          <w:highlight w:val="none"/>
        </w:rPr>
        <w:t>投标语言及计量单位</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2"/>
        <w:numPr>
          <w:ilvl w:val="4"/>
          <w:numId w:val="26"/>
        </w:numPr>
        <w:tabs>
          <w:tab w:val="left" w:pos="720"/>
        </w:tabs>
        <w:spacing w:before="240" w:after="120"/>
        <w:ind w:left="2432" w:hanging="2432"/>
        <w:rPr>
          <w:color w:val="000000" w:themeColor="text1"/>
          <w:highlight w:val="none"/>
        </w:rPr>
      </w:pPr>
      <w:bookmarkStart w:id="543" w:name="_Toc336681560"/>
      <w:bookmarkStart w:id="544" w:name="_Toc31855"/>
      <w:bookmarkStart w:id="545" w:name="_Toc339362280"/>
      <w:bookmarkStart w:id="546" w:name="_Toc503785408"/>
      <w:bookmarkStart w:id="547" w:name="_Toc349127606"/>
      <w:bookmarkStart w:id="548" w:name="_Toc366072508"/>
      <w:bookmarkStart w:id="549" w:name="_Toc350756430"/>
      <w:bookmarkStart w:id="550" w:name="_Toc340507422"/>
      <w:bookmarkStart w:id="551" w:name="_Toc339020213"/>
      <w:bookmarkStart w:id="552" w:name="_Toc345513847"/>
      <w:bookmarkStart w:id="553" w:name="_Toc331684018"/>
      <w:bookmarkStart w:id="554" w:name="_Toc365967053"/>
      <w:bookmarkStart w:id="555" w:name="_Toc342296740"/>
      <w:bookmarkStart w:id="556" w:name="_Toc340677050"/>
      <w:bookmarkStart w:id="557" w:name="_Toc365985159"/>
      <w:bookmarkStart w:id="558" w:name="_Toc339019995"/>
      <w:bookmarkStart w:id="559" w:name="_Toc374454580"/>
      <w:bookmarkStart w:id="560" w:name="_Toc330459965"/>
      <w:bookmarkStart w:id="561" w:name="_Toc333935667"/>
      <w:bookmarkStart w:id="562" w:name="_Toc333237768"/>
      <w:bookmarkStart w:id="563" w:name="_Toc349143569"/>
      <w:bookmarkStart w:id="564" w:name="_Toc332206688"/>
      <w:bookmarkStart w:id="565" w:name="_Toc337632338"/>
      <w:bookmarkStart w:id="566" w:name="_Toc341348318"/>
      <w:bookmarkStart w:id="567" w:name="_Toc332270326"/>
      <w:bookmarkStart w:id="568" w:name="_Toc336681915"/>
      <w:bookmarkStart w:id="569" w:name="_Toc350438729"/>
      <w:bookmarkStart w:id="570" w:name="_Toc339020075"/>
      <w:bookmarkStart w:id="571" w:name="_Toc339441067"/>
      <w:bookmarkStart w:id="572" w:name="_Toc342060354"/>
      <w:bookmarkStart w:id="573" w:name="_Toc331512878"/>
      <w:bookmarkStart w:id="574" w:name="_Toc497224206"/>
      <w:bookmarkStart w:id="575" w:name="_Toc339019869"/>
      <w:bookmarkStart w:id="576" w:name="_Toc333935326"/>
      <w:bookmarkStart w:id="577" w:name="_Toc333237657"/>
      <w:bookmarkStart w:id="578" w:name="_Toc333238613"/>
      <w:bookmarkStart w:id="579" w:name="_Toc340672849"/>
      <w:r>
        <w:rPr>
          <w:rFonts w:hint="eastAsia"/>
          <w:color w:val="000000" w:themeColor="text1"/>
          <w:highlight w:val="none"/>
        </w:rPr>
        <w:t>投标文件的构成</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80" w:name="_Toc497224207"/>
      <w:bookmarkStart w:id="581" w:name="_Toc503785409"/>
      <w:r>
        <w:rPr>
          <w:rFonts w:hint="eastAsia" w:ascii="宋体" w:hAnsi="宋体"/>
          <w:bCs/>
          <w:color w:val="000000" w:themeColor="text1"/>
          <w:highlight w:val="none"/>
        </w:rPr>
        <w:t>第一章 资格审查文件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商务和技术文件</w:t>
      </w:r>
    </w:p>
    <w:p>
      <w:pPr>
        <w:pStyle w:val="2"/>
        <w:numPr>
          <w:ilvl w:val="4"/>
          <w:numId w:val="26"/>
        </w:numPr>
        <w:tabs>
          <w:tab w:val="left" w:pos="720"/>
        </w:tabs>
        <w:spacing w:before="240" w:after="120"/>
        <w:ind w:left="2432" w:hanging="2432"/>
        <w:rPr>
          <w:color w:val="000000" w:themeColor="text1"/>
          <w:highlight w:val="none"/>
        </w:rPr>
      </w:pPr>
      <w:bookmarkStart w:id="582" w:name="_Toc340677051"/>
      <w:bookmarkStart w:id="583" w:name="_Toc349143570"/>
      <w:bookmarkStart w:id="584" w:name="_Toc333237658"/>
      <w:bookmarkStart w:id="585" w:name="_Toc339020214"/>
      <w:bookmarkStart w:id="586" w:name="_Toc331512879"/>
      <w:bookmarkStart w:id="587" w:name="_Toc366072509"/>
      <w:bookmarkStart w:id="588" w:name="_Toc332206689"/>
      <w:bookmarkStart w:id="589" w:name="_Toc342296741"/>
      <w:bookmarkStart w:id="590" w:name="_Toc336681916"/>
      <w:bookmarkStart w:id="591" w:name="_Toc341348319"/>
      <w:bookmarkStart w:id="592" w:name="_Toc331684019"/>
      <w:bookmarkStart w:id="593" w:name="_Toc333935668"/>
      <w:bookmarkStart w:id="594" w:name="_Toc333238614"/>
      <w:bookmarkStart w:id="595" w:name="_Toc333935327"/>
      <w:bookmarkStart w:id="596" w:name="_Toc332270327"/>
      <w:bookmarkStart w:id="597" w:name="_Toc337632339"/>
      <w:bookmarkStart w:id="598" w:name="_Toc330459966"/>
      <w:bookmarkStart w:id="599" w:name="_Toc342060355"/>
      <w:bookmarkStart w:id="600" w:name="_Toc340672850"/>
      <w:bookmarkStart w:id="601" w:name="_Toc350756431"/>
      <w:bookmarkStart w:id="602" w:name="_Toc339362281"/>
      <w:bookmarkStart w:id="603" w:name="_Toc28409"/>
      <w:bookmarkStart w:id="604" w:name="_Toc339020076"/>
      <w:bookmarkStart w:id="605" w:name="_Toc333237769"/>
      <w:bookmarkStart w:id="606" w:name="_Toc339019996"/>
      <w:bookmarkStart w:id="607" w:name="_Toc340507423"/>
      <w:bookmarkStart w:id="608" w:name="_Toc339441068"/>
      <w:bookmarkStart w:id="609" w:name="_Toc365985160"/>
      <w:bookmarkStart w:id="610" w:name="_Toc339019870"/>
      <w:bookmarkStart w:id="611" w:name="_Toc336681561"/>
      <w:bookmarkStart w:id="612" w:name="_Toc349127607"/>
      <w:bookmarkStart w:id="613" w:name="_Toc365967054"/>
      <w:bookmarkStart w:id="614" w:name="_Toc350438730"/>
      <w:bookmarkStart w:id="615" w:name="_Toc345513848"/>
      <w:bookmarkStart w:id="616" w:name="_Toc374454581"/>
      <w:r>
        <w:rPr>
          <w:rFonts w:hint="eastAsia"/>
          <w:color w:val="000000" w:themeColor="text1"/>
          <w:highlight w:val="none"/>
        </w:rPr>
        <w:t>投标文件格式</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2"/>
        <w:numPr>
          <w:ilvl w:val="4"/>
          <w:numId w:val="26"/>
        </w:numPr>
        <w:tabs>
          <w:tab w:val="left" w:pos="720"/>
        </w:tabs>
        <w:spacing w:before="240" w:after="120"/>
        <w:ind w:left="2432" w:hanging="2432"/>
        <w:rPr>
          <w:color w:val="000000" w:themeColor="text1"/>
          <w:highlight w:val="none"/>
        </w:rPr>
      </w:pPr>
      <w:bookmarkStart w:id="617" w:name="_Toc342296742"/>
      <w:bookmarkStart w:id="618" w:name="_Toc330459967"/>
      <w:bookmarkStart w:id="619" w:name="_Toc349143571"/>
      <w:bookmarkStart w:id="620" w:name="_Toc5003680"/>
      <w:bookmarkStart w:id="621" w:name="_Toc333935669"/>
      <w:bookmarkStart w:id="622" w:name="_Toc339019871"/>
      <w:bookmarkStart w:id="623" w:name="_Toc333237770"/>
      <w:bookmarkStart w:id="624" w:name="_Toc340672851"/>
      <w:bookmarkStart w:id="625" w:name="_Toc349127608"/>
      <w:bookmarkStart w:id="626" w:name="_Toc340677052"/>
      <w:bookmarkStart w:id="627" w:name="_Toc332206690"/>
      <w:bookmarkStart w:id="628" w:name="_Toc365967055"/>
      <w:bookmarkStart w:id="629" w:name="_Toc345513849"/>
      <w:bookmarkStart w:id="630" w:name="_Toc339020077"/>
      <w:bookmarkStart w:id="631" w:name="_Toc333237659"/>
      <w:bookmarkStart w:id="632" w:name="_Toc365985161"/>
      <w:bookmarkStart w:id="633" w:name="_Toc341348320"/>
      <w:bookmarkStart w:id="634" w:name="_Toc340507424"/>
      <w:bookmarkStart w:id="635" w:name="_Toc339362282"/>
      <w:bookmarkStart w:id="636" w:name="_Toc374454582"/>
      <w:bookmarkStart w:id="637" w:name="_Toc332270328"/>
      <w:bookmarkStart w:id="638" w:name="_Toc339019997"/>
      <w:bookmarkStart w:id="639" w:name="_Toc350438731"/>
      <w:bookmarkStart w:id="640" w:name="_Toc339441069"/>
      <w:bookmarkStart w:id="641" w:name="_Toc336681917"/>
      <w:bookmarkStart w:id="642" w:name="_Toc337632340"/>
      <w:bookmarkStart w:id="643" w:name="_Toc336681562"/>
      <w:bookmarkStart w:id="644" w:name="_Toc350756432"/>
      <w:bookmarkStart w:id="645" w:name="_Toc331684020"/>
      <w:bookmarkStart w:id="646" w:name="_Toc333238615"/>
      <w:bookmarkStart w:id="647" w:name="_Toc339020215"/>
      <w:bookmarkStart w:id="648" w:name="_Toc333935328"/>
      <w:bookmarkStart w:id="649" w:name="_Toc342060356"/>
      <w:bookmarkStart w:id="650" w:name="_Toc2205"/>
      <w:bookmarkStart w:id="651" w:name="_Toc331512880"/>
      <w:bookmarkStart w:id="652" w:name="_Toc366072510"/>
      <w:r>
        <w:rPr>
          <w:rFonts w:hint="eastAsia"/>
          <w:color w:val="000000" w:themeColor="text1"/>
          <w:highlight w:val="none"/>
        </w:rPr>
        <w:t>资格证明文件</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2"/>
        <w:numPr>
          <w:ilvl w:val="4"/>
          <w:numId w:val="26"/>
        </w:numPr>
        <w:tabs>
          <w:tab w:val="left" w:pos="720"/>
        </w:tabs>
        <w:spacing w:before="240" w:after="120"/>
        <w:ind w:left="2432" w:hanging="2432"/>
        <w:rPr>
          <w:color w:val="000000" w:themeColor="text1"/>
          <w:highlight w:val="none"/>
        </w:rPr>
      </w:pPr>
      <w:bookmarkStart w:id="653" w:name="_Toc342060357"/>
      <w:bookmarkStart w:id="654" w:name="_Toc333237771"/>
      <w:bookmarkStart w:id="655" w:name="_Toc350756433"/>
      <w:bookmarkStart w:id="656" w:name="_Toc5003681"/>
      <w:bookmarkStart w:id="657" w:name="_Toc340677053"/>
      <w:bookmarkStart w:id="658" w:name="_Toc333935670"/>
      <w:bookmarkStart w:id="659" w:name="_Toc349127609"/>
      <w:bookmarkStart w:id="660" w:name="_Toc339019998"/>
      <w:bookmarkStart w:id="661" w:name="_Toc340672852"/>
      <w:bookmarkStart w:id="662" w:name="_Toc339441070"/>
      <w:bookmarkStart w:id="663" w:name="_Toc365985162"/>
      <w:bookmarkStart w:id="664" w:name="_Toc340507425"/>
      <w:bookmarkStart w:id="665" w:name="_Toc339019872"/>
      <w:bookmarkStart w:id="666" w:name="_Toc365967056"/>
      <w:bookmarkStart w:id="667" w:name="_Toc336681918"/>
      <w:bookmarkStart w:id="668" w:name="_Toc345513850"/>
      <w:bookmarkStart w:id="669" w:name="_Toc333238616"/>
      <w:bookmarkStart w:id="670" w:name="_Toc374454583"/>
      <w:bookmarkStart w:id="671" w:name="_Toc332206691"/>
      <w:bookmarkStart w:id="672" w:name="_Toc333935329"/>
      <w:bookmarkStart w:id="673" w:name="_Toc332270329"/>
      <w:bookmarkStart w:id="674" w:name="_Toc333237660"/>
      <w:bookmarkStart w:id="675" w:name="_Toc339020216"/>
      <w:bookmarkStart w:id="676" w:name="_Toc1241"/>
      <w:bookmarkStart w:id="677" w:name="_Toc336681563"/>
      <w:bookmarkStart w:id="678" w:name="_Toc350438732"/>
      <w:bookmarkStart w:id="679" w:name="_Toc341348321"/>
      <w:bookmarkStart w:id="680" w:name="_Toc342296743"/>
      <w:bookmarkStart w:id="681" w:name="_Toc330459968"/>
      <w:bookmarkStart w:id="682" w:name="_Toc331684021"/>
      <w:bookmarkStart w:id="683" w:name="_Toc337632341"/>
      <w:bookmarkStart w:id="684" w:name="_Toc349143572"/>
      <w:bookmarkStart w:id="685" w:name="_Toc331512881"/>
      <w:bookmarkStart w:id="686" w:name="_Toc339362283"/>
      <w:bookmarkStart w:id="687" w:name="_Toc339020078"/>
      <w:bookmarkStart w:id="688" w:name="_Toc366072511"/>
      <w:r>
        <w:rPr>
          <w:rFonts w:hint="eastAsia"/>
          <w:color w:val="000000" w:themeColor="text1"/>
          <w:highlight w:val="none"/>
        </w:rPr>
        <w:t>货物和服务的证明文件</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2"/>
        <w:numPr>
          <w:ilvl w:val="4"/>
          <w:numId w:val="26"/>
        </w:numPr>
        <w:tabs>
          <w:tab w:val="left" w:pos="720"/>
        </w:tabs>
        <w:spacing w:before="240" w:after="120"/>
        <w:ind w:left="2432" w:hanging="2432"/>
        <w:rPr>
          <w:color w:val="000000" w:themeColor="text1"/>
          <w:highlight w:val="none"/>
        </w:rPr>
      </w:pPr>
      <w:bookmarkStart w:id="689" w:name="_Toc333935330"/>
      <w:bookmarkStart w:id="690" w:name="_Toc339019873"/>
      <w:bookmarkStart w:id="691" w:name="_Toc337632342"/>
      <w:bookmarkStart w:id="692" w:name="_Toc341348322"/>
      <w:bookmarkStart w:id="693" w:name="_Toc365985163"/>
      <w:bookmarkStart w:id="694" w:name="_Toc332270330"/>
      <w:bookmarkStart w:id="695" w:name="_Toc339441071"/>
      <w:bookmarkStart w:id="696" w:name="_Toc339020217"/>
      <w:bookmarkStart w:id="697" w:name="_Toc339020079"/>
      <w:bookmarkStart w:id="698" w:name="_Toc333237661"/>
      <w:bookmarkStart w:id="699" w:name="_Toc365967057"/>
      <w:bookmarkStart w:id="700" w:name="_Toc336681919"/>
      <w:bookmarkStart w:id="701" w:name="_Toc340672853"/>
      <w:bookmarkStart w:id="702" w:name="_Toc333935671"/>
      <w:bookmarkStart w:id="703" w:name="_Toc503785411"/>
      <w:bookmarkStart w:id="704" w:name="_Toc345513851"/>
      <w:bookmarkStart w:id="705" w:name="_Toc342060358"/>
      <w:bookmarkStart w:id="706" w:name="_Toc350756434"/>
      <w:bookmarkStart w:id="707" w:name="_Toc336681564"/>
      <w:bookmarkStart w:id="708" w:name="_Toc374454584"/>
      <w:bookmarkStart w:id="709" w:name="_Toc7644"/>
      <w:bookmarkStart w:id="710" w:name="_Toc331512882"/>
      <w:bookmarkStart w:id="711" w:name="_Toc366072512"/>
      <w:bookmarkStart w:id="712" w:name="_Toc339019999"/>
      <w:bookmarkStart w:id="713" w:name="_Toc333237772"/>
      <w:bookmarkStart w:id="714" w:name="_Toc339362284"/>
      <w:bookmarkStart w:id="715" w:name="_Toc330459969"/>
      <w:bookmarkStart w:id="716" w:name="_Toc497224209"/>
      <w:bookmarkStart w:id="717" w:name="_Toc333238617"/>
      <w:bookmarkStart w:id="718" w:name="_Toc342296744"/>
      <w:bookmarkStart w:id="719" w:name="_Toc331684022"/>
      <w:bookmarkStart w:id="720" w:name="_Toc349127610"/>
      <w:bookmarkStart w:id="721" w:name="_Toc340677054"/>
      <w:bookmarkStart w:id="722" w:name="_Toc349143573"/>
      <w:bookmarkStart w:id="723" w:name="_Toc350438733"/>
      <w:bookmarkStart w:id="724" w:name="_Toc340507426"/>
      <w:bookmarkStart w:id="725" w:name="_Toc332206692"/>
      <w:r>
        <w:rPr>
          <w:rFonts w:hint="eastAsia"/>
          <w:color w:val="000000" w:themeColor="text1"/>
          <w:highlight w:val="none"/>
        </w:rPr>
        <w:t>投标报价与投标货币</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2"/>
        <w:numPr>
          <w:ilvl w:val="4"/>
          <w:numId w:val="26"/>
        </w:numPr>
        <w:tabs>
          <w:tab w:val="left" w:pos="720"/>
        </w:tabs>
        <w:spacing w:before="240" w:after="120"/>
        <w:ind w:left="2432" w:hanging="2432"/>
        <w:rPr>
          <w:color w:val="000000" w:themeColor="text1"/>
          <w:highlight w:val="none"/>
        </w:rPr>
      </w:pPr>
      <w:bookmarkStart w:id="726" w:name="_Toc345513852"/>
      <w:bookmarkStart w:id="727" w:name="_Toc503785414"/>
      <w:bookmarkStart w:id="728" w:name="_Toc340507427"/>
      <w:bookmarkStart w:id="729" w:name="_Toc339019874"/>
      <w:bookmarkStart w:id="730" w:name="_Toc336681920"/>
      <w:bookmarkStart w:id="731" w:name="_Toc349143574"/>
      <w:bookmarkStart w:id="732" w:name="_Toc374454585"/>
      <w:bookmarkStart w:id="733" w:name="_Toc339362285"/>
      <w:bookmarkStart w:id="734" w:name="_Toc333935331"/>
      <w:bookmarkStart w:id="735" w:name="_Toc337632343"/>
      <w:bookmarkStart w:id="736" w:name="_Toc339441072"/>
      <w:bookmarkStart w:id="737" w:name="_Toc332206693"/>
      <w:bookmarkStart w:id="738" w:name="_Toc330459970"/>
      <w:bookmarkStart w:id="739" w:name="_Toc339020000"/>
      <w:bookmarkStart w:id="740" w:name="_Toc333935672"/>
      <w:bookmarkStart w:id="741" w:name="_Toc336681565"/>
      <w:bookmarkStart w:id="742" w:name="_Toc497224212"/>
      <w:bookmarkStart w:id="743" w:name="_Toc340677055"/>
      <w:bookmarkStart w:id="744" w:name="_Toc342060359"/>
      <w:bookmarkStart w:id="745" w:name="_Toc342296745"/>
      <w:bookmarkStart w:id="746" w:name="_Toc341348323"/>
      <w:bookmarkStart w:id="747" w:name="_Toc365985164"/>
      <w:bookmarkStart w:id="748" w:name="_Toc350438734"/>
      <w:bookmarkStart w:id="749" w:name="_Toc349127611"/>
      <w:bookmarkStart w:id="750" w:name="_Toc332270331"/>
      <w:bookmarkStart w:id="751" w:name="_Toc366072513"/>
      <w:bookmarkStart w:id="752" w:name="_Toc365967058"/>
      <w:bookmarkStart w:id="753" w:name="_Toc331512883"/>
      <w:bookmarkStart w:id="754" w:name="_Toc333238618"/>
      <w:bookmarkStart w:id="755" w:name="_Toc333237662"/>
      <w:bookmarkStart w:id="756" w:name="_Toc340672854"/>
      <w:bookmarkStart w:id="757" w:name="_Toc331684023"/>
      <w:bookmarkStart w:id="758" w:name="_Toc339020080"/>
      <w:bookmarkStart w:id="759" w:name="_Toc350756435"/>
      <w:bookmarkStart w:id="760" w:name="_Toc333237773"/>
      <w:bookmarkStart w:id="761" w:name="_Toc339020218"/>
      <w:bookmarkStart w:id="762" w:name="_Toc11808"/>
      <w:r>
        <w:rPr>
          <w:rFonts w:hint="eastAsia"/>
          <w:color w:val="000000" w:themeColor="text1"/>
          <w:highlight w:val="none"/>
        </w:rPr>
        <w:t>投标保证金</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2"/>
        <w:numPr>
          <w:ilvl w:val="4"/>
          <w:numId w:val="26"/>
        </w:numPr>
        <w:tabs>
          <w:tab w:val="left" w:pos="720"/>
        </w:tabs>
        <w:spacing w:before="240" w:after="120"/>
        <w:ind w:left="2432" w:hanging="2432"/>
        <w:rPr>
          <w:color w:val="000000" w:themeColor="text1"/>
          <w:highlight w:val="none"/>
        </w:rPr>
      </w:pPr>
      <w:bookmarkStart w:id="763" w:name="_Toc339019875"/>
      <w:bookmarkStart w:id="764" w:name="_Toc342296746"/>
      <w:bookmarkStart w:id="765" w:name="_Toc336681566"/>
      <w:bookmarkStart w:id="766" w:name="_Toc340677056"/>
      <w:bookmarkStart w:id="767" w:name="_Toc339441073"/>
      <w:bookmarkStart w:id="768" w:name="_Toc337632344"/>
      <w:bookmarkStart w:id="769" w:name="_Toc339020001"/>
      <w:bookmarkStart w:id="770" w:name="_Toc332206694"/>
      <w:bookmarkStart w:id="771" w:name="_Toc365985165"/>
      <w:bookmarkStart w:id="772" w:name="_Toc365967059"/>
      <w:bookmarkStart w:id="773" w:name="_Toc342060360"/>
      <w:bookmarkStart w:id="774" w:name="_Toc333238619"/>
      <w:bookmarkStart w:id="775" w:name="_Toc340507428"/>
      <w:bookmarkStart w:id="776" w:name="_Toc339020081"/>
      <w:bookmarkStart w:id="777" w:name="_Toc350438735"/>
      <w:bookmarkStart w:id="778" w:name="_Toc341348324"/>
      <w:bookmarkStart w:id="779" w:name="_Toc331684024"/>
      <w:bookmarkStart w:id="780" w:name="_Toc333935332"/>
      <w:bookmarkStart w:id="781" w:name="_Toc339020219"/>
      <w:bookmarkStart w:id="782" w:name="_Toc7707"/>
      <w:bookmarkStart w:id="783" w:name="_Toc503785415"/>
      <w:bookmarkStart w:id="784" w:name="_Toc349127612"/>
      <w:bookmarkStart w:id="785" w:name="_Toc339362286"/>
      <w:bookmarkStart w:id="786" w:name="_Toc366072514"/>
      <w:bookmarkStart w:id="787" w:name="_Toc332270332"/>
      <w:bookmarkStart w:id="788" w:name="_Toc330459971"/>
      <w:bookmarkStart w:id="789" w:name="_Toc336681921"/>
      <w:bookmarkStart w:id="790" w:name="_Toc340672855"/>
      <w:bookmarkStart w:id="791" w:name="_Toc374454586"/>
      <w:bookmarkStart w:id="792" w:name="_Toc331512884"/>
      <w:bookmarkStart w:id="793" w:name="_Toc333237663"/>
      <w:bookmarkStart w:id="794" w:name="_Toc350756436"/>
      <w:bookmarkStart w:id="795" w:name="_Toc333237774"/>
      <w:bookmarkStart w:id="796" w:name="_Toc345513853"/>
      <w:bookmarkStart w:id="797" w:name="_Toc349143575"/>
      <w:bookmarkStart w:id="798" w:name="_Toc497224213"/>
      <w:bookmarkStart w:id="799" w:name="_Toc333935673"/>
      <w:r>
        <w:rPr>
          <w:rFonts w:hint="eastAsia"/>
          <w:color w:val="000000" w:themeColor="text1"/>
          <w:highlight w:val="none"/>
        </w:rPr>
        <w:t>投标有效期</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2"/>
        <w:numPr>
          <w:ilvl w:val="4"/>
          <w:numId w:val="26"/>
        </w:numPr>
        <w:tabs>
          <w:tab w:val="left" w:pos="720"/>
        </w:tabs>
        <w:spacing w:before="240" w:after="120"/>
        <w:ind w:left="2432" w:hanging="2432"/>
        <w:rPr>
          <w:color w:val="000000" w:themeColor="text1"/>
          <w:highlight w:val="none"/>
        </w:rPr>
      </w:pPr>
      <w:bookmarkStart w:id="800" w:name="_Toc339020002"/>
      <w:bookmarkStart w:id="801" w:name="_Toc342060361"/>
      <w:bookmarkStart w:id="802" w:name="_Toc349127613"/>
      <w:bookmarkStart w:id="803" w:name="_Toc497224214"/>
      <w:bookmarkStart w:id="804" w:name="_Toc332270333"/>
      <w:bookmarkStart w:id="805" w:name="_Toc333935674"/>
      <w:bookmarkStart w:id="806" w:name="_Toc339019876"/>
      <w:bookmarkStart w:id="807" w:name="_Toc345513854"/>
      <w:bookmarkStart w:id="808" w:name="_Toc349143576"/>
      <w:bookmarkStart w:id="809" w:name="_Toc333238620"/>
      <w:bookmarkStart w:id="810" w:name="_Toc333935333"/>
      <w:bookmarkStart w:id="811" w:name="_Toc336681922"/>
      <w:bookmarkStart w:id="812" w:name="_Toc365985166"/>
      <w:bookmarkStart w:id="813" w:name="_Toc340507429"/>
      <w:bookmarkStart w:id="814" w:name="_Toc336681567"/>
      <w:bookmarkStart w:id="815" w:name="_Toc340672856"/>
      <w:bookmarkStart w:id="816" w:name="_Toc339362287"/>
      <w:bookmarkStart w:id="817" w:name="_Toc5055"/>
      <w:bookmarkStart w:id="818" w:name="_Toc374454587"/>
      <w:bookmarkStart w:id="819" w:name="_Toc339441074"/>
      <w:bookmarkStart w:id="820" w:name="_Toc339020220"/>
      <w:bookmarkStart w:id="821" w:name="_Toc503785416"/>
      <w:bookmarkStart w:id="822" w:name="_Toc330459972"/>
      <w:bookmarkStart w:id="823" w:name="_Toc111534389"/>
      <w:bookmarkStart w:id="824" w:name="_Toc333237664"/>
      <w:bookmarkStart w:id="825" w:name="_Toc341348325"/>
      <w:bookmarkStart w:id="826" w:name="_Toc366072515"/>
      <w:bookmarkStart w:id="827" w:name="_Toc350756437"/>
      <w:bookmarkStart w:id="828" w:name="_Toc332206695"/>
      <w:bookmarkStart w:id="829" w:name="_Toc340677057"/>
      <w:bookmarkStart w:id="830" w:name="_Toc331684025"/>
      <w:bookmarkStart w:id="831" w:name="_Toc350438736"/>
      <w:bookmarkStart w:id="832" w:name="_Toc365967060"/>
      <w:bookmarkStart w:id="833" w:name="_Toc339020082"/>
      <w:bookmarkStart w:id="834" w:name="_Toc337632345"/>
      <w:bookmarkStart w:id="835" w:name="_Toc333237775"/>
      <w:bookmarkStart w:id="836" w:name="_Toc342296747"/>
      <w:bookmarkStart w:id="837" w:name="_Toc331512885"/>
      <w:r>
        <w:rPr>
          <w:rFonts w:hint="eastAsia"/>
          <w:color w:val="000000" w:themeColor="text1"/>
          <w:highlight w:val="none"/>
        </w:rPr>
        <w:t>投标文件的签署及规定</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接受PDF格式及可编辑格式的电子文件（电子文件须单独密封，在封皮上注明“（公司名称）投标电子版”并加盖公章）。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38" w:name="_Toc349127614"/>
      <w:bookmarkStart w:id="839" w:name="_Toc331684026"/>
      <w:bookmarkStart w:id="840" w:name="_Toc342296748"/>
      <w:bookmarkStart w:id="841" w:name="_Toc333935675"/>
      <w:bookmarkStart w:id="842" w:name="_Toc503785417"/>
      <w:bookmarkStart w:id="843" w:name="_Toc340677058"/>
      <w:bookmarkStart w:id="844" w:name="_Toc340672857"/>
      <w:bookmarkStart w:id="845" w:name="_Toc332270334"/>
      <w:bookmarkStart w:id="846" w:name="_Toc331512886"/>
      <w:bookmarkStart w:id="847" w:name="_Toc333238621"/>
      <w:bookmarkStart w:id="848" w:name="_Toc339441075"/>
      <w:bookmarkStart w:id="849" w:name="_Toc350438737"/>
      <w:bookmarkStart w:id="850" w:name="_Toc336681568"/>
      <w:bookmarkStart w:id="851" w:name="_Toc337632346"/>
      <w:bookmarkStart w:id="852" w:name="_Toc374454588"/>
      <w:bookmarkStart w:id="853" w:name="_Toc365967061"/>
      <w:bookmarkStart w:id="854" w:name="_Toc345513855"/>
      <w:bookmarkStart w:id="855" w:name="_Toc366072516"/>
      <w:bookmarkStart w:id="856" w:name="_Toc339362288"/>
      <w:bookmarkStart w:id="857" w:name="_Toc365985167"/>
      <w:bookmarkStart w:id="858" w:name="_Toc339019877"/>
      <w:bookmarkStart w:id="859" w:name="_Toc111534390"/>
      <w:bookmarkStart w:id="860" w:name="_Toc341348326"/>
      <w:bookmarkStart w:id="861" w:name="_Toc333237776"/>
      <w:bookmarkStart w:id="862" w:name="_Toc350756438"/>
      <w:bookmarkStart w:id="863" w:name="_Toc333237665"/>
      <w:bookmarkStart w:id="864" w:name="_Toc339020083"/>
      <w:bookmarkStart w:id="865" w:name="_Toc349143577"/>
      <w:bookmarkStart w:id="866" w:name="_Toc342060362"/>
      <w:bookmarkStart w:id="867" w:name="_Toc340507430"/>
      <w:bookmarkStart w:id="868" w:name="_Toc339020003"/>
      <w:bookmarkStart w:id="869" w:name="_Toc333935334"/>
      <w:bookmarkStart w:id="870" w:name="_Toc336681923"/>
      <w:bookmarkStart w:id="871" w:name="_Toc330459973"/>
      <w:bookmarkStart w:id="872" w:name="_Toc332206696"/>
      <w:bookmarkStart w:id="873" w:name="_Toc497224215"/>
      <w:bookmarkStart w:id="874" w:name="_Toc339020221"/>
      <w:r>
        <w:rPr>
          <w:color w:val="000000" w:themeColor="text1"/>
          <w:sz w:val="24"/>
          <w:highlight w:val="none"/>
        </w:rPr>
        <w:br w:type="page"/>
      </w:r>
      <w:bookmarkStart w:id="875" w:name="_Toc10823"/>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pPr>
        <w:pStyle w:val="2"/>
        <w:numPr>
          <w:ilvl w:val="4"/>
          <w:numId w:val="26"/>
        </w:numPr>
        <w:tabs>
          <w:tab w:val="left" w:pos="251"/>
          <w:tab w:val="left" w:pos="720"/>
        </w:tabs>
        <w:spacing w:before="240" w:after="120"/>
        <w:ind w:left="751" w:leftChars="1" w:hangingChars="357"/>
        <w:rPr>
          <w:rFonts w:ascii="宋体" w:hAnsi="宋体"/>
          <w:color w:val="000000" w:themeColor="text1"/>
          <w:highlight w:val="none"/>
        </w:rPr>
      </w:pPr>
      <w:bookmarkStart w:id="876" w:name="_Toc337632347"/>
      <w:bookmarkStart w:id="877" w:name="_Toc503785418"/>
      <w:bookmarkStart w:id="878" w:name="_Toc339020004"/>
      <w:bookmarkStart w:id="879" w:name="_Toc336681924"/>
      <w:bookmarkStart w:id="880" w:name="_Toc366072517"/>
      <w:bookmarkStart w:id="881" w:name="_Toc333238622"/>
      <w:bookmarkStart w:id="882" w:name="_Toc332270335"/>
      <w:bookmarkStart w:id="883" w:name="_Toc333935335"/>
      <w:bookmarkStart w:id="884" w:name="_Toc342296749"/>
      <w:bookmarkStart w:id="885" w:name="_Toc339019878"/>
      <w:bookmarkStart w:id="886" w:name="_Toc339441076"/>
      <w:bookmarkStart w:id="887" w:name="_Toc331512887"/>
      <w:bookmarkStart w:id="888" w:name="_Toc345513856"/>
      <w:bookmarkStart w:id="889" w:name="_Toc365967062"/>
      <w:bookmarkStart w:id="890" w:name="_Toc350756439"/>
      <w:bookmarkStart w:id="891" w:name="_Toc342060363"/>
      <w:bookmarkStart w:id="892" w:name="_Toc365985168"/>
      <w:bookmarkStart w:id="893" w:name="_Toc331684027"/>
      <w:bookmarkStart w:id="894" w:name="_Toc330459974"/>
      <w:bookmarkStart w:id="895" w:name="_Toc336681569"/>
      <w:bookmarkStart w:id="896" w:name="_Toc339020222"/>
      <w:bookmarkStart w:id="897" w:name="_Toc339020084"/>
      <w:bookmarkStart w:id="898" w:name="_Toc339362289"/>
      <w:bookmarkStart w:id="899" w:name="_Toc340507431"/>
      <w:bookmarkStart w:id="900" w:name="_Toc349143578"/>
      <w:bookmarkStart w:id="901" w:name="_Toc340672858"/>
      <w:bookmarkStart w:id="902" w:name="_Toc333237777"/>
      <w:bookmarkStart w:id="903" w:name="_Toc333237666"/>
      <w:bookmarkStart w:id="904" w:name="_Toc374454589"/>
      <w:bookmarkStart w:id="905" w:name="_Toc341348327"/>
      <w:bookmarkStart w:id="906" w:name="_Toc497224216"/>
      <w:bookmarkStart w:id="907" w:name="_Toc333935676"/>
      <w:bookmarkStart w:id="908" w:name="_Toc111534391"/>
      <w:bookmarkStart w:id="909" w:name="_Toc349127615"/>
      <w:bookmarkStart w:id="910" w:name="_Toc340677059"/>
      <w:bookmarkStart w:id="911" w:name="_Toc350438738"/>
      <w:bookmarkStart w:id="912" w:name="_Toc332206697"/>
      <w:r>
        <w:rPr>
          <w:color w:val="000000" w:themeColor="text1"/>
          <w:highlight w:val="none"/>
        </w:rPr>
        <w:t xml:space="preserve"> </w:t>
      </w:r>
      <w:bookmarkStart w:id="913" w:name="_Toc26565"/>
      <w:r>
        <w:rPr>
          <w:rFonts w:hint="eastAsia"/>
          <w:color w:val="000000" w:themeColor="text1"/>
          <w:highlight w:val="none"/>
        </w:rPr>
        <w:t>投标文件的密封和标记</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
      <w:pPr>
        <w:pStyle w:val="5"/>
        <w:rPr>
          <w:color w:val="000000" w:themeColor="text1"/>
          <w:highlight w:val="none"/>
        </w:rPr>
      </w:pPr>
      <w:bookmarkStart w:id="914"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914"/>
      <w:r>
        <w:rPr>
          <w:rFonts w:hint="eastAsia" w:ascii="黑体" w:eastAsia="黑体"/>
          <w:bCs/>
          <w:color w:val="000000" w:themeColor="text1"/>
          <w:kern w:val="2"/>
          <w:sz w:val="21"/>
          <w:szCs w:val="24"/>
          <w:highlight w:val="none"/>
        </w:rPr>
        <w:t>。</w:t>
      </w:r>
    </w:p>
    <w:p>
      <w:pPr>
        <w:pStyle w:val="2"/>
        <w:numPr>
          <w:ilvl w:val="4"/>
          <w:numId w:val="26"/>
        </w:numPr>
        <w:tabs>
          <w:tab w:val="left" w:pos="720"/>
        </w:tabs>
        <w:spacing w:before="240" w:after="120"/>
        <w:ind w:left="2432" w:hanging="2432"/>
        <w:rPr>
          <w:color w:val="000000" w:themeColor="text1"/>
          <w:highlight w:val="none"/>
        </w:rPr>
      </w:pPr>
      <w:bookmarkStart w:id="915" w:name="_Toc333935336"/>
      <w:bookmarkStart w:id="916" w:name="_Toc365985169"/>
      <w:bookmarkStart w:id="917" w:name="_Toc333237778"/>
      <w:bookmarkStart w:id="918" w:name="_Toc111534392"/>
      <w:bookmarkStart w:id="919" w:name="_Toc333237667"/>
      <w:bookmarkStart w:id="920" w:name="_Toc339441077"/>
      <w:bookmarkStart w:id="921" w:name="_Toc339020223"/>
      <w:bookmarkStart w:id="922" w:name="_Toc336681570"/>
      <w:bookmarkStart w:id="923" w:name="_Toc342296750"/>
      <w:bookmarkStart w:id="924" w:name="_Toc332270336"/>
      <w:bookmarkStart w:id="925" w:name="_Toc333935677"/>
      <w:bookmarkStart w:id="926" w:name="_Toc341348328"/>
      <w:bookmarkStart w:id="927" w:name="_Toc340672859"/>
      <w:bookmarkStart w:id="928" w:name="_Toc339362290"/>
      <w:bookmarkStart w:id="929" w:name="_Toc345513857"/>
      <w:bookmarkStart w:id="930" w:name="_Toc331512888"/>
      <w:bookmarkStart w:id="931" w:name="_Toc503785419"/>
      <w:bookmarkStart w:id="932" w:name="_Toc336681925"/>
      <w:bookmarkStart w:id="933" w:name="_Toc366072518"/>
      <w:bookmarkStart w:id="934" w:name="_Toc350438739"/>
      <w:bookmarkStart w:id="935" w:name="_Toc332206698"/>
      <w:bookmarkStart w:id="936" w:name="_Toc339020085"/>
      <w:bookmarkStart w:id="937" w:name="_Toc13750"/>
      <w:bookmarkStart w:id="938" w:name="_Toc374454590"/>
      <w:bookmarkStart w:id="939" w:name="_Toc349127616"/>
      <w:bookmarkStart w:id="940" w:name="_Toc350756440"/>
      <w:bookmarkStart w:id="941" w:name="_Toc340507432"/>
      <w:bookmarkStart w:id="942" w:name="_Toc333238623"/>
      <w:bookmarkStart w:id="943" w:name="_Toc339019879"/>
      <w:bookmarkStart w:id="944" w:name="_Toc342060364"/>
      <w:bookmarkStart w:id="945" w:name="_Toc349143579"/>
      <w:bookmarkStart w:id="946" w:name="_Toc365967063"/>
      <w:bookmarkStart w:id="947" w:name="_Toc339020005"/>
      <w:bookmarkStart w:id="948" w:name="_Toc330459975"/>
      <w:bookmarkStart w:id="949" w:name="_Toc337632348"/>
      <w:bookmarkStart w:id="950" w:name="_Toc331684028"/>
      <w:bookmarkStart w:id="951" w:name="_Toc340677060"/>
      <w:bookmarkStart w:id="952" w:name="_Toc497224217"/>
      <w:r>
        <w:rPr>
          <w:rFonts w:hint="eastAsia"/>
          <w:color w:val="000000" w:themeColor="text1"/>
          <w:highlight w:val="none"/>
        </w:rPr>
        <w:t>递交投标文件的时间、地点及截止时间</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53" w:name="_Toc341348329"/>
      <w:bookmarkStart w:id="954" w:name="_Toc349127617"/>
      <w:bookmarkStart w:id="955" w:name="_Toc331684029"/>
      <w:bookmarkStart w:id="956" w:name="_Toc339019880"/>
      <w:bookmarkStart w:id="957" w:name="_Toc337632349"/>
      <w:bookmarkStart w:id="958" w:name="_Toc330459976"/>
      <w:bookmarkStart w:id="959" w:name="_Toc339362291"/>
      <w:bookmarkStart w:id="960" w:name="_Toc365985170"/>
      <w:bookmarkStart w:id="961" w:name="_Toc339441078"/>
      <w:bookmarkStart w:id="962" w:name="_Toc342296751"/>
      <w:bookmarkStart w:id="963" w:name="_Toc340507433"/>
      <w:bookmarkStart w:id="964" w:name="_Toc340672860"/>
      <w:bookmarkStart w:id="965" w:name="_Toc349143580"/>
      <w:bookmarkStart w:id="966" w:name="_Toc350756441"/>
      <w:bookmarkStart w:id="967" w:name="_Toc339020086"/>
      <w:bookmarkStart w:id="968" w:name="_Toc332206699"/>
      <w:bookmarkStart w:id="969" w:name="_Toc339020006"/>
      <w:bookmarkStart w:id="970" w:name="_Toc340677061"/>
      <w:bookmarkStart w:id="971" w:name="_Toc333238624"/>
      <w:bookmarkStart w:id="972" w:name="_Toc374454591"/>
      <w:bookmarkStart w:id="973" w:name="_Toc336681571"/>
      <w:bookmarkStart w:id="974" w:name="_Toc336681926"/>
      <w:bookmarkStart w:id="975" w:name="_Toc331512889"/>
      <w:bookmarkStart w:id="976" w:name="_Toc365967064"/>
      <w:bookmarkStart w:id="977" w:name="_Toc333935337"/>
      <w:bookmarkStart w:id="978" w:name="_Toc339020224"/>
      <w:bookmarkStart w:id="979" w:name="_Toc503785420"/>
      <w:bookmarkStart w:id="980" w:name="_Toc332270337"/>
      <w:bookmarkStart w:id="981" w:name="_Toc342060365"/>
      <w:bookmarkStart w:id="982" w:name="_Toc350438740"/>
      <w:bookmarkStart w:id="983" w:name="_Toc366072519"/>
      <w:bookmarkStart w:id="984" w:name="_Toc345513858"/>
      <w:bookmarkStart w:id="985" w:name="_Toc333935678"/>
      <w:bookmarkStart w:id="986" w:name="_Toc333237668"/>
      <w:bookmarkStart w:id="987" w:name="_Toc497224218"/>
      <w:bookmarkStart w:id="988" w:name="_Toc333237779"/>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2"/>
        <w:numPr>
          <w:ilvl w:val="4"/>
          <w:numId w:val="26"/>
        </w:numPr>
        <w:tabs>
          <w:tab w:val="left" w:pos="720"/>
        </w:tabs>
        <w:spacing w:before="240" w:after="120"/>
        <w:ind w:left="2432" w:hanging="2432"/>
        <w:rPr>
          <w:color w:val="000000" w:themeColor="text1"/>
          <w:highlight w:val="none"/>
        </w:rPr>
      </w:pPr>
      <w:bookmarkStart w:id="989" w:name="_Toc23439"/>
      <w:r>
        <w:rPr>
          <w:rFonts w:hint="eastAsia"/>
          <w:color w:val="000000" w:themeColor="text1"/>
          <w:highlight w:val="none"/>
        </w:rPr>
        <w:t>迟交的投标文件</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2"/>
        <w:numPr>
          <w:ilvl w:val="4"/>
          <w:numId w:val="26"/>
        </w:numPr>
        <w:tabs>
          <w:tab w:val="left" w:pos="720"/>
        </w:tabs>
        <w:spacing w:before="240" w:after="120"/>
        <w:ind w:left="2432" w:hanging="2432"/>
        <w:rPr>
          <w:color w:val="000000" w:themeColor="text1"/>
          <w:highlight w:val="none"/>
        </w:rPr>
      </w:pPr>
      <w:bookmarkStart w:id="990" w:name="_Toc497224219"/>
      <w:bookmarkStart w:id="991" w:name="_Toc503785421"/>
      <w:bookmarkStart w:id="992" w:name="_Toc336681927"/>
      <w:bookmarkStart w:id="993" w:name="_Toc339020225"/>
      <w:bookmarkStart w:id="994" w:name="_Toc366072520"/>
      <w:bookmarkStart w:id="995" w:name="_Toc4656"/>
      <w:bookmarkStart w:id="996" w:name="_Toc333238625"/>
      <w:bookmarkStart w:id="997" w:name="_Toc339020007"/>
      <w:bookmarkStart w:id="998" w:name="_Toc350756442"/>
      <w:bookmarkStart w:id="999" w:name="_Toc339019881"/>
      <w:bookmarkStart w:id="1000" w:name="_Toc333237780"/>
      <w:bookmarkStart w:id="1001" w:name="_Toc350438741"/>
      <w:bookmarkStart w:id="1002" w:name="_Toc349143581"/>
      <w:bookmarkStart w:id="1003" w:name="_Toc365985171"/>
      <w:bookmarkStart w:id="1004" w:name="_Toc333935679"/>
      <w:bookmarkStart w:id="1005" w:name="_Toc332206700"/>
      <w:bookmarkStart w:id="1006" w:name="_Toc374454592"/>
      <w:bookmarkStart w:id="1007" w:name="_Toc333237669"/>
      <w:bookmarkStart w:id="1008" w:name="_Toc333935338"/>
      <w:bookmarkStart w:id="1009" w:name="_Toc342060366"/>
      <w:bookmarkStart w:id="1010" w:name="_Toc332270338"/>
      <w:bookmarkStart w:id="1011" w:name="_Toc339362292"/>
      <w:bookmarkStart w:id="1012" w:name="_Toc365967065"/>
      <w:bookmarkStart w:id="1013" w:name="_Toc340677062"/>
      <w:bookmarkStart w:id="1014" w:name="_Toc336681572"/>
      <w:bookmarkStart w:id="1015" w:name="_Toc341348330"/>
      <w:bookmarkStart w:id="1016" w:name="_Toc339441079"/>
      <w:bookmarkStart w:id="1017" w:name="_Toc331684030"/>
      <w:bookmarkStart w:id="1018" w:name="_Toc340672861"/>
      <w:bookmarkStart w:id="1019" w:name="_Toc345513859"/>
      <w:bookmarkStart w:id="1020" w:name="_Toc342296752"/>
      <w:bookmarkStart w:id="1021" w:name="_Toc339020087"/>
      <w:bookmarkStart w:id="1022" w:name="_Toc330459977"/>
      <w:bookmarkStart w:id="1023" w:name="_Toc349127618"/>
      <w:bookmarkStart w:id="1024" w:name="_Toc340507434"/>
      <w:bookmarkStart w:id="1025" w:name="_Toc331512890"/>
      <w:bookmarkStart w:id="1026" w:name="_Toc337632350"/>
      <w:r>
        <w:rPr>
          <w:rFonts w:hint="eastAsia"/>
          <w:color w:val="000000" w:themeColor="text1"/>
          <w:highlight w:val="none"/>
        </w:rPr>
        <w:t>投标文件的修改和撤</w:t>
      </w:r>
      <w:bookmarkEnd w:id="990"/>
      <w:bookmarkEnd w:id="991"/>
      <w:r>
        <w:rPr>
          <w:rFonts w:hint="eastAsia"/>
          <w:color w:val="000000" w:themeColor="text1"/>
          <w:highlight w:val="none"/>
        </w:rPr>
        <w:t>回</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rPr>
      </w:pPr>
      <w:bookmarkStart w:id="1027" w:name="_Toc340677063"/>
      <w:bookmarkStart w:id="1028" w:name="_Toc350438742"/>
      <w:bookmarkStart w:id="1029" w:name="_Toc339441080"/>
      <w:bookmarkStart w:id="1030" w:name="_Toc331512891"/>
      <w:bookmarkStart w:id="1031" w:name="_Toc336681573"/>
      <w:bookmarkStart w:id="1032" w:name="_Toc336681928"/>
      <w:bookmarkStart w:id="1033" w:name="_Toc333237670"/>
      <w:bookmarkStart w:id="1034" w:name="_Toc339020008"/>
      <w:bookmarkStart w:id="1035" w:name="_Toc365967066"/>
      <w:bookmarkStart w:id="1036" w:name="_Toc374454593"/>
      <w:bookmarkStart w:id="1037" w:name="_Toc497224220"/>
      <w:bookmarkStart w:id="1038" w:name="_Toc333238626"/>
      <w:bookmarkStart w:id="1039" w:name="_Toc333935339"/>
      <w:bookmarkStart w:id="1040" w:name="_Toc339019882"/>
      <w:bookmarkStart w:id="1041" w:name="_Toc345513860"/>
      <w:bookmarkStart w:id="1042" w:name="_Toc340672862"/>
      <w:bookmarkStart w:id="1043" w:name="_Toc330459978"/>
      <w:bookmarkStart w:id="1044" w:name="_Toc337632351"/>
      <w:bookmarkStart w:id="1045" w:name="_Toc503785422"/>
      <w:bookmarkStart w:id="1046" w:name="_Toc341348331"/>
      <w:bookmarkStart w:id="1047" w:name="_Toc332206701"/>
      <w:bookmarkStart w:id="1048" w:name="_Toc342296753"/>
      <w:bookmarkStart w:id="1049" w:name="_Toc339020088"/>
      <w:bookmarkStart w:id="1050" w:name="_Toc332270339"/>
      <w:bookmarkStart w:id="1051" w:name="_Toc331684031"/>
      <w:bookmarkStart w:id="1052" w:name="_Toc339362293"/>
      <w:bookmarkStart w:id="1053" w:name="_Toc333237781"/>
      <w:bookmarkStart w:id="1054" w:name="_Toc349127619"/>
      <w:bookmarkStart w:id="1055" w:name="_Toc340507435"/>
      <w:bookmarkStart w:id="1056" w:name="_Toc366072521"/>
      <w:bookmarkStart w:id="1057" w:name="_Toc365985172"/>
      <w:bookmarkStart w:id="1058" w:name="_Toc339020226"/>
      <w:bookmarkStart w:id="1059" w:name="_Toc333935680"/>
      <w:bookmarkStart w:id="1060" w:name="_Toc350756443"/>
      <w:bookmarkStart w:id="1061" w:name="_Toc342060367"/>
      <w:bookmarkStart w:id="1062" w:name="_Toc349143582"/>
      <w:r>
        <w:rPr>
          <w:color w:val="000000" w:themeColor="text1"/>
          <w:sz w:val="24"/>
          <w:highlight w:val="none"/>
        </w:rPr>
        <w:br w:type="page"/>
      </w:r>
      <w:bookmarkStart w:id="1063" w:name="_Toc12346"/>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p>
    <w:p>
      <w:pPr>
        <w:pStyle w:val="2"/>
        <w:numPr>
          <w:ilvl w:val="4"/>
          <w:numId w:val="26"/>
        </w:numPr>
        <w:tabs>
          <w:tab w:val="left" w:pos="720"/>
        </w:tabs>
        <w:spacing w:before="240" w:after="120"/>
        <w:ind w:left="2432" w:hanging="2432"/>
        <w:rPr>
          <w:color w:val="000000" w:themeColor="text1"/>
          <w:highlight w:val="none"/>
        </w:rPr>
      </w:pPr>
      <w:bookmarkStart w:id="1064" w:name="_Toc332270340"/>
      <w:bookmarkStart w:id="1065" w:name="_Toc336681574"/>
      <w:bookmarkStart w:id="1066" w:name="_Toc341348332"/>
      <w:bookmarkStart w:id="1067" w:name="_Toc349127620"/>
      <w:bookmarkStart w:id="1068" w:name="_Toc350756444"/>
      <w:bookmarkStart w:id="1069" w:name="_Toc332206702"/>
      <w:bookmarkStart w:id="1070" w:name="_Toc330459979"/>
      <w:bookmarkStart w:id="1071" w:name="_Toc350438743"/>
      <w:bookmarkStart w:id="1072" w:name="_Toc339020227"/>
      <w:bookmarkStart w:id="1073" w:name="_Toc333935340"/>
      <w:bookmarkStart w:id="1074" w:name="_Toc503785423"/>
      <w:bookmarkStart w:id="1075" w:name="_Toc339020089"/>
      <w:bookmarkStart w:id="1076" w:name="_Toc366072522"/>
      <w:bookmarkStart w:id="1077" w:name="_Toc340507436"/>
      <w:bookmarkStart w:id="1078" w:name="_Toc365985173"/>
      <w:bookmarkStart w:id="1079" w:name="_Toc349143583"/>
      <w:bookmarkStart w:id="1080" w:name="_Toc8455"/>
      <w:bookmarkStart w:id="1081" w:name="_Toc339019883"/>
      <w:bookmarkStart w:id="1082" w:name="_Toc333237671"/>
      <w:bookmarkStart w:id="1083" w:name="_Toc374454594"/>
      <w:bookmarkStart w:id="1084" w:name="_Toc336681929"/>
      <w:bookmarkStart w:id="1085" w:name="_Toc331684032"/>
      <w:bookmarkStart w:id="1086" w:name="_Toc333238627"/>
      <w:bookmarkStart w:id="1087" w:name="_Toc342060368"/>
      <w:bookmarkStart w:id="1088" w:name="_Toc333935681"/>
      <w:bookmarkStart w:id="1089" w:name="_Toc345513861"/>
      <w:bookmarkStart w:id="1090" w:name="_Toc333237782"/>
      <w:bookmarkStart w:id="1091" w:name="_Toc340677064"/>
      <w:bookmarkStart w:id="1092" w:name="_Toc497224221"/>
      <w:bookmarkStart w:id="1093" w:name="_Toc365967067"/>
      <w:bookmarkStart w:id="1094" w:name="_Toc331512892"/>
      <w:bookmarkStart w:id="1095" w:name="_Toc337632352"/>
      <w:bookmarkStart w:id="1096" w:name="_Toc339441081"/>
      <w:bookmarkStart w:id="1097" w:name="_Toc340672863"/>
      <w:bookmarkStart w:id="1098" w:name="_Toc339362294"/>
      <w:bookmarkStart w:id="1099" w:name="_Toc339020009"/>
      <w:bookmarkStart w:id="1100" w:name="_Toc342296754"/>
      <w:r>
        <w:rPr>
          <w:rFonts w:hint="eastAsia"/>
          <w:color w:val="000000" w:themeColor="text1"/>
          <w:highlight w:val="none"/>
        </w:rPr>
        <w:t>开标</w:t>
      </w:r>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2"/>
        <w:numPr>
          <w:ilvl w:val="4"/>
          <w:numId w:val="26"/>
        </w:numPr>
        <w:tabs>
          <w:tab w:val="left" w:pos="720"/>
        </w:tabs>
        <w:spacing w:before="240" w:after="120"/>
        <w:ind w:left="752" w:hanging="751" w:hangingChars="358"/>
        <w:rPr>
          <w:rFonts w:ascii="宋体" w:hAnsi="宋体"/>
          <w:color w:val="000000" w:themeColor="text1"/>
          <w:highlight w:val="none"/>
        </w:rPr>
      </w:pPr>
      <w:bookmarkStart w:id="1101" w:name="_Toc332206703"/>
      <w:bookmarkStart w:id="1102" w:name="_Toc339441082"/>
      <w:bookmarkStart w:id="1103" w:name="_Toc497224222"/>
      <w:bookmarkStart w:id="1104" w:name="_Toc340672864"/>
      <w:bookmarkStart w:id="1105" w:name="_Toc339020090"/>
      <w:bookmarkStart w:id="1106" w:name="_Toc350756445"/>
      <w:bookmarkStart w:id="1107" w:name="_Toc365967068"/>
      <w:bookmarkStart w:id="1108" w:name="_Toc331512893"/>
      <w:bookmarkStart w:id="1109" w:name="_Toc336681930"/>
      <w:bookmarkStart w:id="1110" w:name="_Toc350438744"/>
      <w:bookmarkStart w:id="1111" w:name="_Toc342060369"/>
      <w:bookmarkStart w:id="1112" w:name="_Toc31696"/>
      <w:bookmarkStart w:id="1113" w:name="_Toc336681575"/>
      <w:bookmarkStart w:id="1114" w:name="_Toc331684033"/>
      <w:bookmarkStart w:id="1115" w:name="_Toc337632353"/>
      <w:bookmarkStart w:id="1116" w:name="_Toc333935341"/>
      <w:bookmarkStart w:id="1117" w:name="_Toc332270341"/>
      <w:bookmarkStart w:id="1118" w:name="_Toc333238628"/>
      <w:bookmarkStart w:id="1119" w:name="_Toc339362295"/>
      <w:bookmarkStart w:id="1120" w:name="_Toc330459980"/>
      <w:bookmarkStart w:id="1121" w:name="_Toc333935682"/>
      <w:bookmarkStart w:id="1122" w:name="_Toc349127621"/>
      <w:bookmarkStart w:id="1123" w:name="_Toc339019884"/>
      <w:bookmarkStart w:id="1124" w:name="_Toc374454595"/>
      <w:bookmarkStart w:id="1125" w:name="_Toc341348333"/>
      <w:bookmarkStart w:id="1126" w:name="_Toc365985174"/>
      <w:bookmarkStart w:id="1127" w:name="_Toc342296755"/>
      <w:bookmarkStart w:id="1128" w:name="_Toc340507437"/>
      <w:bookmarkStart w:id="1129" w:name="_Toc503785424"/>
      <w:bookmarkStart w:id="1130" w:name="_Toc345513862"/>
      <w:bookmarkStart w:id="1131" w:name="_Toc339020010"/>
      <w:bookmarkStart w:id="1132" w:name="_Toc333237783"/>
      <w:bookmarkStart w:id="1133" w:name="_Toc340677065"/>
      <w:bookmarkStart w:id="1134" w:name="_Toc366072523"/>
      <w:bookmarkStart w:id="1135" w:name="_Toc349143584"/>
      <w:bookmarkStart w:id="1136" w:name="_Toc333237672"/>
      <w:bookmarkStart w:id="1137" w:name="_Toc339020228"/>
      <w:r>
        <w:rPr>
          <w:rFonts w:hint="eastAsia"/>
          <w:color w:val="000000" w:themeColor="text1"/>
          <w:highlight w:val="none"/>
        </w:rPr>
        <w:t>评标委员会</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r>
        <w:rPr>
          <w:rFonts w:hint="eastAsia" w:ascii="宋体" w:hAnsi="宋体"/>
          <w:color w:val="000000" w:themeColor="text1"/>
          <w:highlight w:val="none"/>
        </w:rPr>
        <w:t xml:space="preserve"> </w:t>
      </w:r>
    </w:p>
    <w:p>
      <w:pPr>
        <w:pStyle w:val="5"/>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2"/>
        <w:numPr>
          <w:ilvl w:val="4"/>
          <w:numId w:val="26"/>
        </w:numPr>
        <w:tabs>
          <w:tab w:val="left" w:pos="720"/>
        </w:tabs>
        <w:spacing w:before="240" w:after="120"/>
        <w:ind w:left="2432" w:hanging="2432"/>
        <w:rPr>
          <w:color w:val="000000" w:themeColor="text1"/>
          <w:highlight w:val="none"/>
        </w:rPr>
      </w:pPr>
      <w:bookmarkStart w:id="1138" w:name="_Toc340507438"/>
      <w:bookmarkStart w:id="1139" w:name="_Toc340677066"/>
      <w:bookmarkStart w:id="1140" w:name="_Toc349143585"/>
      <w:bookmarkStart w:id="1141" w:name="_Toc333935342"/>
      <w:bookmarkStart w:id="1142" w:name="_Toc339441083"/>
      <w:bookmarkStart w:id="1143" w:name="_Toc333238629"/>
      <w:bookmarkStart w:id="1144" w:name="_Toc332270342"/>
      <w:bookmarkStart w:id="1145" w:name="_Toc349127622"/>
      <w:bookmarkStart w:id="1146" w:name="_Toc339362296"/>
      <w:bookmarkStart w:id="1147" w:name="_Toc341348334"/>
      <w:bookmarkStart w:id="1148" w:name="_Toc333935683"/>
      <w:bookmarkStart w:id="1149" w:name="_Toc350438745"/>
      <w:bookmarkStart w:id="1150" w:name="_Toc350756446"/>
      <w:bookmarkStart w:id="1151" w:name="_Toc332206704"/>
      <w:bookmarkStart w:id="1152" w:name="_Toc333237784"/>
      <w:bookmarkStart w:id="1153" w:name="_Toc336681931"/>
      <w:bookmarkStart w:id="1154" w:name="_Toc337632354"/>
      <w:bookmarkStart w:id="1155" w:name="_Toc331684034"/>
      <w:bookmarkStart w:id="1156" w:name="_Toc365985175"/>
      <w:bookmarkStart w:id="1157" w:name="_Toc339019885"/>
      <w:bookmarkStart w:id="1158" w:name="_Toc339020229"/>
      <w:bookmarkStart w:id="1159" w:name="_Toc339020011"/>
      <w:bookmarkStart w:id="1160" w:name="_Toc336681576"/>
      <w:bookmarkStart w:id="1161" w:name="_Toc339020091"/>
      <w:bookmarkStart w:id="1162" w:name="_Toc331512894"/>
      <w:bookmarkStart w:id="1163" w:name="_Toc340672865"/>
      <w:bookmarkStart w:id="1164" w:name="_Toc503785425"/>
      <w:bookmarkStart w:id="1165" w:name="_Toc365967069"/>
      <w:bookmarkStart w:id="1166" w:name="_Toc497224223"/>
      <w:bookmarkStart w:id="1167" w:name="_Toc366072524"/>
      <w:bookmarkStart w:id="1168" w:name="_Toc330459981"/>
      <w:bookmarkStart w:id="1169" w:name="_Toc342060370"/>
      <w:bookmarkStart w:id="1170" w:name="_Toc333237673"/>
      <w:bookmarkStart w:id="1171" w:name="_Toc342296756"/>
      <w:bookmarkStart w:id="1172" w:name="_Toc345513863"/>
      <w:bookmarkStart w:id="1173" w:name="_Toc374454596"/>
      <w:bookmarkStart w:id="1174" w:name="_Toc31255"/>
      <w:r>
        <w:rPr>
          <w:rFonts w:hint="eastAsia"/>
          <w:color w:val="000000" w:themeColor="text1"/>
          <w:highlight w:val="none"/>
        </w:rPr>
        <w:t>对投标文件的初审和响应性的确定</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30"/>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30"/>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2"/>
        <w:numPr>
          <w:ilvl w:val="4"/>
          <w:numId w:val="26"/>
        </w:numPr>
        <w:tabs>
          <w:tab w:val="left" w:pos="720"/>
        </w:tabs>
        <w:spacing w:before="240" w:after="120"/>
        <w:ind w:left="2432" w:hanging="2432"/>
        <w:rPr>
          <w:color w:val="000000" w:themeColor="text1"/>
          <w:highlight w:val="none"/>
        </w:rPr>
      </w:pPr>
      <w:bookmarkStart w:id="1175" w:name="_Toc339019886"/>
      <w:bookmarkStart w:id="1176" w:name="_Toc350756447"/>
      <w:bookmarkStart w:id="1177" w:name="_Toc339020230"/>
      <w:bookmarkStart w:id="1178" w:name="_Toc332206705"/>
      <w:bookmarkStart w:id="1179" w:name="_Toc333237674"/>
      <w:bookmarkStart w:id="1180" w:name="_Toc339362297"/>
      <w:bookmarkStart w:id="1181" w:name="_Toc350438746"/>
      <w:bookmarkStart w:id="1182" w:name="_Toc345513864"/>
      <w:bookmarkStart w:id="1183" w:name="_Toc341348335"/>
      <w:bookmarkStart w:id="1184" w:name="_Toc336681932"/>
      <w:bookmarkStart w:id="1185" w:name="_Toc340507439"/>
      <w:bookmarkStart w:id="1186" w:name="_Toc331512895"/>
      <w:bookmarkStart w:id="1187" w:name="_Toc333935684"/>
      <w:bookmarkStart w:id="1188" w:name="_Toc336681577"/>
      <w:bookmarkStart w:id="1189" w:name="_Toc374454597"/>
      <w:bookmarkStart w:id="1190" w:name="_Toc20688"/>
      <w:bookmarkStart w:id="1191" w:name="_Toc330459982"/>
      <w:bookmarkStart w:id="1192" w:name="_Toc342296757"/>
      <w:bookmarkStart w:id="1193" w:name="_Toc339020012"/>
      <w:bookmarkStart w:id="1194" w:name="_Toc339441084"/>
      <w:bookmarkStart w:id="1195" w:name="_Toc349143586"/>
      <w:bookmarkStart w:id="1196" w:name="_Toc339020092"/>
      <w:bookmarkStart w:id="1197" w:name="_Toc337632355"/>
      <w:bookmarkStart w:id="1198" w:name="_Toc331684035"/>
      <w:bookmarkStart w:id="1199" w:name="_Toc333238630"/>
      <w:bookmarkStart w:id="1200" w:name="_Toc340677067"/>
      <w:bookmarkStart w:id="1201" w:name="_Toc365967070"/>
      <w:bookmarkStart w:id="1202" w:name="_Toc333237785"/>
      <w:bookmarkStart w:id="1203" w:name="_Toc340672866"/>
      <w:bookmarkStart w:id="1204" w:name="_Toc349127623"/>
      <w:bookmarkStart w:id="1205" w:name="_Toc332270343"/>
      <w:bookmarkStart w:id="1206" w:name="_Toc366072525"/>
      <w:bookmarkStart w:id="1207" w:name="_Toc342060371"/>
      <w:bookmarkStart w:id="1208" w:name="_Toc365985176"/>
      <w:bookmarkStart w:id="1209" w:name="_Toc333935343"/>
      <w:r>
        <w:rPr>
          <w:rFonts w:hint="eastAsia"/>
          <w:color w:val="000000" w:themeColor="text1"/>
          <w:highlight w:val="none"/>
        </w:rPr>
        <w:t>投标报价的审核</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2"/>
        <w:numPr>
          <w:ilvl w:val="4"/>
          <w:numId w:val="26"/>
        </w:numPr>
        <w:tabs>
          <w:tab w:val="left" w:pos="720"/>
        </w:tabs>
        <w:spacing w:before="240" w:after="120"/>
        <w:ind w:left="2432" w:hanging="2432"/>
        <w:rPr>
          <w:color w:val="000000" w:themeColor="text1"/>
          <w:highlight w:val="none"/>
        </w:rPr>
      </w:pPr>
      <w:bookmarkStart w:id="1210" w:name="_Toc365967071"/>
      <w:bookmarkStart w:id="1211" w:name="_Toc332206706"/>
      <w:bookmarkStart w:id="1212" w:name="_Toc497224224"/>
      <w:bookmarkStart w:id="1213" w:name="_Toc330459983"/>
      <w:bookmarkStart w:id="1214" w:name="_Toc349127624"/>
      <w:bookmarkStart w:id="1215" w:name="_Toc339020013"/>
      <w:bookmarkStart w:id="1216" w:name="_Toc339362298"/>
      <w:bookmarkStart w:id="1217" w:name="_Toc333237675"/>
      <w:bookmarkStart w:id="1218" w:name="_Toc333238631"/>
      <w:bookmarkStart w:id="1219" w:name="_Toc333935685"/>
      <w:bookmarkStart w:id="1220" w:name="_Toc342060372"/>
      <w:bookmarkStart w:id="1221" w:name="_Toc340677068"/>
      <w:bookmarkStart w:id="1222" w:name="_Toc349143587"/>
      <w:bookmarkStart w:id="1223" w:name="_Toc339441085"/>
      <w:bookmarkStart w:id="1224" w:name="_Toc340507440"/>
      <w:bookmarkStart w:id="1225" w:name="_Toc350438747"/>
      <w:bookmarkStart w:id="1226" w:name="_Toc340672867"/>
      <w:bookmarkStart w:id="1227" w:name="_Toc339019887"/>
      <w:bookmarkStart w:id="1228" w:name="_Toc339020231"/>
      <w:bookmarkStart w:id="1229" w:name="_Toc366072526"/>
      <w:bookmarkStart w:id="1230" w:name="_Toc331512896"/>
      <w:bookmarkStart w:id="1231" w:name="_Toc8105"/>
      <w:bookmarkStart w:id="1232" w:name="_Toc341348336"/>
      <w:bookmarkStart w:id="1233" w:name="_Toc503785426"/>
      <w:bookmarkStart w:id="1234" w:name="_Toc336681933"/>
      <w:bookmarkStart w:id="1235" w:name="_Toc336681578"/>
      <w:bookmarkStart w:id="1236" w:name="_Toc374454598"/>
      <w:bookmarkStart w:id="1237" w:name="_Toc342296758"/>
      <w:bookmarkStart w:id="1238" w:name="_Toc337632356"/>
      <w:bookmarkStart w:id="1239" w:name="_Toc331684036"/>
      <w:bookmarkStart w:id="1240" w:name="_Toc332270344"/>
      <w:bookmarkStart w:id="1241" w:name="_Toc339020093"/>
      <w:bookmarkStart w:id="1242" w:name="_Toc333935344"/>
      <w:bookmarkStart w:id="1243" w:name="_Toc333237786"/>
      <w:bookmarkStart w:id="1244" w:name="_Toc350756448"/>
      <w:bookmarkStart w:id="1245" w:name="_Toc365985177"/>
      <w:bookmarkStart w:id="1246" w:name="_Toc345513865"/>
      <w:r>
        <w:rPr>
          <w:rFonts w:hint="eastAsia"/>
          <w:color w:val="000000" w:themeColor="text1"/>
          <w:highlight w:val="none"/>
        </w:rPr>
        <w:t>询标及投标文件的澄清</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2"/>
        <w:numPr>
          <w:ilvl w:val="4"/>
          <w:numId w:val="26"/>
        </w:numPr>
        <w:tabs>
          <w:tab w:val="left" w:pos="720"/>
        </w:tabs>
        <w:spacing w:before="240" w:after="120"/>
        <w:ind w:left="2432" w:hanging="2432"/>
        <w:rPr>
          <w:color w:val="000000" w:themeColor="text1"/>
          <w:highlight w:val="none"/>
        </w:rPr>
      </w:pPr>
      <w:bookmarkStart w:id="1247" w:name="_Toc333237787"/>
      <w:bookmarkStart w:id="1248" w:name="_Toc350756449"/>
      <w:bookmarkStart w:id="1249" w:name="_Toc336681579"/>
      <w:bookmarkStart w:id="1250" w:name="_Toc337632357"/>
      <w:bookmarkStart w:id="1251" w:name="_Toc333238632"/>
      <w:bookmarkStart w:id="1252" w:name="_Toc331512897"/>
      <w:bookmarkStart w:id="1253" w:name="_Toc333935345"/>
      <w:bookmarkStart w:id="1254" w:name="_Toc330459984"/>
      <w:bookmarkStart w:id="1255" w:name="_Toc366072527"/>
      <w:bookmarkStart w:id="1256" w:name="_Toc342296759"/>
      <w:bookmarkStart w:id="1257" w:name="_Toc340672868"/>
      <w:bookmarkStart w:id="1258" w:name="_Toc339362299"/>
      <w:bookmarkStart w:id="1259" w:name="_Toc339020094"/>
      <w:bookmarkStart w:id="1260" w:name="_Toc331684037"/>
      <w:bookmarkStart w:id="1261" w:name="_Toc340507441"/>
      <w:bookmarkStart w:id="1262" w:name="_Toc339019888"/>
      <w:bookmarkStart w:id="1263" w:name="_Toc339441086"/>
      <w:bookmarkStart w:id="1264" w:name="_Toc339020014"/>
      <w:bookmarkStart w:id="1265" w:name="_Toc349143588"/>
      <w:bookmarkStart w:id="1266" w:name="_Toc349127625"/>
      <w:bookmarkStart w:id="1267" w:name="_Toc341348337"/>
      <w:bookmarkStart w:id="1268" w:name="_Toc340677069"/>
      <w:bookmarkStart w:id="1269" w:name="_Toc365967072"/>
      <w:bookmarkStart w:id="1270" w:name="_Toc332270345"/>
      <w:bookmarkStart w:id="1271" w:name="_Toc333237676"/>
      <w:bookmarkStart w:id="1272" w:name="_Toc365985178"/>
      <w:bookmarkStart w:id="1273" w:name="_Toc333935686"/>
      <w:bookmarkStart w:id="1274" w:name="_Toc342060373"/>
      <w:bookmarkStart w:id="1275" w:name="_Toc339020232"/>
      <w:bookmarkStart w:id="1276" w:name="_Toc374454599"/>
      <w:bookmarkStart w:id="1277" w:name="_Toc350438748"/>
      <w:bookmarkStart w:id="1278" w:name="_Toc332206707"/>
      <w:bookmarkStart w:id="1279" w:name="_Toc345513866"/>
      <w:bookmarkStart w:id="1280" w:name="_Toc8959"/>
      <w:bookmarkStart w:id="1281" w:name="_Toc336681934"/>
      <w:r>
        <w:rPr>
          <w:rFonts w:hint="eastAsia"/>
          <w:color w:val="000000" w:themeColor="text1"/>
          <w:highlight w:val="none"/>
        </w:rPr>
        <w:t>评标原则</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2"/>
        <w:numPr>
          <w:ilvl w:val="4"/>
          <w:numId w:val="26"/>
        </w:numPr>
        <w:tabs>
          <w:tab w:val="left" w:pos="720"/>
        </w:tabs>
        <w:spacing w:before="240" w:after="120"/>
        <w:ind w:left="2432" w:hanging="2432"/>
        <w:rPr>
          <w:color w:val="000000" w:themeColor="text1"/>
          <w:highlight w:val="none"/>
        </w:rPr>
      </w:pPr>
      <w:bookmarkStart w:id="1282" w:name="_Toc333935687"/>
      <w:bookmarkStart w:id="1283" w:name="_Toc332270346"/>
      <w:bookmarkStart w:id="1284" w:name="_Toc333238633"/>
      <w:bookmarkStart w:id="1285" w:name="_Toc330459985"/>
      <w:bookmarkStart w:id="1286" w:name="_Toc332206708"/>
      <w:bookmarkStart w:id="1287" w:name="_Toc331512898"/>
      <w:bookmarkStart w:id="1288" w:name="_Toc342060374"/>
      <w:bookmarkStart w:id="1289" w:name="_Toc333935346"/>
      <w:bookmarkStart w:id="1290" w:name="_Toc333237788"/>
      <w:bookmarkStart w:id="1291" w:name="_Toc339020233"/>
      <w:bookmarkStart w:id="1292" w:name="_Toc339362300"/>
      <w:bookmarkStart w:id="1293" w:name="_Toc340672869"/>
      <w:bookmarkStart w:id="1294" w:name="_Toc20110"/>
      <w:bookmarkStart w:id="1295" w:name="_Toc365967073"/>
      <w:bookmarkStart w:id="1296" w:name="_Toc350438749"/>
      <w:bookmarkStart w:id="1297" w:name="_Toc339020015"/>
      <w:bookmarkStart w:id="1298" w:name="_Toc336681580"/>
      <w:bookmarkStart w:id="1299" w:name="_Toc345513867"/>
      <w:bookmarkStart w:id="1300" w:name="_Toc337632358"/>
      <w:bookmarkStart w:id="1301" w:name="_Toc349143589"/>
      <w:bookmarkStart w:id="1302" w:name="_Toc349127626"/>
      <w:bookmarkStart w:id="1303" w:name="_Toc339441087"/>
      <w:bookmarkStart w:id="1304" w:name="_Toc333237677"/>
      <w:bookmarkStart w:id="1305" w:name="_Toc366072528"/>
      <w:bookmarkStart w:id="1306" w:name="_Toc339019889"/>
      <w:bookmarkStart w:id="1307" w:name="_Toc365985179"/>
      <w:bookmarkStart w:id="1308" w:name="_Toc350756450"/>
      <w:bookmarkStart w:id="1309" w:name="_Toc331684038"/>
      <w:bookmarkStart w:id="1310" w:name="_Toc340677070"/>
      <w:bookmarkStart w:id="1311" w:name="_Toc341348338"/>
      <w:bookmarkStart w:id="1312" w:name="_Toc339020095"/>
      <w:bookmarkStart w:id="1313" w:name="_Toc342296760"/>
      <w:bookmarkStart w:id="1314" w:name="_Toc374454600"/>
      <w:bookmarkStart w:id="1315" w:name="_Toc340507442"/>
      <w:bookmarkStart w:id="1316" w:name="_Toc336681935"/>
      <w:r>
        <w:rPr>
          <w:rFonts w:hint="eastAsia"/>
          <w:color w:val="000000" w:themeColor="text1"/>
          <w:highlight w:val="none"/>
        </w:rPr>
        <w:t>评标标准和办法</w:t>
      </w:r>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p>
      <w:pPr>
        <w:pStyle w:val="25"/>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5"/>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17" w:name="_Toc497707712"/>
      <w:bookmarkStart w:id="1318" w:name="_Toc500953375"/>
      <w:bookmarkStart w:id="1319" w:name="_Toc500861023"/>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2"/>
        <w:numPr>
          <w:ilvl w:val="4"/>
          <w:numId w:val="26"/>
        </w:numPr>
        <w:tabs>
          <w:tab w:val="left" w:pos="720"/>
        </w:tabs>
        <w:spacing w:before="240" w:after="120"/>
        <w:ind w:left="2432" w:hanging="2432"/>
        <w:rPr>
          <w:color w:val="000000" w:themeColor="text1"/>
          <w:highlight w:val="none"/>
        </w:rPr>
      </w:pPr>
      <w:bookmarkStart w:id="1320" w:name="_Toc327367761"/>
      <w:bookmarkStart w:id="1321" w:name="_Toc366072529"/>
      <w:bookmarkStart w:id="1322" w:name="_Toc23453"/>
      <w:bookmarkStart w:id="1323" w:name="_Toc327368025"/>
      <w:bookmarkStart w:id="1324" w:name="_Toc339020234"/>
      <w:bookmarkStart w:id="1325" w:name="_Toc332206709"/>
      <w:bookmarkStart w:id="1326" w:name="_Toc333238634"/>
      <w:bookmarkStart w:id="1327" w:name="_Toc336681581"/>
      <w:bookmarkStart w:id="1328" w:name="_Toc339020096"/>
      <w:bookmarkStart w:id="1329" w:name="_Toc339020016"/>
      <w:bookmarkStart w:id="1330" w:name="_Toc345513902"/>
      <w:bookmarkStart w:id="1331" w:name="_Toc342060375"/>
      <w:bookmarkStart w:id="1332" w:name="_Toc330459986"/>
      <w:bookmarkStart w:id="1333" w:name="_Toc342296761"/>
      <w:bookmarkStart w:id="1334" w:name="_Toc336681936"/>
      <w:bookmarkStart w:id="1335" w:name="_Toc339441088"/>
      <w:bookmarkStart w:id="1336" w:name="_Toc332270347"/>
      <w:bookmarkStart w:id="1337" w:name="_Toc337632359"/>
      <w:bookmarkStart w:id="1338" w:name="_Toc333935347"/>
      <w:bookmarkStart w:id="1339" w:name="_Toc340507443"/>
      <w:bookmarkStart w:id="1340" w:name="_Toc341348339"/>
      <w:bookmarkStart w:id="1341" w:name="_Toc333935688"/>
      <w:bookmarkStart w:id="1342" w:name="_Toc331512899"/>
      <w:bookmarkStart w:id="1343" w:name="_Toc331684039"/>
      <w:bookmarkStart w:id="1344" w:name="_Toc333237678"/>
      <w:bookmarkStart w:id="1345" w:name="_Toc340677071"/>
      <w:bookmarkStart w:id="1346" w:name="_Toc339019890"/>
      <w:bookmarkStart w:id="1347" w:name="_Toc333237789"/>
      <w:bookmarkStart w:id="1348" w:name="_Toc340672870"/>
      <w:bookmarkStart w:id="1349" w:name="_Toc339362301"/>
      <w:r>
        <w:rPr>
          <w:rFonts w:hint="eastAsia"/>
          <w:color w:val="000000" w:themeColor="text1"/>
          <w:highlight w:val="none"/>
        </w:rPr>
        <w:t>评标注意事项</w:t>
      </w:r>
      <w:bookmarkEnd w:id="1320"/>
      <w:bookmarkEnd w:id="1321"/>
      <w:bookmarkEnd w:id="1322"/>
      <w:bookmarkEnd w:id="1323"/>
    </w:p>
    <w:bookmarkEnd w:id="35"/>
    <w:bookmarkEnd w:id="1317"/>
    <w:bookmarkEnd w:id="1318"/>
    <w:bookmarkEnd w:id="1319"/>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50" w:name="_Toc500861027"/>
      <w:bookmarkStart w:id="1351" w:name="_Toc6727972"/>
      <w:bookmarkStart w:id="1352" w:name="_Toc26066260"/>
      <w:bookmarkStart w:id="1353" w:name="_Toc491658680"/>
      <w:bookmarkStart w:id="1354" w:name="_Toc6397151"/>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2"/>
        <w:numPr>
          <w:ilvl w:val="4"/>
          <w:numId w:val="26"/>
        </w:numPr>
        <w:tabs>
          <w:tab w:val="left" w:pos="720"/>
        </w:tabs>
        <w:spacing w:before="240" w:after="120"/>
        <w:ind w:left="2432" w:hanging="2432"/>
        <w:rPr>
          <w:color w:val="000000" w:themeColor="text1"/>
          <w:highlight w:val="none"/>
        </w:rPr>
      </w:pPr>
      <w:bookmarkStart w:id="1355" w:name="_Toc365967074"/>
      <w:bookmarkStart w:id="1356" w:name="_Toc339019891"/>
      <w:bookmarkStart w:id="1357" w:name="_Toc336681582"/>
      <w:bookmarkStart w:id="1358" w:name="_Toc333238635"/>
      <w:bookmarkStart w:id="1359" w:name="_Toc339020097"/>
      <w:bookmarkStart w:id="1360" w:name="_Toc13293"/>
      <w:bookmarkStart w:id="1361" w:name="_Toc333237790"/>
      <w:bookmarkStart w:id="1362" w:name="_Toc349127628"/>
      <w:bookmarkStart w:id="1363" w:name="_Toc365985180"/>
      <w:bookmarkStart w:id="1364" w:name="_Toc349143591"/>
      <w:bookmarkStart w:id="1365" w:name="_Toc340677072"/>
      <w:bookmarkStart w:id="1366" w:name="_Toc330459987"/>
      <w:bookmarkStart w:id="1367" w:name="_Toc337632360"/>
      <w:bookmarkStart w:id="1368" w:name="_Toc340672871"/>
      <w:bookmarkStart w:id="1369" w:name="_Toc331512900"/>
      <w:bookmarkStart w:id="1370" w:name="_Toc339441089"/>
      <w:bookmarkStart w:id="1371" w:name="_Toc350438751"/>
      <w:bookmarkStart w:id="1372" w:name="_Toc340507444"/>
      <w:bookmarkStart w:id="1373" w:name="_Toc345513903"/>
      <w:bookmarkStart w:id="1374" w:name="_Toc339362302"/>
      <w:bookmarkStart w:id="1375" w:name="_Toc332206710"/>
      <w:bookmarkStart w:id="1376" w:name="_Toc342060376"/>
      <w:bookmarkStart w:id="1377" w:name="_Toc350756452"/>
      <w:bookmarkStart w:id="1378" w:name="_Toc332270348"/>
      <w:bookmarkStart w:id="1379" w:name="_Toc339020235"/>
      <w:bookmarkStart w:id="1380" w:name="_Toc339020017"/>
      <w:bookmarkStart w:id="1381" w:name="_Toc333935348"/>
      <w:bookmarkStart w:id="1382" w:name="_Toc333935689"/>
      <w:bookmarkStart w:id="1383" w:name="_Toc342296762"/>
      <w:bookmarkStart w:id="1384" w:name="_Toc374454602"/>
      <w:bookmarkStart w:id="1385" w:name="_Toc331684040"/>
      <w:bookmarkStart w:id="1386" w:name="_Toc333237679"/>
      <w:bookmarkStart w:id="1387" w:name="_Toc341348340"/>
      <w:bookmarkStart w:id="1388" w:name="_Toc366072530"/>
      <w:bookmarkStart w:id="1389" w:name="_Toc336681937"/>
      <w:r>
        <w:rPr>
          <w:rFonts w:hint="eastAsia"/>
          <w:color w:val="000000" w:themeColor="text1"/>
          <w:highlight w:val="none"/>
        </w:rPr>
        <w:t>接受和拒绝投标的权利</w:t>
      </w:r>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如果招标时出现投标人不足三家或者没有合格投标人的情况，依照《中华人民共和国政府采购法》、《政府采购货物和服务招标投标管理办法》及《广东省实施〈</w:t>
      </w:r>
      <w:r>
        <w:rPr>
          <w:rFonts w:hint="eastAsia"/>
          <w:color w:val="000000" w:themeColor="text1"/>
          <w:highlight w:val="none"/>
        </w:rPr>
        <w:t>中华人民共和国政府采购法</w:t>
      </w:r>
      <w:r>
        <w:rPr>
          <w:rFonts w:hint="eastAsia" w:ascii="宋体" w:hAnsi="宋体"/>
          <w:bCs/>
          <w:color w:val="000000" w:themeColor="text1"/>
          <w:highlight w:val="none"/>
        </w:rPr>
        <w:t>〉办法》等有关规定，代理采购机构将重新组织招标或采用政府采购管理部门依法批准的其他政府采购方式进行采购。</w:t>
      </w:r>
    </w:p>
    <w:p>
      <w:pPr>
        <w:pStyle w:val="2"/>
        <w:numPr>
          <w:ilvl w:val="4"/>
          <w:numId w:val="26"/>
        </w:numPr>
        <w:tabs>
          <w:tab w:val="left" w:pos="720"/>
        </w:tabs>
        <w:spacing w:before="240" w:after="120"/>
        <w:ind w:left="2432" w:hanging="2432"/>
        <w:rPr>
          <w:color w:val="000000" w:themeColor="text1"/>
          <w:highlight w:val="none"/>
        </w:rPr>
      </w:pPr>
      <w:bookmarkStart w:id="1390" w:name="_Toc366072531"/>
      <w:bookmarkStart w:id="1391" w:name="_Toc374454603"/>
      <w:bookmarkStart w:id="1392" w:name="_Toc24697"/>
      <w:r>
        <w:rPr>
          <w:rFonts w:hint="eastAsia"/>
          <w:color w:val="000000" w:themeColor="text1"/>
          <w:highlight w:val="none"/>
        </w:rPr>
        <w:t>发布中标结果公告和发放中标通知书</w:t>
      </w:r>
      <w:bookmarkEnd w:id="1390"/>
      <w:bookmarkEnd w:id="1391"/>
      <w:bookmarkEnd w:id="1392"/>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93"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94" w:name="_Hlk499218799"/>
      <w:r>
        <w:rPr>
          <w:rFonts w:hint="eastAsia" w:ascii="宋体" w:hAnsi="宋体"/>
          <w:color w:val="000000" w:themeColor="text1"/>
          <w:szCs w:val="21"/>
          <w:highlight w:val="none"/>
        </w:rPr>
        <w:t>将于指定媒体上公告</w:t>
      </w:r>
      <w:bookmarkEnd w:id="1394"/>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2"/>
        <w:numPr>
          <w:ilvl w:val="4"/>
          <w:numId w:val="26"/>
        </w:numPr>
        <w:tabs>
          <w:tab w:val="left" w:pos="720"/>
        </w:tabs>
        <w:spacing w:before="240" w:after="120"/>
        <w:ind w:left="2432" w:hanging="2432"/>
        <w:rPr>
          <w:color w:val="000000" w:themeColor="text1"/>
          <w:highlight w:val="none"/>
        </w:rPr>
      </w:pPr>
      <w:bookmarkStart w:id="1395" w:name="_Toc24210"/>
      <w:bookmarkStart w:id="1396" w:name="_Toc374454604"/>
      <w:r>
        <w:rPr>
          <w:rFonts w:hint="eastAsia"/>
          <w:color w:val="000000" w:themeColor="text1"/>
          <w:highlight w:val="none"/>
        </w:rPr>
        <w:t>投标人对中标结果的质疑、投诉</w:t>
      </w:r>
      <w:bookmarkEnd w:id="1393"/>
      <w:bookmarkEnd w:id="1395"/>
      <w:bookmarkEnd w:id="139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97" w:name="_Toc339020020"/>
      <w:bookmarkStart w:id="1398" w:name="_Toc332206713"/>
      <w:bookmarkStart w:id="1399" w:name="_Toc342060379"/>
      <w:bookmarkStart w:id="1400" w:name="_Toc339441092"/>
      <w:bookmarkStart w:id="1401" w:name="_Toc345513906"/>
      <w:bookmarkStart w:id="1402" w:name="_Toc365985183"/>
      <w:bookmarkStart w:id="1403" w:name="_Toc349127631"/>
      <w:bookmarkStart w:id="1404" w:name="_Toc333237682"/>
      <w:bookmarkStart w:id="1405" w:name="_Toc336681585"/>
      <w:bookmarkStart w:id="1406" w:name="_Toc336681940"/>
      <w:bookmarkStart w:id="1407" w:name="_Toc340672874"/>
      <w:bookmarkStart w:id="1408" w:name="_Toc333237793"/>
      <w:bookmarkStart w:id="1409" w:name="_Toc339019894"/>
      <w:bookmarkStart w:id="1410" w:name="_Toc333935692"/>
      <w:bookmarkStart w:id="1411" w:name="_Toc341348343"/>
      <w:bookmarkStart w:id="1412" w:name="_Toc340507447"/>
      <w:bookmarkStart w:id="1413" w:name="_Toc333238638"/>
      <w:bookmarkStart w:id="1414" w:name="_Toc342296765"/>
      <w:bookmarkStart w:id="1415" w:name="_Toc331684043"/>
      <w:bookmarkStart w:id="1416" w:name="_Toc333935351"/>
      <w:bookmarkStart w:id="1417" w:name="_Toc337632363"/>
      <w:bookmarkStart w:id="1418" w:name="_Toc332270351"/>
      <w:bookmarkStart w:id="1419" w:name="_Toc350438754"/>
      <w:bookmarkStart w:id="1420" w:name="_Toc349143594"/>
      <w:bookmarkStart w:id="1421" w:name="_Toc365967077"/>
      <w:bookmarkStart w:id="1422" w:name="_Toc330459990"/>
      <w:bookmarkStart w:id="1423" w:name="_Toc340677075"/>
      <w:bookmarkStart w:id="1424" w:name="_Toc331512903"/>
      <w:bookmarkStart w:id="1425" w:name="_Toc350756455"/>
      <w:bookmarkStart w:id="1426" w:name="_Toc339020238"/>
      <w:bookmarkStart w:id="1427" w:name="_Toc339020100"/>
      <w:bookmarkStart w:id="1428" w:name="_Toc33936230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rPr>
      </w:pPr>
      <w:bookmarkStart w:id="1429" w:name="_Toc374454605"/>
      <w:bookmarkStart w:id="1430" w:name="_Toc366072533"/>
      <w:r>
        <w:rPr>
          <w:color w:val="000000" w:themeColor="text1"/>
          <w:sz w:val="24"/>
          <w:highlight w:val="none"/>
        </w:rPr>
        <w:br w:type="page"/>
      </w:r>
      <w:bookmarkStart w:id="1431" w:name="_Toc11388"/>
      <w:r>
        <w:rPr>
          <w:rFonts w:hint="eastAsia"/>
          <w:color w:val="000000" w:themeColor="text1"/>
          <w:sz w:val="24"/>
          <w:highlight w:val="none"/>
        </w:rPr>
        <w:t>Ｆ  授予合同</w:t>
      </w:r>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pPr>
        <w:pStyle w:val="2"/>
        <w:numPr>
          <w:ilvl w:val="4"/>
          <w:numId w:val="26"/>
        </w:numPr>
        <w:tabs>
          <w:tab w:val="left" w:pos="720"/>
        </w:tabs>
        <w:spacing w:before="240" w:after="120"/>
        <w:ind w:left="2432" w:hanging="2432"/>
        <w:rPr>
          <w:color w:val="000000" w:themeColor="text1"/>
          <w:highlight w:val="none"/>
        </w:rPr>
      </w:pPr>
      <w:bookmarkStart w:id="1432" w:name="_Toc337632364"/>
      <w:bookmarkStart w:id="1433" w:name="_Toc366072534"/>
      <w:bookmarkStart w:id="1434" w:name="_Toc340507448"/>
      <w:bookmarkStart w:id="1435" w:name="_Toc339020021"/>
      <w:bookmarkStart w:id="1436" w:name="_Toc350438755"/>
      <w:bookmarkStart w:id="1437" w:name="_Toc331512904"/>
      <w:bookmarkStart w:id="1438" w:name="_Toc374454606"/>
      <w:bookmarkStart w:id="1439" w:name="_Toc468606048"/>
      <w:bookmarkStart w:id="1440" w:name="_Toc336681941"/>
      <w:bookmarkStart w:id="1441" w:name="_Toc467236759"/>
      <w:bookmarkStart w:id="1442" w:name="_Toc339362306"/>
      <w:bookmarkStart w:id="1443" w:name="_Toc342296766"/>
      <w:bookmarkStart w:id="1444" w:name="_Toc339020101"/>
      <w:bookmarkStart w:id="1445" w:name="_Toc468157555"/>
      <w:bookmarkStart w:id="1446" w:name="_Toc480010727"/>
      <w:bookmarkStart w:id="1447" w:name="_Toc349143595"/>
      <w:bookmarkStart w:id="1448" w:name="_Toc330459991"/>
      <w:bookmarkStart w:id="1449" w:name="_Toc12238"/>
      <w:bookmarkStart w:id="1450" w:name="_Toc339020239"/>
      <w:bookmarkStart w:id="1451" w:name="_Toc350756456"/>
      <w:bookmarkStart w:id="1452" w:name="_Toc333238639"/>
      <w:bookmarkStart w:id="1453" w:name="_Toc332206714"/>
      <w:bookmarkStart w:id="1454" w:name="_Toc342060380"/>
      <w:bookmarkStart w:id="1455" w:name="_Toc340677076"/>
      <w:bookmarkStart w:id="1456" w:name="_Toc341348344"/>
      <w:bookmarkStart w:id="1457" w:name="_Toc491658670"/>
      <w:bookmarkStart w:id="1458" w:name="_Toc480020276"/>
      <w:bookmarkStart w:id="1459" w:name="_Toc339441093"/>
      <w:bookmarkStart w:id="1460" w:name="_Toc333237683"/>
      <w:bookmarkStart w:id="1461" w:name="_Toc365967078"/>
      <w:bookmarkStart w:id="1462" w:name="_Toc365985184"/>
      <w:bookmarkStart w:id="1463" w:name="_Toc336681586"/>
      <w:bookmarkStart w:id="1464" w:name="_Toc333237794"/>
      <w:bookmarkStart w:id="1465" w:name="_Toc345513907"/>
      <w:bookmarkStart w:id="1466" w:name="_Toc467987842"/>
      <w:bookmarkStart w:id="1467" w:name="_Toc479991601"/>
      <w:bookmarkStart w:id="1468" w:name="_Toc480021072"/>
      <w:bookmarkStart w:id="1469" w:name="_Toc332270352"/>
      <w:bookmarkStart w:id="1470" w:name="_Toc500861016"/>
      <w:bookmarkStart w:id="1471" w:name="_Toc340672875"/>
      <w:bookmarkStart w:id="1472" w:name="_Toc333935693"/>
      <w:bookmarkStart w:id="1473" w:name="_Toc339019895"/>
      <w:bookmarkStart w:id="1474" w:name="_Toc333935352"/>
      <w:bookmarkStart w:id="1475" w:name="_Toc331684044"/>
      <w:bookmarkStart w:id="1476" w:name="_Toc349127632"/>
      <w:bookmarkStart w:id="1477" w:name="_Toc454701400"/>
      <w:bookmarkStart w:id="1478" w:name="_Toc458262633"/>
      <w:r>
        <w:rPr>
          <w:rFonts w:hint="eastAsia"/>
          <w:color w:val="000000" w:themeColor="text1"/>
          <w:highlight w:val="none"/>
        </w:rPr>
        <w:t>合同授予标准</w:t>
      </w:r>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77"/>
    <w:bookmarkEnd w:id="1478"/>
    <w:p>
      <w:pPr>
        <w:pStyle w:val="2"/>
        <w:numPr>
          <w:ilvl w:val="4"/>
          <w:numId w:val="26"/>
        </w:numPr>
        <w:tabs>
          <w:tab w:val="left" w:pos="720"/>
        </w:tabs>
        <w:spacing w:before="240" w:after="120"/>
        <w:ind w:left="2432" w:hanging="2432"/>
        <w:rPr>
          <w:color w:val="000000" w:themeColor="text1"/>
          <w:highlight w:val="none"/>
        </w:rPr>
      </w:pPr>
      <w:bookmarkStart w:id="1479" w:name="_Toc454701402"/>
      <w:bookmarkStart w:id="1480" w:name="_Toc365985185"/>
      <w:bookmarkStart w:id="1481" w:name="_Toc333935694"/>
      <w:bookmarkStart w:id="1482" w:name="_Toc468606052"/>
      <w:bookmarkStart w:id="1483" w:name="_Toc332206715"/>
      <w:bookmarkStart w:id="1484" w:name="_Toc467236763"/>
      <w:bookmarkStart w:id="1485" w:name="_Toc458262635"/>
      <w:bookmarkStart w:id="1486" w:name="_Toc339441094"/>
      <w:bookmarkStart w:id="1487" w:name="_Toc339362307"/>
      <w:bookmarkStart w:id="1488" w:name="_Toc500861020"/>
      <w:bookmarkStart w:id="1489" w:name="_Toc331684045"/>
      <w:bookmarkStart w:id="1490" w:name="_Toc468157559"/>
      <w:bookmarkStart w:id="1491" w:name="_Toc331512905"/>
      <w:bookmarkStart w:id="1492" w:name="_Toc339020240"/>
      <w:bookmarkStart w:id="1493" w:name="_Toc333935353"/>
      <w:bookmarkStart w:id="1494" w:name="_Toc349143596"/>
      <w:bookmarkStart w:id="1495" w:name="_Toc336681587"/>
      <w:bookmarkStart w:id="1496" w:name="_Toc480021076"/>
      <w:bookmarkStart w:id="1497" w:name="_Toc339020022"/>
      <w:bookmarkStart w:id="1498" w:name="_Toc332270353"/>
      <w:bookmarkStart w:id="1499" w:name="_Toc342060381"/>
      <w:bookmarkStart w:id="1500" w:name="_Toc350438756"/>
      <w:bookmarkStart w:id="1501" w:name="_Toc330459992"/>
      <w:bookmarkStart w:id="1502" w:name="_Toc340672876"/>
      <w:bookmarkStart w:id="1503" w:name="_Toc345513908"/>
      <w:bookmarkStart w:id="1504" w:name="_Toc374454607"/>
      <w:bookmarkStart w:id="1505" w:name="_Toc480020280"/>
      <w:bookmarkStart w:id="1506" w:name="_Toc349127633"/>
      <w:bookmarkStart w:id="1507" w:name="_Toc340677077"/>
      <w:bookmarkStart w:id="1508" w:name="_Toc339020102"/>
      <w:bookmarkStart w:id="1509" w:name="_Toc340507449"/>
      <w:bookmarkStart w:id="1510" w:name="_Toc337632365"/>
      <w:bookmarkStart w:id="1511" w:name="_Toc365967079"/>
      <w:bookmarkStart w:id="1512" w:name="_Toc336681942"/>
      <w:bookmarkStart w:id="1513" w:name="_Toc479991605"/>
      <w:bookmarkStart w:id="1514" w:name="_Toc480010731"/>
      <w:bookmarkStart w:id="1515" w:name="_Toc339019896"/>
      <w:bookmarkStart w:id="1516" w:name="_Toc333237795"/>
      <w:bookmarkStart w:id="1517" w:name="_Toc333238640"/>
      <w:bookmarkStart w:id="1518" w:name="_Toc19867"/>
      <w:bookmarkStart w:id="1519" w:name="_Toc342296767"/>
      <w:bookmarkStart w:id="1520" w:name="_Toc366072535"/>
      <w:bookmarkStart w:id="1521" w:name="_Toc467987846"/>
      <w:bookmarkStart w:id="1522" w:name="_Toc491658674"/>
      <w:bookmarkStart w:id="1523" w:name="_Toc350756457"/>
      <w:bookmarkStart w:id="1524" w:name="_Toc341348345"/>
      <w:bookmarkStart w:id="1525" w:name="_Toc333237684"/>
      <w:r>
        <w:rPr>
          <w:rFonts w:hint="eastAsia"/>
          <w:color w:val="000000" w:themeColor="text1"/>
          <w:highlight w:val="none"/>
        </w:rPr>
        <w:t>签订合同</w:t>
      </w:r>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26" w:name="_Toc383069738"/>
      <w:bookmarkStart w:id="1527" w:name="_Toc366681897"/>
      <w:bookmarkStart w:id="1528" w:name="_Toc379896705"/>
      <w:bookmarkStart w:id="1529" w:name="_Toc372209289"/>
      <w:bookmarkStart w:id="1530" w:name="_Toc366072536"/>
      <w:bookmarkStart w:id="1531" w:name="_Toc377129068"/>
      <w:bookmarkStart w:id="1532" w:name="_Toc378261823"/>
      <w:bookmarkStart w:id="1533" w:name="_Toc374454608"/>
      <w:bookmarkStart w:id="1534" w:name="_Toc370983962"/>
      <w:bookmarkStart w:id="1535" w:name="_Toc374093632"/>
      <w:bookmarkStart w:id="1536" w:name="_Toc369700990"/>
      <w:bookmarkStart w:id="1537" w:name="_Toc370309169"/>
      <w:bookmarkStart w:id="1538" w:name="_Toc373401413"/>
      <w:bookmarkStart w:id="1539" w:name="_Toc367095382"/>
      <w:bookmarkStart w:id="1540" w:name="_Toc332206716"/>
      <w:bookmarkStart w:id="1541" w:name="_Toc336681943"/>
      <w:bookmarkStart w:id="1542" w:name="_Toc339020023"/>
      <w:bookmarkStart w:id="1543" w:name="_Toc337632366"/>
      <w:bookmarkStart w:id="1544" w:name="_Toc332270354"/>
      <w:bookmarkStart w:id="1545" w:name="_Toc350756458"/>
      <w:bookmarkStart w:id="1546" w:name="_Toc340677078"/>
      <w:bookmarkStart w:id="1547" w:name="_Toc342296768"/>
      <w:bookmarkStart w:id="1548" w:name="_Toc340672877"/>
      <w:bookmarkStart w:id="1549" w:name="_Toc349127634"/>
      <w:bookmarkStart w:id="1550" w:name="_Toc333935354"/>
      <w:bookmarkStart w:id="1551" w:name="_Toc339019897"/>
      <w:bookmarkStart w:id="1552" w:name="_Toc342060382"/>
      <w:bookmarkStart w:id="1553" w:name="_Toc339020103"/>
      <w:bookmarkStart w:id="1554" w:name="_Toc333237685"/>
      <w:bookmarkStart w:id="1555" w:name="_Toc336681588"/>
      <w:bookmarkStart w:id="1556" w:name="_Toc331684046"/>
      <w:bookmarkStart w:id="1557" w:name="_Toc330459993"/>
      <w:bookmarkStart w:id="1558" w:name="_Toc345513909"/>
      <w:bookmarkStart w:id="1559" w:name="_Toc339441095"/>
      <w:bookmarkStart w:id="1560" w:name="_Toc350438757"/>
      <w:bookmarkStart w:id="1561" w:name="_Toc333237796"/>
      <w:bookmarkStart w:id="1562" w:name="_Toc349143597"/>
      <w:bookmarkStart w:id="1563" w:name="_Toc365985186"/>
      <w:bookmarkStart w:id="1564" w:name="_Toc365967080"/>
      <w:bookmarkStart w:id="1565" w:name="_Toc340507450"/>
      <w:bookmarkStart w:id="1566" w:name="_Toc339020241"/>
      <w:bookmarkStart w:id="1567" w:name="_Toc333935695"/>
      <w:bookmarkStart w:id="1568" w:name="_Toc341348346"/>
      <w:bookmarkStart w:id="1569" w:name="_Toc333238641"/>
      <w:bookmarkStart w:id="1570" w:name="_Toc331512906"/>
      <w:bookmarkStart w:id="1571" w:name="_Toc339362308"/>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Pr>
        <w:pStyle w:val="4"/>
        <w:numPr>
          <w:ilvl w:val="0"/>
          <w:numId w:val="0"/>
        </w:numPr>
        <w:rPr>
          <w:color w:val="000000" w:themeColor="text1"/>
          <w:sz w:val="24"/>
          <w:highlight w:val="none"/>
        </w:rPr>
      </w:pPr>
      <w:bookmarkStart w:id="1572" w:name="_Toc432682726"/>
      <w:bookmarkStart w:id="1573" w:name="_Toc28699"/>
      <w:bookmarkStart w:id="1574" w:name="_Toc430771059"/>
      <w:bookmarkStart w:id="1575" w:name="_Toc491658677"/>
      <w:bookmarkStart w:id="1576" w:name="_Toc467236766"/>
      <w:bookmarkStart w:id="1577" w:name="_Toc468606055"/>
      <w:bookmarkStart w:id="1578" w:name="_Toc468157562"/>
      <w:bookmarkStart w:id="1579" w:name="_Toc467987849"/>
      <w:bookmarkStart w:id="1580" w:name="_Toc500861024"/>
      <w:bookmarkStart w:id="1581" w:name="_Toc479991608"/>
      <w:bookmarkStart w:id="1582" w:name="_Toc480020283"/>
      <w:bookmarkStart w:id="1583" w:name="_Toc480021079"/>
      <w:bookmarkStart w:id="1584" w:name="_Toc480010734"/>
      <w:r>
        <w:rPr>
          <w:color w:val="000000" w:themeColor="text1"/>
          <w:sz w:val="24"/>
          <w:highlight w:val="none"/>
        </w:rPr>
        <w:t>G</w:t>
      </w:r>
      <w:r>
        <w:rPr>
          <w:rFonts w:hint="eastAsia"/>
          <w:color w:val="000000" w:themeColor="text1"/>
          <w:sz w:val="24"/>
          <w:highlight w:val="none"/>
        </w:rPr>
        <w:t>、政府采购政策</w:t>
      </w:r>
      <w:bookmarkEnd w:id="1572"/>
      <w:bookmarkEnd w:id="1573"/>
      <w:bookmarkEnd w:id="1574"/>
    </w:p>
    <w:p>
      <w:pPr>
        <w:spacing w:line="360" w:lineRule="auto"/>
        <w:ind w:left="735" w:hanging="735" w:hangingChars="350"/>
        <w:rPr>
          <w:rFonts w:ascii="宋体" w:hAnsi="宋体" w:cs="宋体"/>
          <w:color w:val="000000" w:themeColor="text1"/>
          <w:highlight w:val="none"/>
        </w:rPr>
      </w:pPr>
      <w:bookmarkStart w:id="1585" w:name="_Toc430771060"/>
      <w:bookmarkStart w:id="1586" w:name="_Toc430185803"/>
      <w:r>
        <w:rPr>
          <w:rFonts w:hint="eastAsia" w:ascii="宋体" w:hAnsi="宋体" w:cs="宋体"/>
          <w:color w:val="000000" w:themeColor="text1"/>
          <w:highlight w:val="none"/>
        </w:rPr>
        <w:t xml:space="preserve">34     </w:t>
      </w:r>
      <w:bookmarkStart w:id="1587" w:name="_Hlk499217741"/>
      <w:r>
        <w:rPr>
          <w:rFonts w:hint="eastAsia" w:ascii="宋体" w:hAnsi="宋体" w:cs="宋体"/>
          <w:color w:val="000000" w:themeColor="text1"/>
          <w:highlight w:val="none"/>
        </w:rPr>
        <w:t>若没有明示采购进口产品的，则视为采购产品为非进口产品（进口产品指中国海关验放进入中国境内且产自关境外的产品）。</w:t>
      </w:r>
      <w:bookmarkEnd w:id="1585"/>
      <w:bookmarkEnd w:id="1586"/>
      <w:bookmarkEnd w:id="1587"/>
    </w:p>
    <w:p>
      <w:pPr>
        <w:spacing w:line="360" w:lineRule="auto"/>
        <w:ind w:left="735" w:hanging="735" w:hangingChars="350"/>
        <w:rPr>
          <w:rFonts w:ascii="宋体" w:hAnsi="宋体" w:cs="宋体"/>
          <w:color w:val="000000" w:themeColor="text1"/>
          <w:highlight w:val="none"/>
        </w:rPr>
      </w:pPr>
      <w:bookmarkStart w:id="1588" w:name="_Toc430771061"/>
      <w:bookmarkStart w:id="1589" w:name="_Toc430185804"/>
      <w:r>
        <w:rPr>
          <w:rFonts w:hint="eastAsia" w:ascii="宋体" w:hAnsi="宋体" w:cs="宋体"/>
          <w:color w:val="000000" w:themeColor="text1"/>
          <w:highlight w:val="none"/>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88"/>
      <w:bookmarkEnd w:id="1589"/>
    </w:p>
    <w:p>
      <w:pPr>
        <w:spacing w:line="360" w:lineRule="auto"/>
        <w:ind w:left="735" w:hanging="735" w:hangingChars="350"/>
        <w:rPr>
          <w:rFonts w:ascii="宋体" w:hAnsi="宋体" w:cs="宋体"/>
          <w:color w:val="000000" w:themeColor="text1"/>
          <w:highlight w:val="none"/>
        </w:rPr>
      </w:pPr>
      <w:bookmarkStart w:id="1590" w:name="_Toc430185805"/>
      <w:bookmarkStart w:id="1591" w:name="_Toc430771062"/>
      <w:r>
        <w:rPr>
          <w:rFonts w:hint="eastAsia" w:ascii="宋体" w:hAnsi="宋体" w:cs="宋体"/>
          <w:color w:val="000000" w:themeColor="text1"/>
          <w:highlight w:val="none"/>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http://www.ccgp.gov.cn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Fonts w:hint="eastAsia" w:ascii="宋体" w:hAnsi="宋体" w:cs="宋体"/>
          <w:color w:val="000000" w:themeColor="text1"/>
          <w:highlight w:val="none"/>
        </w:rPr>
        <w:t>http://www.sepa.gov.cn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Fonts w:hint="eastAsia" w:ascii="宋体" w:hAnsi="宋体" w:cs="宋体"/>
          <w:color w:val="000000" w:themeColor="text1"/>
          <w:highlight w:val="none"/>
        </w:rPr>
        <w:t>http://www.cgpn.cn</w:t>
      </w:r>
      <w:r>
        <w:rPr>
          <w:rFonts w:hint="eastAsia" w:ascii="宋体" w:hAnsi="宋体" w:cs="宋体"/>
          <w:color w:val="000000" w:themeColor="text1"/>
          <w:highlight w:val="none"/>
        </w:rPr>
        <w:fldChar w:fldCharType="end"/>
      </w:r>
      <w:r>
        <w:rPr>
          <w:rFonts w:hint="eastAsia" w:ascii="宋体" w:hAnsi="宋体" w:cs="宋体"/>
          <w:color w:val="000000" w:themeColor="text1"/>
          <w:highlight w:val="none"/>
        </w:rPr>
        <w:t>/）上发布。</w:t>
      </w:r>
      <w:bookmarkEnd w:id="1590"/>
      <w:bookmarkEnd w:id="1591"/>
    </w:p>
    <w:p>
      <w:pPr>
        <w:spacing w:line="360" w:lineRule="auto"/>
        <w:ind w:left="735" w:hanging="735" w:hangingChars="350"/>
        <w:rPr>
          <w:rFonts w:ascii="宋体" w:hAnsi="宋体" w:cs="宋体"/>
          <w:color w:val="000000" w:themeColor="text1"/>
          <w:highlight w:val="none"/>
        </w:rPr>
      </w:pPr>
      <w:bookmarkStart w:id="1592" w:name="_Toc430771063"/>
      <w:bookmarkStart w:id="1593" w:name="_Toc430185806"/>
      <w:r>
        <w:rPr>
          <w:rFonts w:hint="eastAsia" w:ascii="宋体" w:hAnsi="宋体" w:cs="宋体"/>
          <w:color w:val="000000" w:themeColor="text1"/>
          <w:highlight w:val="none"/>
        </w:rPr>
        <w:t>37     根据《关于印发《政府采购促进中小企业发展管理方法》的通知》（财库[2020]46号）的规定，投标人投标时需注意：</w:t>
      </w:r>
      <w:bookmarkEnd w:id="1592"/>
      <w:bookmarkEnd w:id="1593"/>
    </w:p>
    <w:p>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ascii="宋体" w:hAnsi="宋体" w:cs="宋体"/>
          <w:bCs/>
          <w:color w:val="000000" w:themeColor="text1"/>
          <w:highlight w:val="none"/>
        </w:rPr>
      </w:pPr>
      <w:r>
        <w:rPr>
          <w:rFonts w:hint="eastAsia" w:ascii="宋体" w:hAnsi="宋体" w:cs="宋体"/>
          <w:bCs/>
          <w:color w:val="000000" w:themeColor="text1"/>
          <w:highlight w:val="none"/>
        </w:rPr>
        <w:t>37.2   参加政府采购活动的中小企业投标时需提供《中小企业声明函》。否则不予认可。</w:t>
      </w:r>
    </w:p>
    <w:p>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ascii="宋体" w:hAnsi="宋体" w:cs="宋体"/>
          <w:bCs/>
          <w:color w:val="000000" w:themeColor="text1"/>
          <w:highlight w:val="none"/>
        </w:rPr>
      </w:pPr>
      <w:r>
        <w:rPr>
          <w:rFonts w:hint="eastAsia" w:ascii="宋体" w:hAnsi="宋体" w:cs="宋体"/>
          <w:bCs/>
          <w:color w:val="000000" w:themeColor="text1"/>
          <w:highlight w:val="none"/>
        </w:rPr>
        <w:t>37.5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rPr>
              <w:t>6%</w:t>
            </w:r>
            <w:r>
              <w:rPr>
                <w:rFonts w:hint="eastAsia" w:ascii="宋体" w:hAnsi="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对联合体总金额扣除</w:t>
            </w:r>
            <w:r>
              <w:rPr>
                <w:rFonts w:hint="eastAsia" w:ascii="宋体" w:hAnsi="宋体" w:cs="宋体"/>
                <w:color w:val="000000" w:themeColor="text1"/>
                <w:szCs w:val="21"/>
                <w:highlight w:val="none"/>
                <w:u w:val="single"/>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000000" w:themeColor="text1"/>
                <w:szCs w:val="21"/>
                <w:highlight w:val="none"/>
              </w:rPr>
            </w:pPr>
            <w:r>
              <w:rPr>
                <w:rFonts w:hint="eastAsia" w:ascii="宋体" w:hAnsi="宋体" w:cs="宋体"/>
                <w:color w:val="000000" w:themeColor="text1"/>
                <w:szCs w:val="21"/>
                <w:highlight w:val="none"/>
              </w:rPr>
              <w:t>评标价=总投标报价×（</w:t>
            </w:r>
            <w:r>
              <w:rPr>
                <w:rFonts w:hint="eastAsia" w:ascii="宋体" w:hAnsi="宋体" w:cs="宋体"/>
                <w:color w:val="000000" w:themeColor="text1"/>
                <w:szCs w:val="21"/>
                <w:highlight w:val="none"/>
                <w:u w:val="single"/>
              </w:rPr>
              <w:t>1-2%</w:t>
            </w:r>
            <w:r>
              <w:rPr>
                <w:rFonts w:hint="eastAsia" w:ascii="宋体" w:hAnsi="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0"/>
          <w:numId w:val="0"/>
        </w:numPr>
        <w:rPr>
          <w:color w:val="000000" w:themeColor="text1"/>
          <w:sz w:val="24"/>
          <w:highlight w:val="none"/>
        </w:rPr>
      </w:pPr>
      <w:bookmarkStart w:id="1594" w:name="_Toc31572"/>
      <w:r>
        <w:rPr>
          <w:rFonts w:hint="eastAsia"/>
          <w:color w:val="000000" w:themeColor="text1"/>
          <w:sz w:val="24"/>
          <w:highlight w:val="none"/>
        </w:rPr>
        <w:t>H、评标细则</w:t>
      </w:r>
      <w:bookmarkEnd w:id="1594"/>
    </w:p>
    <w:p>
      <w:pPr>
        <w:pStyle w:val="25"/>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8"/>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spacing w:line="360" w:lineRule="auto"/>
        <w:jc w:val="left"/>
        <w:rPr>
          <w:rFonts w:ascii="宋体" w:hAnsi="宋体" w:cs="宋体"/>
          <w:b/>
          <w:bCs/>
          <w:color w:val="000000" w:themeColor="text1"/>
          <w:highlight w:val="none"/>
        </w:rPr>
      </w:pPr>
    </w:p>
    <w:p>
      <w:pPr>
        <w:spacing w:line="360" w:lineRule="auto"/>
        <w:jc w:val="left"/>
        <w:rPr>
          <w:rFonts w:ascii="宋体" w:cs="宋体"/>
          <w:b/>
          <w:bCs/>
          <w:color w:val="000000" w:themeColor="text1"/>
          <w:szCs w:val="21"/>
          <w:highlight w:val="none"/>
        </w:rPr>
      </w:pPr>
      <w:r>
        <w:rPr>
          <w:rFonts w:hint="eastAsia" w:ascii="宋体" w:hAnsi="宋体" w:cs="宋体"/>
          <w:b/>
          <w:bCs/>
          <w:color w:val="000000" w:themeColor="text1"/>
          <w:highlight w:val="none"/>
        </w:rPr>
        <w:t>（</w:t>
      </w:r>
      <w:r>
        <w:rPr>
          <w:rFonts w:ascii="宋体" w:hAnsi="宋体" w:cs="宋体"/>
          <w:b/>
          <w:bCs/>
          <w:color w:val="000000" w:themeColor="text1"/>
          <w:highlight w:val="none"/>
        </w:rPr>
        <w:t>01</w:t>
      </w:r>
      <w:r>
        <w:rPr>
          <w:rFonts w:hint="eastAsia" w:ascii="宋体" w:hAnsi="宋体" w:cs="宋体"/>
          <w:b/>
          <w:bCs/>
          <w:color w:val="000000" w:themeColor="text1"/>
          <w:highlight w:val="none"/>
        </w:rPr>
        <w:t>包组、</w:t>
      </w:r>
      <w:r>
        <w:rPr>
          <w:rFonts w:ascii="宋体" w:hAnsi="宋体" w:cs="宋体"/>
          <w:b/>
          <w:bCs/>
          <w:color w:val="000000" w:themeColor="text1"/>
          <w:highlight w:val="none"/>
        </w:rPr>
        <w:t>02</w:t>
      </w:r>
      <w:r>
        <w:rPr>
          <w:rFonts w:hint="eastAsia" w:ascii="宋体" w:hAnsi="宋体" w:cs="宋体"/>
          <w:b/>
          <w:bCs/>
          <w:color w:val="000000" w:themeColor="text1"/>
          <w:highlight w:val="none"/>
        </w:rPr>
        <w:t>包组）</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7"/>
        <w:tblW w:w="8921" w:type="dxa"/>
        <w:jc w:val="center"/>
        <w:tblLayout w:type="fixed"/>
        <w:tblCellMar>
          <w:top w:w="0" w:type="dxa"/>
          <w:left w:w="0" w:type="dxa"/>
          <w:bottom w:w="0" w:type="dxa"/>
          <w:right w:w="0" w:type="dxa"/>
        </w:tblCellMar>
      </w:tblPr>
      <w:tblGrid>
        <w:gridCol w:w="2570"/>
        <w:gridCol w:w="2297"/>
        <w:gridCol w:w="2102"/>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rPr>
            </w:pPr>
            <w:r>
              <w:rPr>
                <w:color w:val="000000" w:themeColor="text1"/>
                <w:kern w:val="0"/>
                <w:szCs w:val="21"/>
                <w:highlight w:val="none"/>
              </w:rPr>
              <w:t>评分项目</w:t>
            </w:r>
          </w:p>
        </w:tc>
        <w:tc>
          <w:tcPr>
            <w:tcW w:w="22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rPr>
            </w:pPr>
            <w:r>
              <w:rPr>
                <w:color w:val="000000" w:themeColor="text1"/>
                <w:kern w:val="0"/>
                <w:szCs w:val="21"/>
                <w:highlight w:val="none"/>
              </w:rPr>
              <w:t>技术评分</w:t>
            </w:r>
          </w:p>
        </w:tc>
        <w:tc>
          <w:tcPr>
            <w:tcW w:w="21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rPr>
            </w:pPr>
            <w:r>
              <w:rPr>
                <w:color w:val="000000" w:themeColor="text1"/>
                <w:kern w:val="0"/>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rPr>
            </w:pPr>
            <w:r>
              <w:rPr>
                <w:color w:val="000000" w:themeColor="text1"/>
                <w:kern w:val="0"/>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rPr>
            </w:pPr>
            <w:r>
              <w:rPr>
                <w:color w:val="000000" w:themeColor="text1"/>
                <w:kern w:val="0"/>
                <w:szCs w:val="21"/>
                <w:highlight w:val="none"/>
              </w:rPr>
              <w:t>分值</w:t>
            </w:r>
          </w:p>
        </w:tc>
        <w:tc>
          <w:tcPr>
            <w:tcW w:w="229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rPr>
            </w:pPr>
            <w:r>
              <w:rPr>
                <w:rFonts w:hint="eastAsia"/>
                <w:color w:val="000000" w:themeColor="text1"/>
                <w:kern w:val="0"/>
                <w:szCs w:val="21"/>
                <w:highlight w:val="none"/>
              </w:rPr>
              <w:t>55</w:t>
            </w:r>
            <w:r>
              <w:rPr>
                <w:color w:val="000000" w:themeColor="text1"/>
                <w:kern w:val="0"/>
                <w:szCs w:val="21"/>
                <w:highlight w:val="none"/>
              </w:rPr>
              <w:t>分</w:t>
            </w:r>
          </w:p>
        </w:tc>
        <w:tc>
          <w:tcPr>
            <w:tcW w:w="21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rPr>
            </w:pPr>
            <w:r>
              <w:rPr>
                <w:color w:val="000000" w:themeColor="text1"/>
                <w:kern w:val="0"/>
                <w:szCs w:val="21"/>
                <w:highlight w:val="none"/>
              </w:rPr>
              <w:t>3</w:t>
            </w:r>
            <w:r>
              <w:rPr>
                <w:rFonts w:hint="eastAsia"/>
                <w:color w:val="000000" w:themeColor="text1"/>
                <w:kern w:val="0"/>
                <w:szCs w:val="21"/>
                <w:highlight w:val="none"/>
              </w:rPr>
              <w:t>5</w:t>
            </w:r>
            <w:r>
              <w:rPr>
                <w:color w:val="000000" w:themeColor="text1"/>
                <w:kern w:val="0"/>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Cs w:val="21"/>
                <w:highlight w:val="none"/>
              </w:rPr>
            </w:pPr>
            <w:r>
              <w:rPr>
                <w:rFonts w:hint="eastAsia"/>
                <w:color w:val="000000" w:themeColor="text1"/>
                <w:kern w:val="0"/>
                <w:szCs w:val="21"/>
                <w:highlight w:val="none"/>
              </w:rPr>
              <w:t>10</w:t>
            </w:r>
            <w:r>
              <w:rPr>
                <w:color w:val="000000" w:themeColor="text1"/>
                <w:kern w:val="0"/>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7"/>
        <w:tblW w:w="9574" w:type="dxa"/>
        <w:jc w:val="center"/>
        <w:shd w:val="clear" w:color="auto" w:fill="FFFFFF"/>
        <w:tblLayout w:type="fixed"/>
        <w:tblCellMar>
          <w:top w:w="0" w:type="dxa"/>
          <w:left w:w="0" w:type="dxa"/>
          <w:bottom w:w="0" w:type="dxa"/>
          <w:right w:w="0" w:type="dxa"/>
        </w:tblCellMar>
      </w:tblPr>
      <w:tblGrid>
        <w:gridCol w:w="753"/>
        <w:gridCol w:w="1565"/>
        <w:gridCol w:w="832"/>
        <w:gridCol w:w="6424"/>
      </w:tblGrid>
      <w:tr>
        <w:tblPrEx>
          <w:shd w:val="clear" w:color="auto" w:fill="FFFFFF"/>
          <w:tblCellMar>
            <w:top w:w="0" w:type="dxa"/>
            <w:left w:w="0" w:type="dxa"/>
            <w:bottom w:w="0" w:type="dxa"/>
            <w:right w:w="0" w:type="dxa"/>
          </w:tblCellMar>
        </w:tblPrEx>
        <w:trPr>
          <w:cantSplit/>
          <w:trHeight w:val="460" w:hRule="atLeast"/>
          <w:tblHeader/>
          <w:jc w:val="center"/>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序号</w:t>
            </w:r>
          </w:p>
        </w:tc>
        <w:tc>
          <w:tcPr>
            <w:tcW w:w="15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评审内容</w:t>
            </w:r>
          </w:p>
        </w:tc>
        <w:tc>
          <w:tcPr>
            <w:tcW w:w="8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分值</w:t>
            </w:r>
          </w:p>
        </w:tc>
        <w:tc>
          <w:tcPr>
            <w:tcW w:w="64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评审标准</w:t>
            </w:r>
          </w:p>
        </w:tc>
      </w:tr>
      <w:tr>
        <w:tblPrEx>
          <w:shd w:val="clear" w:color="auto" w:fill="FFFFFF"/>
          <w:tblCellMar>
            <w:top w:w="0" w:type="dxa"/>
            <w:left w:w="0" w:type="dxa"/>
            <w:bottom w:w="0" w:type="dxa"/>
            <w:right w:w="0" w:type="dxa"/>
          </w:tblCellMar>
        </w:tblPrEx>
        <w:trPr>
          <w:cantSplit/>
          <w:trHeight w:val="285" w:hRule="atLeast"/>
          <w:jc w:val="center"/>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1</w:t>
            </w:r>
          </w:p>
        </w:tc>
        <w:tc>
          <w:tcPr>
            <w:tcW w:w="15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bCs/>
                <w:color w:val="000000" w:themeColor="text1"/>
                <w:highlight w:val="none"/>
              </w:rPr>
              <w:t>质量及安全控制方案</w:t>
            </w:r>
          </w:p>
        </w:tc>
        <w:tc>
          <w:tcPr>
            <w:tcW w:w="8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8分</w:t>
            </w:r>
          </w:p>
        </w:tc>
        <w:tc>
          <w:tcPr>
            <w:tcW w:w="64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kinsoku/>
              <w:wordWrap w:val="0"/>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投标人需提供完整的质量、安全保障措施方案（根据货物的来源、加工、包装、保存、运输各环节的质量保证措施进行评价）进行评审：</w:t>
            </w:r>
          </w:p>
          <w:p>
            <w:pPr>
              <w:keepNext w:val="0"/>
              <w:keepLines w:val="0"/>
              <w:pageBreakBefore w:val="0"/>
              <w:kinsoku/>
              <w:overflowPunct/>
              <w:topLinePunct w:val="0"/>
              <w:bidi w:val="0"/>
              <w:spacing w:line="32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1.提供的质量、安全保障措施方案完整且具有很强操作性的，得8分；</w:t>
            </w:r>
          </w:p>
          <w:p>
            <w:pPr>
              <w:keepNext w:val="0"/>
              <w:keepLines w:val="0"/>
              <w:pageBreakBefore w:val="0"/>
              <w:kinsoku/>
              <w:overflowPunct/>
              <w:topLinePunct w:val="0"/>
              <w:bidi w:val="0"/>
              <w:spacing w:line="32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2.提供的质量、安全保障措施方案较为完整，具有一定操作性的，得5分；</w:t>
            </w:r>
          </w:p>
          <w:p>
            <w:pPr>
              <w:keepNext w:val="0"/>
              <w:keepLines w:val="0"/>
              <w:pageBreakBefore w:val="0"/>
              <w:kinsoku/>
              <w:overflowPunct/>
              <w:topLinePunct w:val="0"/>
              <w:bidi w:val="0"/>
              <w:spacing w:line="32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3.提供的质量、安全保障措施方案不完整，操作性较差的，得2分；</w:t>
            </w:r>
          </w:p>
          <w:p>
            <w:pPr>
              <w:keepNext w:val="0"/>
              <w:keepLines w:val="0"/>
              <w:pageBreakBefore w:val="0"/>
              <w:kinsoku/>
              <w:overflowPunct/>
              <w:topLinePunct w:val="0"/>
              <w:bidi w:val="0"/>
              <w:spacing w:line="320" w:lineRule="exact"/>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4.未提供的，不得分。</w:t>
            </w:r>
          </w:p>
        </w:tc>
      </w:tr>
      <w:tr>
        <w:tblPrEx>
          <w:shd w:val="clear" w:color="auto" w:fill="FFFFFF"/>
          <w:tblCellMar>
            <w:top w:w="0" w:type="dxa"/>
            <w:left w:w="0" w:type="dxa"/>
            <w:bottom w:w="0" w:type="dxa"/>
            <w:right w:w="0" w:type="dxa"/>
          </w:tblCellMar>
        </w:tblPrEx>
        <w:trPr>
          <w:cantSplit/>
          <w:jc w:val="center"/>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2</w:t>
            </w:r>
          </w:p>
        </w:tc>
        <w:tc>
          <w:tcPr>
            <w:tcW w:w="15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kern w:val="0"/>
                <w:highlight w:val="none"/>
              </w:rPr>
              <w:t>服务方案</w:t>
            </w:r>
          </w:p>
        </w:tc>
        <w:tc>
          <w:tcPr>
            <w:tcW w:w="8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7分</w:t>
            </w:r>
          </w:p>
        </w:tc>
        <w:tc>
          <w:tcPr>
            <w:tcW w:w="64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kinsoku/>
              <w:overflowPunct/>
              <w:topLinePunct w:val="0"/>
              <w:autoSpaceDE w:val="0"/>
              <w:autoSpaceDN w:val="0"/>
              <w:bidi w:val="0"/>
              <w:adjustRightInd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对在食材配送服务方案进行评审：</w:t>
            </w:r>
          </w:p>
          <w:p>
            <w:pPr>
              <w:keepNext w:val="0"/>
              <w:keepLines w:val="0"/>
              <w:pageBreakBefore w:val="0"/>
              <w:kinsoku/>
              <w:overflowPunct/>
              <w:topLinePunct w:val="0"/>
              <w:autoSpaceDE w:val="0"/>
              <w:autoSpaceDN w:val="0"/>
              <w:bidi w:val="0"/>
              <w:adjustRightInd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1.实施流程详尽、清晰，方案的针对性和可行性强，有利于提高配送服务质量，可靠并具有很强的操作性的，得7分；</w:t>
            </w:r>
          </w:p>
          <w:p>
            <w:pPr>
              <w:keepNext w:val="0"/>
              <w:keepLines w:val="0"/>
              <w:pageBreakBefore w:val="0"/>
              <w:kinsoku/>
              <w:overflowPunct/>
              <w:topLinePunct w:val="0"/>
              <w:autoSpaceDE w:val="0"/>
              <w:autoSpaceDN w:val="0"/>
              <w:bidi w:val="0"/>
              <w:adjustRightInd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2.实施流程较全面、具体，方案基本可行，可保障基本的配送服务质量，预案具有操作性的，得4分；</w:t>
            </w:r>
          </w:p>
          <w:p>
            <w:pPr>
              <w:keepNext w:val="0"/>
              <w:keepLines w:val="0"/>
              <w:pageBreakBefore w:val="0"/>
              <w:kinsoku/>
              <w:overflowPunct/>
              <w:topLinePunct w:val="0"/>
              <w:autoSpaceDE w:val="0"/>
              <w:autoSpaceDN w:val="0"/>
              <w:bidi w:val="0"/>
              <w:adjustRightInd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3.实施流程全面但不具体，方案针对性不足，可行性较差，对配送服务质量的保障不足，预案操作性较差的，得1分；</w:t>
            </w:r>
          </w:p>
          <w:p>
            <w:pPr>
              <w:pStyle w:val="19"/>
              <w:keepNext w:val="0"/>
              <w:keepLines w:val="0"/>
              <w:pageBreakBefore w:val="0"/>
              <w:kinsoku/>
              <w:overflowPunct/>
              <w:topLinePunct w:val="0"/>
              <w:bidi w:val="0"/>
              <w:spacing w:line="320" w:lineRule="exact"/>
              <w:textAlignment w:val="auto"/>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eastAsia="zh-CN"/>
              </w:rPr>
              <w:t>注：不提供方案，不得分。</w:t>
            </w:r>
          </w:p>
        </w:tc>
      </w:tr>
      <w:tr>
        <w:tblPrEx>
          <w:shd w:val="clear" w:color="auto" w:fill="FFFFFF"/>
          <w:tblCellMar>
            <w:top w:w="0" w:type="dxa"/>
            <w:left w:w="0" w:type="dxa"/>
            <w:bottom w:w="0" w:type="dxa"/>
            <w:right w:w="0" w:type="dxa"/>
          </w:tblCellMar>
        </w:tblPrEx>
        <w:trPr>
          <w:cantSplit/>
          <w:jc w:val="center"/>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3</w:t>
            </w:r>
          </w:p>
        </w:tc>
        <w:tc>
          <w:tcPr>
            <w:tcW w:w="15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kern w:val="0"/>
                <w:highlight w:val="none"/>
              </w:rPr>
            </w:pPr>
            <w:r>
              <w:rPr>
                <w:rFonts w:hint="eastAsia" w:ascii="宋体" w:hAnsi="宋体" w:cs="宋体"/>
                <w:color w:val="000000" w:themeColor="text1"/>
                <w:kern w:val="0"/>
                <w:highlight w:val="none"/>
              </w:rPr>
              <w:t>食品流通环节应急方案</w:t>
            </w:r>
          </w:p>
        </w:tc>
        <w:tc>
          <w:tcPr>
            <w:tcW w:w="8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8分</w:t>
            </w:r>
          </w:p>
        </w:tc>
        <w:tc>
          <w:tcPr>
            <w:tcW w:w="64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 xml:space="preserve">根据各投标人针对食品流通环节过程可能会出现的问题作出的应急处理方案及补救措施进行评价。 </w:t>
            </w:r>
          </w:p>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1.方案详细、合理，流程清晰、可行性高，得8分；</w:t>
            </w:r>
          </w:p>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2.方案较详细、合理，流程较清晰、可行性较高，得5分；</w:t>
            </w:r>
          </w:p>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 xml:space="preserve">3.方案基本合理，流程基本可行，得2分； </w:t>
            </w:r>
          </w:p>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4.方案不合理、不可行或无提供方案的得0分。</w:t>
            </w:r>
          </w:p>
        </w:tc>
      </w:tr>
      <w:tr>
        <w:tblPrEx>
          <w:shd w:val="clear" w:color="auto" w:fill="FFFFFF"/>
          <w:tblCellMar>
            <w:top w:w="0" w:type="dxa"/>
            <w:left w:w="0" w:type="dxa"/>
            <w:bottom w:w="0" w:type="dxa"/>
            <w:right w:w="0" w:type="dxa"/>
          </w:tblCellMar>
        </w:tblPrEx>
        <w:trPr>
          <w:cantSplit/>
          <w:trHeight w:val="929" w:hRule="atLeast"/>
          <w:jc w:val="center"/>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4</w:t>
            </w:r>
          </w:p>
        </w:tc>
        <w:tc>
          <w:tcPr>
            <w:tcW w:w="15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kern w:val="0"/>
                <w:highlight w:val="none"/>
              </w:rPr>
            </w:pPr>
            <w:r>
              <w:rPr>
                <w:rFonts w:hint="eastAsia" w:ascii="宋体" w:hAnsi="宋体" w:cs="宋体"/>
                <w:color w:val="000000" w:themeColor="text1"/>
                <w:kern w:val="0"/>
                <w:highlight w:val="none"/>
              </w:rPr>
              <w:t>供应来源保障</w:t>
            </w:r>
          </w:p>
        </w:tc>
        <w:tc>
          <w:tcPr>
            <w:tcW w:w="8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5分</w:t>
            </w:r>
          </w:p>
        </w:tc>
        <w:tc>
          <w:tcPr>
            <w:tcW w:w="64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投标人采购生猪数量情况（以2019年或2020年为准）</w:t>
            </w:r>
          </w:p>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大于或等于10000头，得5分；</w:t>
            </w:r>
          </w:p>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小于10000头，大于或等于5000头，得3分；</w:t>
            </w:r>
          </w:p>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小于5000头，大于或等于1000头，得1分；</w:t>
            </w:r>
          </w:p>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小于1000头或不提供证明材料不得分。</w:t>
            </w:r>
          </w:p>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b/>
                <w:bCs/>
                <w:color w:val="000000" w:themeColor="text1"/>
                <w:highlight w:val="none"/>
              </w:rPr>
              <w:t>注：提供2019年或2020年供应商向屠宰肉联厂采购凭证复印件或供应商送至屠宰厂屠宰生猪数量凭证复印件作为证明材料</w:t>
            </w:r>
            <w:r>
              <w:rPr>
                <w:rFonts w:hint="default" w:ascii="宋体" w:hAnsi="宋体" w:cs="宋体"/>
                <w:b/>
                <w:bCs/>
                <w:color w:val="000000" w:themeColor="text1"/>
                <w:highlight w:val="none"/>
                <w:lang w:val="en-US"/>
              </w:rPr>
              <w:t>,</w:t>
            </w:r>
            <w:r>
              <w:rPr>
                <w:rFonts w:hint="eastAsia" w:ascii="宋体" w:hAnsi="宋体" w:cs="宋体"/>
                <w:b/>
                <w:bCs/>
                <w:color w:val="000000" w:themeColor="text1"/>
                <w:highlight w:val="none"/>
                <w:lang w:val="en-US" w:eastAsia="zh-CN"/>
              </w:rPr>
              <w:t>不提供不得分</w:t>
            </w:r>
            <w:r>
              <w:rPr>
                <w:rFonts w:hint="eastAsia" w:ascii="宋体" w:hAnsi="宋体" w:cs="宋体"/>
                <w:b/>
                <w:bCs/>
                <w:color w:val="000000" w:themeColor="text1"/>
                <w:highlight w:val="none"/>
              </w:rPr>
              <w:t>。</w:t>
            </w:r>
          </w:p>
        </w:tc>
      </w:tr>
      <w:tr>
        <w:tblPrEx>
          <w:shd w:val="clear" w:color="auto" w:fill="FFFFFF"/>
          <w:tblCellMar>
            <w:top w:w="0" w:type="dxa"/>
            <w:left w:w="0" w:type="dxa"/>
            <w:bottom w:w="0" w:type="dxa"/>
            <w:right w:w="0" w:type="dxa"/>
          </w:tblCellMar>
        </w:tblPrEx>
        <w:trPr>
          <w:cantSplit/>
          <w:trHeight w:val="929" w:hRule="atLeast"/>
          <w:jc w:val="center"/>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5</w:t>
            </w:r>
          </w:p>
        </w:tc>
        <w:tc>
          <w:tcPr>
            <w:tcW w:w="15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highlight w:val="none"/>
              </w:rPr>
              <w:t>投标人自有或合作种植养殖基地情况</w:t>
            </w:r>
          </w:p>
        </w:tc>
        <w:tc>
          <w:tcPr>
            <w:tcW w:w="8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8分</w:t>
            </w:r>
          </w:p>
        </w:tc>
        <w:tc>
          <w:tcPr>
            <w:tcW w:w="64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widowControl/>
              <w:kinsoku/>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种植或养殖基地面积累计1000亩（含）以上，得8分；</w:t>
            </w:r>
          </w:p>
          <w:p>
            <w:pPr>
              <w:keepNext w:val="0"/>
              <w:keepLines w:val="0"/>
              <w:pageBreakBefore w:val="0"/>
              <w:widowControl/>
              <w:kinsoku/>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500亩（含）-1000亩（不含），得4分；</w:t>
            </w:r>
          </w:p>
          <w:p>
            <w:pPr>
              <w:keepNext w:val="0"/>
              <w:keepLines w:val="0"/>
              <w:pageBreakBefore w:val="0"/>
              <w:widowControl/>
              <w:kinsoku/>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500亩（不含）以下，得1分。</w:t>
            </w:r>
          </w:p>
          <w:p>
            <w:pPr>
              <w:keepNext w:val="0"/>
              <w:keepLines w:val="0"/>
              <w:pageBreakBefore w:val="0"/>
              <w:widowControl/>
              <w:kinsoku/>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无提供的不得分。</w:t>
            </w:r>
          </w:p>
          <w:p>
            <w:pPr>
              <w:keepNext w:val="0"/>
              <w:keepLines w:val="0"/>
              <w:pageBreakBefore w:val="0"/>
              <w:kinsoku/>
              <w:overflowPunct/>
              <w:topLinePunct w:val="0"/>
              <w:bidi w:val="0"/>
              <w:spacing w:line="320" w:lineRule="exact"/>
              <w:textAlignment w:val="auto"/>
              <w:rPr>
                <w:rFonts w:ascii="宋体" w:hAnsi="宋体" w:cs="宋体"/>
                <w:b/>
                <w:bCs/>
                <w:color w:val="000000" w:themeColor="text1"/>
                <w:highlight w:val="none"/>
              </w:rPr>
            </w:pPr>
            <w:r>
              <w:rPr>
                <w:rFonts w:hint="eastAsia" w:ascii="宋体" w:hAnsi="宋体" w:cs="宋体"/>
                <w:b/>
                <w:bCs/>
                <w:color w:val="000000" w:themeColor="text1"/>
                <w:highlight w:val="none"/>
              </w:rPr>
              <w:t>注：</w:t>
            </w:r>
          </w:p>
          <w:p>
            <w:pPr>
              <w:keepNext w:val="0"/>
              <w:keepLines w:val="0"/>
              <w:pageBreakBefore w:val="0"/>
              <w:kinsoku/>
              <w:overflowPunct/>
              <w:topLinePunct w:val="0"/>
              <w:bidi w:val="0"/>
              <w:spacing w:line="320" w:lineRule="exact"/>
              <w:textAlignment w:val="auto"/>
              <w:rPr>
                <w:rFonts w:ascii="宋体" w:hAnsi="宋体" w:cs="宋体"/>
                <w:b/>
                <w:bCs/>
                <w:color w:val="000000" w:themeColor="text1"/>
                <w:highlight w:val="none"/>
              </w:rPr>
            </w:pPr>
            <w:r>
              <w:rPr>
                <w:rFonts w:hint="eastAsia" w:ascii="宋体" w:hAnsi="宋体" w:cs="宋体"/>
                <w:b/>
                <w:bCs/>
                <w:color w:val="000000" w:themeColor="text1"/>
                <w:highlight w:val="none"/>
              </w:rPr>
              <w:t>1.须同时提供①产权证明或以投标人名义</w:t>
            </w:r>
            <w:r>
              <w:rPr>
                <w:rFonts w:hint="eastAsia" w:ascii="宋体" w:hAnsi="宋体" w:cs="宋体"/>
                <w:b/>
                <w:bCs/>
                <w:color w:val="000000" w:themeColor="text1"/>
                <w:highlight w:val="none"/>
                <w:lang w:eastAsia="zh-CN"/>
              </w:rPr>
              <w:t>（</w:t>
            </w:r>
            <w:r>
              <w:rPr>
                <w:rFonts w:hint="eastAsia" w:ascii="宋体" w:hAnsi="宋体" w:cs="宋体"/>
                <w:b/>
                <w:bCs/>
                <w:color w:val="000000" w:themeColor="text1"/>
                <w:highlight w:val="none"/>
                <w:lang w:val="en-US" w:eastAsia="zh-CN"/>
              </w:rPr>
              <w:t>或法定代表人名义</w:t>
            </w:r>
            <w:r>
              <w:rPr>
                <w:rFonts w:hint="eastAsia" w:ascii="宋体" w:hAnsi="宋体" w:cs="宋体"/>
                <w:b/>
                <w:bCs/>
                <w:color w:val="000000" w:themeColor="text1"/>
                <w:highlight w:val="none"/>
                <w:lang w:eastAsia="zh-CN"/>
              </w:rPr>
              <w:t>）</w:t>
            </w:r>
            <w:r>
              <w:rPr>
                <w:rFonts w:hint="eastAsia" w:ascii="宋体" w:hAnsi="宋体" w:cs="宋体"/>
                <w:b/>
                <w:bCs/>
                <w:color w:val="000000" w:themeColor="text1"/>
                <w:highlight w:val="none"/>
              </w:rPr>
              <w:t>签署的租赁合同和②测量单位出具的对场地大小的的测绘报告加盖投标人公章。产权证明或投标人名义</w:t>
            </w:r>
            <w:r>
              <w:rPr>
                <w:rFonts w:hint="eastAsia" w:ascii="宋体" w:hAnsi="宋体" w:cs="宋体"/>
                <w:b/>
                <w:bCs/>
                <w:color w:val="000000" w:themeColor="text1"/>
                <w:highlight w:val="none"/>
                <w:lang w:eastAsia="zh-CN"/>
              </w:rPr>
              <w:t>（</w:t>
            </w:r>
            <w:r>
              <w:rPr>
                <w:rFonts w:hint="eastAsia" w:ascii="宋体" w:hAnsi="宋体" w:cs="宋体"/>
                <w:b/>
                <w:bCs/>
                <w:color w:val="000000" w:themeColor="text1"/>
                <w:highlight w:val="none"/>
                <w:lang w:val="en-US" w:eastAsia="zh-CN"/>
              </w:rPr>
              <w:t>或法定代表人名义</w:t>
            </w:r>
            <w:r>
              <w:rPr>
                <w:rFonts w:hint="eastAsia" w:ascii="宋体" w:hAnsi="宋体" w:cs="宋体"/>
                <w:b/>
                <w:bCs/>
                <w:color w:val="000000" w:themeColor="text1"/>
                <w:highlight w:val="none"/>
                <w:lang w:eastAsia="zh-CN"/>
              </w:rPr>
              <w:t>）</w:t>
            </w:r>
            <w:r>
              <w:rPr>
                <w:rFonts w:hint="eastAsia" w:ascii="宋体" w:hAnsi="宋体" w:cs="宋体"/>
                <w:b/>
                <w:bCs/>
                <w:color w:val="000000" w:themeColor="text1"/>
                <w:highlight w:val="none"/>
              </w:rPr>
              <w:t>签署的租赁合同面积与测绘报告不一致的以测绘报告为准；</w:t>
            </w:r>
          </w:p>
          <w:p>
            <w:pPr>
              <w:pStyle w:val="19"/>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b/>
                <w:bCs/>
                <w:color w:val="000000" w:themeColor="text1"/>
                <w:highlight w:val="none"/>
              </w:rPr>
              <w:t>2.以上评审依据材料，</w:t>
            </w:r>
            <w:r>
              <w:rPr>
                <w:rFonts w:hint="eastAsia" w:ascii="宋体" w:hAnsi="宋体" w:cs="宋体"/>
                <w:b/>
                <w:bCs/>
                <w:snapToGrid w:val="0"/>
                <w:color w:val="000000" w:themeColor="text1"/>
                <w:kern w:val="0"/>
                <w:szCs w:val="21"/>
                <w:highlight w:val="none"/>
              </w:rPr>
              <w:t>不提供不得分。</w:t>
            </w:r>
          </w:p>
        </w:tc>
      </w:tr>
      <w:tr>
        <w:tblPrEx>
          <w:shd w:val="clear" w:color="auto" w:fill="FFFFFF"/>
          <w:tblCellMar>
            <w:top w:w="0" w:type="dxa"/>
            <w:left w:w="0" w:type="dxa"/>
            <w:bottom w:w="0" w:type="dxa"/>
            <w:right w:w="0" w:type="dxa"/>
          </w:tblCellMar>
        </w:tblPrEx>
        <w:trPr>
          <w:cantSplit/>
          <w:trHeight w:val="929" w:hRule="atLeast"/>
          <w:jc w:val="center"/>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6</w:t>
            </w:r>
          </w:p>
        </w:tc>
        <w:tc>
          <w:tcPr>
            <w:tcW w:w="15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highlight w:val="none"/>
              </w:rPr>
              <w:t>投标人配送服务能力</w:t>
            </w:r>
          </w:p>
        </w:tc>
        <w:tc>
          <w:tcPr>
            <w:tcW w:w="8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10分</w:t>
            </w:r>
          </w:p>
        </w:tc>
        <w:tc>
          <w:tcPr>
            <w:tcW w:w="64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keepNext w:val="0"/>
              <w:keepLines w:val="0"/>
              <w:pageBreakBefore w:val="0"/>
              <w:kinsoku/>
              <w:overflowPunct/>
              <w:topLinePunct w:val="0"/>
              <w:bidi w:val="0"/>
              <w:snapToGrid w:val="0"/>
              <w:spacing w:line="320" w:lineRule="exact"/>
              <w:jc w:val="left"/>
              <w:textAlignment w:val="auto"/>
              <w:rPr>
                <w:rFonts w:ascii="宋体" w:hAnsi="宋体" w:cs="宋体"/>
                <w:snapToGrid w:val="0"/>
                <w:color w:val="000000" w:themeColor="text1"/>
                <w:kern w:val="0"/>
                <w:highlight w:val="none"/>
              </w:rPr>
            </w:pPr>
            <w:r>
              <w:rPr>
                <w:rFonts w:hint="eastAsia" w:ascii="宋体" w:hAnsi="宋体" w:cs="宋体"/>
                <w:snapToGrid w:val="0"/>
                <w:color w:val="000000" w:themeColor="text1"/>
                <w:kern w:val="0"/>
                <w:highlight w:val="none"/>
              </w:rPr>
              <w:t>投标人自有或租赁冷链厢式配送车辆的，每辆得1分，最高得10分。</w:t>
            </w:r>
          </w:p>
          <w:p>
            <w:pPr>
              <w:keepNext w:val="0"/>
              <w:keepLines w:val="0"/>
              <w:pageBreakBefore w:val="0"/>
              <w:kinsoku/>
              <w:overflowPunct/>
              <w:topLinePunct w:val="0"/>
              <w:bidi w:val="0"/>
              <w:spacing w:line="320" w:lineRule="exact"/>
              <w:textAlignment w:val="auto"/>
              <w:rPr>
                <w:rFonts w:ascii="宋体" w:hAnsi="宋体" w:cs="宋体"/>
                <w:color w:val="000000" w:themeColor="text1"/>
                <w:szCs w:val="21"/>
                <w:highlight w:val="none"/>
              </w:rPr>
            </w:pPr>
            <w:r>
              <w:rPr>
                <w:rFonts w:hint="eastAsia" w:ascii="宋体" w:hAnsi="宋体" w:cs="宋体"/>
                <w:b/>
                <w:bCs/>
                <w:snapToGrid w:val="0"/>
                <w:color w:val="000000" w:themeColor="text1"/>
                <w:kern w:val="0"/>
                <w:szCs w:val="21"/>
                <w:highlight w:val="none"/>
              </w:rPr>
              <w:t>注：自有车辆提供车辆行驶证复印件加盖投标人公章作为证明材料；租赁车辆同时提供租赁合同、车辆行驶证及租赁期内的任意一期发票复印件加盖投标人公章作为证明材料，不提供不得分；</w:t>
            </w:r>
          </w:p>
        </w:tc>
      </w:tr>
      <w:tr>
        <w:tblPrEx>
          <w:shd w:val="clear" w:color="auto" w:fill="FFFFFF"/>
          <w:tblCellMar>
            <w:top w:w="0" w:type="dxa"/>
            <w:left w:w="0" w:type="dxa"/>
            <w:bottom w:w="0" w:type="dxa"/>
            <w:right w:w="0" w:type="dxa"/>
          </w:tblCellMar>
        </w:tblPrEx>
        <w:trPr>
          <w:cantSplit/>
          <w:trHeight w:val="929" w:hRule="atLeast"/>
          <w:jc w:val="center"/>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7</w:t>
            </w:r>
          </w:p>
        </w:tc>
        <w:tc>
          <w:tcPr>
            <w:tcW w:w="15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highlight w:val="none"/>
              </w:rPr>
              <w:t>投标人仓储能力</w:t>
            </w:r>
          </w:p>
        </w:tc>
        <w:tc>
          <w:tcPr>
            <w:tcW w:w="8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5分</w:t>
            </w:r>
          </w:p>
        </w:tc>
        <w:tc>
          <w:tcPr>
            <w:tcW w:w="64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pacing w:line="320" w:lineRule="exact"/>
              <w:ind w:left="-63" w:leftChars="-30" w:right="-88" w:rightChars="-42"/>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投标人的冷藏库情况：</w:t>
            </w:r>
          </w:p>
          <w:p>
            <w:pPr>
              <w:keepNext w:val="0"/>
              <w:keepLines w:val="0"/>
              <w:pageBreakBefore w:val="0"/>
              <w:kinsoku/>
              <w:overflowPunct/>
              <w:topLinePunct w:val="0"/>
              <w:autoSpaceDE w:val="0"/>
              <w:autoSpaceDN w:val="0"/>
              <w:bidi w:val="0"/>
              <w:adjustRightInd w:val="0"/>
              <w:spacing w:line="320" w:lineRule="exact"/>
              <w:ind w:left="-63" w:leftChars="-30" w:right="-88" w:rightChars="-42"/>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冷藏库容积200立方米（含）以上的，得5分；</w:t>
            </w:r>
          </w:p>
          <w:p>
            <w:pPr>
              <w:keepNext w:val="0"/>
              <w:keepLines w:val="0"/>
              <w:pageBreakBefore w:val="0"/>
              <w:kinsoku/>
              <w:overflowPunct/>
              <w:topLinePunct w:val="0"/>
              <w:autoSpaceDE w:val="0"/>
              <w:autoSpaceDN w:val="0"/>
              <w:bidi w:val="0"/>
              <w:adjustRightInd w:val="0"/>
              <w:spacing w:line="320" w:lineRule="exact"/>
              <w:ind w:left="-63" w:leftChars="-30" w:right="-88" w:rightChars="-42"/>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100立方米（含）</w:t>
            </w:r>
            <w:r>
              <w:rPr>
                <w:rFonts w:hint="eastAsia" w:ascii="宋体" w:hAnsi="宋体" w:cs="宋体"/>
                <w:color w:val="000000" w:themeColor="text1"/>
                <w:highlight w:val="none"/>
                <w:lang w:val="en-US" w:eastAsia="zh-CN"/>
              </w:rPr>
              <w:t xml:space="preserve">— </w:t>
            </w:r>
            <w:r>
              <w:rPr>
                <w:rFonts w:hint="eastAsia" w:ascii="宋体" w:hAnsi="宋体" w:cs="宋体"/>
                <w:color w:val="000000" w:themeColor="text1"/>
                <w:highlight w:val="none"/>
              </w:rPr>
              <w:t>200立方米（不含），得3分；</w:t>
            </w:r>
          </w:p>
          <w:p>
            <w:pPr>
              <w:keepNext w:val="0"/>
              <w:keepLines w:val="0"/>
              <w:pageBreakBefore w:val="0"/>
              <w:kinsoku/>
              <w:overflowPunct/>
              <w:topLinePunct w:val="0"/>
              <w:autoSpaceDE w:val="0"/>
              <w:autoSpaceDN w:val="0"/>
              <w:bidi w:val="0"/>
              <w:adjustRightInd w:val="0"/>
              <w:spacing w:line="320" w:lineRule="exact"/>
              <w:ind w:left="-63" w:leftChars="-30" w:right="-88" w:rightChars="-42"/>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100立方米（不含）以下，得1分；</w:t>
            </w:r>
          </w:p>
          <w:p>
            <w:pPr>
              <w:keepNext w:val="0"/>
              <w:keepLines w:val="0"/>
              <w:pageBreakBefore w:val="0"/>
              <w:kinsoku/>
              <w:overflowPunct/>
              <w:topLinePunct w:val="0"/>
              <w:autoSpaceDE w:val="0"/>
              <w:autoSpaceDN w:val="0"/>
              <w:bidi w:val="0"/>
              <w:adjustRightInd w:val="0"/>
              <w:spacing w:line="320" w:lineRule="exact"/>
              <w:ind w:left="-63" w:leftChars="-30" w:right="-88" w:rightChars="-42"/>
              <w:jc w:val="left"/>
              <w:textAlignment w:val="auto"/>
              <w:rPr>
                <w:rFonts w:hint="eastAsia" w:ascii="宋体" w:hAnsi="宋体" w:eastAsia="宋体" w:cs="宋体"/>
                <w:color w:val="000000" w:themeColor="text1"/>
                <w:highlight w:val="none"/>
              </w:rPr>
            </w:pPr>
            <w:r>
              <w:rPr>
                <w:rFonts w:hint="eastAsia" w:ascii="宋体" w:hAnsi="宋体" w:cs="宋体"/>
                <w:color w:val="000000" w:themeColor="text1"/>
                <w:highlight w:val="none"/>
              </w:rPr>
              <w:t>无冷藏库或不提供证明材料的不得分。</w:t>
            </w:r>
          </w:p>
          <w:p>
            <w:pPr>
              <w:pStyle w:val="19"/>
              <w:keepNext w:val="0"/>
              <w:keepLines w:val="0"/>
              <w:pageBreakBefore w:val="0"/>
              <w:kinsoku/>
              <w:overflowPunct/>
              <w:topLinePunct w:val="0"/>
              <w:bidi w:val="0"/>
              <w:spacing w:after="0" w:line="320" w:lineRule="exact"/>
              <w:textAlignment w:val="auto"/>
              <w:rPr>
                <w:rFonts w:hint="eastAsia" w:ascii="宋体" w:hAnsi="宋体" w:eastAsia="宋体" w:cs="宋体"/>
                <w:b/>
                <w:bCs/>
                <w:color w:val="000000" w:themeColor="text1"/>
                <w:szCs w:val="21"/>
                <w:highlight w:val="none"/>
                <w:lang w:val="en-US" w:eastAsia="zh-CN"/>
              </w:rPr>
            </w:pPr>
            <w:r>
              <w:rPr>
                <w:rFonts w:hint="eastAsia" w:ascii="宋体" w:hAnsi="宋体" w:cs="宋体"/>
                <w:b/>
                <w:bCs/>
                <w:color w:val="000000" w:themeColor="text1"/>
                <w:szCs w:val="21"/>
                <w:highlight w:val="none"/>
              </w:rPr>
              <w:t>注：</w:t>
            </w:r>
          </w:p>
          <w:p>
            <w:pPr>
              <w:pStyle w:val="19"/>
              <w:keepNext w:val="0"/>
              <w:keepLines w:val="0"/>
              <w:pageBreakBefore w:val="0"/>
              <w:kinsoku/>
              <w:overflowPunct/>
              <w:topLinePunct w:val="0"/>
              <w:bidi w:val="0"/>
              <w:spacing w:after="0" w:line="320" w:lineRule="exact"/>
              <w:textAlignment w:val="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1.自有的冷库提供冷库建造合同复印件</w:t>
            </w:r>
            <w:r>
              <w:rPr>
                <w:rFonts w:hint="eastAsia" w:ascii="宋体" w:hAnsi="宋体" w:cs="宋体"/>
                <w:b/>
                <w:bCs/>
                <w:snapToGrid w:val="0"/>
                <w:color w:val="000000" w:themeColor="text1"/>
                <w:kern w:val="0"/>
                <w:szCs w:val="21"/>
                <w:highlight w:val="none"/>
              </w:rPr>
              <w:t>加盖投标人</w:t>
            </w:r>
            <w:r>
              <w:rPr>
                <w:rFonts w:hint="eastAsia" w:ascii="宋体" w:hAnsi="宋体" w:cs="宋体"/>
                <w:b/>
                <w:bCs/>
                <w:color w:val="000000" w:themeColor="text1"/>
                <w:highlight w:val="none"/>
              </w:rPr>
              <w:t>公章</w:t>
            </w:r>
            <w:r>
              <w:rPr>
                <w:rFonts w:hint="eastAsia" w:ascii="宋体" w:hAnsi="宋体" w:cs="宋体"/>
                <w:b/>
                <w:bCs/>
                <w:color w:val="000000" w:themeColor="text1"/>
                <w:szCs w:val="21"/>
                <w:highlight w:val="none"/>
              </w:rPr>
              <w:t>，租赁的冷库提供租赁合同、租赁期内任意一期的发票复印件</w:t>
            </w:r>
            <w:r>
              <w:rPr>
                <w:rFonts w:hint="eastAsia" w:ascii="宋体" w:hAnsi="宋体" w:cs="宋体"/>
                <w:b/>
                <w:bCs/>
                <w:snapToGrid w:val="0"/>
                <w:color w:val="000000" w:themeColor="text1"/>
                <w:kern w:val="0"/>
                <w:szCs w:val="21"/>
                <w:highlight w:val="none"/>
              </w:rPr>
              <w:t>加盖投标人公章</w:t>
            </w:r>
            <w:r>
              <w:rPr>
                <w:rFonts w:hint="eastAsia" w:ascii="宋体" w:hAnsi="宋体" w:cs="宋体"/>
                <w:b/>
                <w:bCs/>
                <w:color w:val="000000" w:themeColor="text1"/>
                <w:szCs w:val="21"/>
                <w:highlight w:val="none"/>
              </w:rPr>
              <w:t>作为证明材料，</w:t>
            </w:r>
            <w:r>
              <w:rPr>
                <w:rFonts w:hint="eastAsia" w:ascii="宋体" w:hAnsi="宋体" w:cs="宋体"/>
                <w:b/>
                <w:bCs/>
                <w:snapToGrid w:val="0"/>
                <w:color w:val="000000" w:themeColor="text1"/>
                <w:kern w:val="0"/>
                <w:szCs w:val="21"/>
                <w:highlight w:val="none"/>
              </w:rPr>
              <w:t>不提供不得分</w:t>
            </w:r>
            <w:r>
              <w:rPr>
                <w:rFonts w:hint="eastAsia" w:ascii="宋体" w:hAnsi="宋体" w:cs="宋体"/>
                <w:b/>
                <w:bCs/>
                <w:color w:val="000000" w:themeColor="text1"/>
                <w:szCs w:val="21"/>
                <w:highlight w:val="none"/>
              </w:rPr>
              <w:t>；</w:t>
            </w:r>
          </w:p>
          <w:p>
            <w:pPr>
              <w:keepNext w:val="0"/>
              <w:keepLines w:val="0"/>
              <w:pageBreakBefore w:val="0"/>
              <w:kinsoku/>
              <w:overflowPunct/>
              <w:topLinePunct w:val="0"/>
              <w:bidi w:val="0"/>
              <w:spacing w:line="320" w:lineRule="exact"/>
              <w:jc w:val="left"/>
              <w:textAlignment w:val="auto"/>
              <w:rPr>
                <w:rFonts w:ascii="宋体" w:hAnsi="宋体" w:cs="宋体"/>
                <w:color w:val="000000" w:themeColor="text1"/>
                <w:szCs w:val="21"/>
                <w:highlight w:val="none"/>
              </w:rPr>
            </w:pPr>
            <w:r>
              <w:rPr>
                <w:rFonts w:hint="eastAsia" w:ascii="宋体" w:hAnsi="宋体" w:cs="宋体"/>
                <w:b/>
                <w:bCs/>
                <w:color w:val="000000" w:themeColor="text1"/>
                <w:szCs w:val="21"/>
                <w:highlight w:val="none"/>
              </w:rPr>
              <w:t>2.相关证明材料须显示冷库的容积，</w:t>
            </w:r>
            <w:r>
              <w:rPr>
                <w:rFonts w:hint="eastAsia" w:ascii="宋体" w:hAnsi="宋体" w:cs="宋体"/>
                <w:b/>
                <w:bCs/>
                <w:color w:val="000000" w:themeColor="text1"/>
                <w:kern w:val="0"/>
                <w:szCs w:val="21"/>
                <w:highlight w:val="none"/>
              </w:rPr>
              <w:t>单位不同的由投标人自行换算附上，否则不予计分。</w:t>
            </w:r>
          </w:p>
        </w:tc>
      </w:tr>
      <w:tr>
        <w:tblPrEx>
          <w:shd w:val="clear" w:color="auto" w:fill="FFFFFF"/>
          <w:tblCellMar>
            <w:top w:w="0" w:type="dxa"/>
            <w:left w:w="0" w:type="dxa"/>
            <w:bottom w:w="0" w:type="dxa"/>
            <w:right w:w="0" w:type="dxa"/>
          </w:tblCellMar>
        </w:tblPrEx>
        <w:trPr>
          <w:cantSplit/>
          <w:trHeight w:val="929" w:hRule="atLeast"/>
          <w:jc w:val="center"/>
        </w:trPr>
        <w:tc>
          <w:tcPr>
            <w:tcW w:w="75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8</w:t>
            </w:r>
          </w:p>
        </w:tc>
        <w:tc>
          <w:tcPr>
            <w:tcW w:w="156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highlight w:val="none"/>
              </w:rPr>
              <w:t>检测能力</w:t>
            </w:r>
          </w:p>
        </w:tc>
        <w:tc>
          <w:tcPr>
            <w:tcW w:w="8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4分</w:t>
            </w:r>
          </w:p>
        </w:tc>
        <w:tc>
          <w:tcPr>
            <w:tcW w:w="64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snapToGrid w:val="0"/>
                <w:color w:val="000000" w:themeColor="text1"/>
                <w:kern w:val="0"/>
                <w:highlight w:val="none"/>
              </w:rPr>
              <w:t>1.</w:t>
            </w:r>
            <w:r>
              <w:rPr>
                <w:rFonts w:hint="eastAsia" w:ascii="宋体" w:hAnsi="宋体" w:cs="宋体"/>
                <w:color w:val="000000" w:themeColor="text1"/>
                <w:highlight w:val="none"/>
              </w:rPr>
              <w:t>自有食品检测设备，每台（套）得0.5分，最高得3分；</w:t>
            </w:r>
          </w:p>
          <w:p>
            <w:pPr>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2</w:t>
            </w:r>
            <w:r>
              <w:rPr>
                <w:rFonts w:hint="eastAsia" w:ascii="宋体" w:hAnsi="宋体" w:cs="宋体"/>
                <w:snapToGrid w:val="0"/>
                <w:color w:val="000000" w:themeColor="text1"/>
                <w:kern w:val="0"/>
                <w:highlight w:val="none"/>
              </w:rPr>
              <w:t>.</w:t>
            </w:r>
            <w:r>
              <w:rPr>
                <w:rFonts w:hint="eastAsia" w:ascii="宋体" w:hAnsi="宋体" w:cs="宋体"/>
                <w:color w:val="000000" w:themeColor="text1"/>
                <w:highlight w:val="none"/>
              </w:rPr>
              <w:t>自有食品独立检测室，得1分；</w:t>
            </w:r>
          </w:p>
          <w:p>
            <w:pPr>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3</w:t>
            </w:r>
            <w:r>
              <w:rPr>
                <w:rFonts w:hint="eastAsia" w:ascii="宋体" w:hAnsi="宋体" w:cs="宋体"/>
                <w:snapToGrid w:val="0"/>
                <w:color w:val="000000" w:themeColor="text1"/>
                <w:kern w:val="0"/>
                <w:highlight w:val="none"/>
              </w:rPr>
              <w:t>.</w:t>
            </w:r>
            <w:r>
              <w:rPr>
                <w:rFonts w:hint="eastAsia" w:ascii="宋体" w:hAnsi="宋体" w:cs="宋体"/>
                <w:color w:val="000000" w:themeColor="text1"/>
                <w:highlight w:val="none"/>
              </w:rPr>
              <w:t>无，不得分。</w:t>
            </w:r>
          </w:p>
          <w:p>
            <w:pPr>
              <w:keepNext w:val="0"/>
              <w:keepLines w:val="0"/>
              <w:pageBreakBefore w:val="0"/>
              <w:kinsoku/>
              <w:overflowPunct/>
              <w:topLinePunct w:val="0"/>
              <w:bidi w:val="0"/>
              <w:spacing w:line="320" w:lineRule="exact"/>
              <w:textAlignment w:val="auto"/>
              <w:rPr>
                <w:rFonts w:ascii="宋体" w:hAnsi="宋体" w:cs="宋体"/>
                <w:b/>
                <w:bCs/>
                <w:color w:val="000000" w:themeColor="text1"/>
                <w:highlight w:val="none"/>
              </w:rPr>
            </w:pPr>
            <w:r>
              <w:rPr>
                <w:rFonts w:hint="eastAsia" w:ascii="宋体" w:hAnsi="宋体" w:cs="宋体"/>
                <w:b/>
                <w:bCs/>
                <w:color w:val="000000" w:themeColor="text1"/>
                <w:highlight w:val="none"/>
              </w:rPr>
              <w:t>注：</w:t>
            </w:r>
          </w:p>
          <w:p>
            <w:pPr>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b/>
                <w:bCs/>
                <w:color w:val="000000" w:themeColor="text1"/>
                <w:highlight w:val="none"/>
              </w:rPr>
              <w:t>1.提供食品检测设备的购买发票复印件及设备图片</w:t>
            </w:r>
            <w:r>
              <w:rPr>
                <w:rFonts w:hint="eastAsia" w:ascii="宋体" w:hAnsi="宋体" w:cs="宋体"/>
                <w:b/>
                <w:bCs/>
                <w:snapToGrid w:val="0"/>
                <w:color w:val="000000" w:themeColor="text1"/>
                <w:kern w:val="0"/>
                <w:szCs w:val="21"/>
                <w:highlight w:val="none"/>
              </w:rPr>
              <w:t>加盖投标人</w:t>
            </w:r>
            <w:r>
              <w:rPr>
                <w:rFonts w:hint="eastAsia" w:ascii="宋体" w:hAnsi="宋体" w:cs="宋体"/>
                <w:b/>
                <w:bCs/>
                <w:color w:val="000000" w:themeColor="text1"/>
                <w:highlight w:val="none"/>
              </w:rPr>
              <w:t>公章，提供不齐全不得分；</w:t>
            </w:r>
          </w:p>
          <w:p>
            <w:pPr>
              <w:keepNext w:val="0"/>
              <w:keepLines w:val="0"/>
              <w:pageBreakBefore w:val="0"/>
              <w:kinsoku/>
              <w:overflowPunct/>
              <w:topLinePunct w:val="0"/>
              <w:bidi w:val="0"/>
              <w:spacing w:line="320" w:lineRule="exact"/>
              <w:jc w:val="left"/>
              <w:textAlignment w:val="auto"/>
              <w:rPr>
                <w:rFonts w:ascii="宋体" w:hAnsi="宋体" w:cs="宋体"/>
                <w:color w:val="000000" w:themeColor="text1"/>
                <w:szCs w:val="21"/>
                <w:highlight w:val="none"/>
              </w:rPr>
            </w:pPr>
            <w:r>
              <w:rPr>
                <w:rFonts w:hint="eastAsia" w:ascii="宋体" w:hAnsi="宋体" w:cs="宋体"/>
                <w:b/>
                <w:bCs/>
                <w:color w:val="000000" w:themeColor="text1"/>
                <w:highlight w:val="none"/>
              </w:rPr>
              <w:t>2.检测室须提供产权证明复印件或以投标人名义</w:t>
            </w:r>
            <w:r>
              <w:rPr>
                <w:rFonts w:hint="eastAsia" w:ascii="宋体" w:hAnsi="宋体" w:cs="宋体"/>
                <w:b/>
                <w:bCs/>
                <w:color w:val="000000" w:themeColor="text1"/>
                <w:highlight w:val="none"/>
                <w:lang w:eastAsia="zh-CN"/>
              </w:rPr>
              <w:t>（</w:t>
            </w:r>
            <w:r>
              <w:rPr>
                <w:rFonts w:hint="eastAsia" w:ascii="宋体" w:hAnsi="宋体" w:cs="宋体"/>
                <w:b/>
                <w:bCs/>
                <w:color w:val="000000" w:themeColor="text1"/>
                <w:highlight w:val="none"/>
                <w:lang w:val="en-US" w:eastAsia="zh-CN"/>
              </w:rPr>
              <w:t>或法定代表人名义</w:t>
            </w:r>
            <w:r>
              <w:rPr>
                <w:rFonts w:hint="eastAsia" w:ascii="宋体" w:hAnsi="宋体" w:cs="宋体"/>
                <w:b/>
                <w:bCs/>
                <w:color w:val="000000" w:themeColor="text1"/>
                <w:highlight w:val="none"/>
                <w:lang w:eastAsia="zh-CN"/>
              </w:rPr>
              <w:t>）</w:t>
            </w:r>
            <w:r>
              <w:rPr>
                <w:rFonts w:hint="eastAsia" w:ascii="宋体" w:hAnsi="宋体" w:cs="宋体"/>
                <w:b/>
                <w:bCs/>
                <w:color w:val="000000" w:themeColor="text1"/>
                <w:highlight w:val="none"/>
              </w:rPr>
              <w:t>签订的合同相关证明复印件</w:t>
            </w:r>
            <w:r>
              <w:rPr>
                <w:rFonts w:hint="eastAsia" w:ascii="宋体" w:hAnsi="宋体" w:cs="宋体"/>
                <w:b/>
                <w:bCs/>
                <w:snapToGrid w:val="0"/>
                <w:color w:val="000000" w:themeColor="text1"/>
                <w:kern w:val="0"/>
                <w:szCs w:val="21"/>
                <w:highlight w:val="none"/>
              </w:rPr>
              <w:t>加盖投标人公章</w:t>
            </w:r>
            <w:r>
              <w:rPr>
                <w:rFonts w:hint="eastAsia" w:ascii="宋体" w:hAnsi="宋体" w:cs="宋体"/>
                <w:b/>
                <w:bCs/>
                <w:color w:val="000000" w:themeColor="text1"/>
                <w:highlight w:val="none"/>
              </w:rPr>
              <w:t>，不提供不得分</w:t>
            </w:r>
            <w:r>
              <w:rPr>
                <w:rFonts w:hint="eastAsia" w:ascii="宋体" w:hAnsi="宋体" w:cs="宋体"/>
                <w:color w:val="000000" w:themeColor="text1"/>
                <w:highlight w:val="none"/>
              </w:rPr>
              <w:t>。</w:t>
            </w:r>
          </w:p>
        </w:tc>
      </w:tr>
      <w:tr>
        <w:tblPrEx>
          <w:shd w:val="clear" w:color="auto" w:fill="FFFFFF"/>
          <w:tblCellMar>
            <w:top w:w="0" w:type="dxa"/>
            <w:left w:w="0" w:type="dxa"/>
            <w:bottom w:w="0" w:type="dxa"/>
            <w:right w:w="0" w:type="dxa"/>
          </w:tblCellMar>
        </w:tblPrEx>
        <w:trPr>
          <w:cantSplit/>
          <w:trHeight w:val="75" w:hRule="atLeast"/>
          <w:jc w:val="center"/>
        </w:trPr>
        <w:tc>
          <w:tcPr>
            <w:tcW w:w="231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合计</w:t>
            </w:r>
          </w:p>
        </w:tc>
        <w:tc>
          <w:tcPr>
            <w:tcW w:w="832"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55分</w:t>
            </w:r>
          </w:p>
        </w:tc>
        <w:tc>
          <w:tcPr>
            <w:tcW w:w="642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5"/>
        <w:gridCol w:w="1556"/>
        <w:gridCol w:w="84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5"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序号</w:t>
            </w:r>
          </w:p>
        </w:tc>
        <w:tc>
          <w:tcPr>
            <w:tcW w:w="1556"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评审内容</w:t>
            </w:r>
          </w:p>
        </w:tc>
        <w:tc>
          <w:tcPr>
            <w:tcW w:w="84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分值</w:t>
            </w:r>
          </w:p>
        </w:tc>
        <w:tc>
          <w:tcPr>
            <w:tcW w:w="638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jc w:val="center"/>
        </w:trPr>
        <w:tc>
          <w:tcPr>
            <w:tcW w:w="775"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1</w:t>
            </w:r>
          </w:p>
        </w:tc>
        <w:tc>
          <w:tcPr>
            <w:tcW w:w="1556"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bCs/>
                <w:color w:val="000000" w:themeColor="text1"/>
                <w:highlight w:val="none"/>
              </w:rPr>
              <w:t>同类业绩</w:t>
            </w:r>
          </w:p>
        </w:tc>
        <w:tc>
          <w:tcPr>
            <w:tcW w:w="84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szCs w:val="21"/>
                <w:highlight w:val="none"/>
              </w:rPr>
              <w:t>8分</w:t>
            </w:r>
          </w:p>
        </w:tc>
        <w:tc>
          <w:tcPr>
            <w:tcW w:w="638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投标人从201</w:t>
            </w:r>
            <w:r>
              <w:rPr>
                <w:rFonts w:hint="eastAsia" w:ascii="宋体" w:hAnsi="宋体" w:cs="宋体"/>
                <w:color w:val="000000" w:themeColor="text1"/>
                <w:highlight w:val="none"/>
                <w:lang w:val="en-US" w:eastAsia="zh-CN"/>
              </w:rPr>
              <w:t>8</w:t>
            </w:r>
            <w:r>
              <w:rPr>
                <w:rFonts w:hint="eastAsia" w:ascii="宋体" w:hAnsi="宋体" w:cs="宋体"/>
                <w:color w:val="000000" w:themeColor="text1"/>
                <w:highlight w:val="none"/>
              </w:rPr>
              <w:t>年1月1日（以合同签订时间为准）以来，具备同类食材采购配送服务业绩，每一项有效业绩得1分，最高得8分。</w:t>
            </w:r>
          </w:p>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b/>
                <w:bCs/>
                <w:color w:val="000000" w:themeColor="text1"/>
                <w:highlight w:val="none"/>
              </w:rPr>
              <w:t>注：提供同类业绩的合同关键页及合作过程中任意两个月发票复印件</w:t>
            </w:r>
            <w:r>
              <w:rPr>
                <w:rFonts w:hint="eastAsia" w:ascii="宋体" w:hAnsi="宋体" w:cs="宋体"/>
                <w:b/>
                <w:bCs/>
                <w:snapToGrid w:val="0"/>
                <w:color w:val="000000" w:themeColor="text1"/>
                <w:kern w:val="0"/>
                <w:szCs w:val="21"/>
                <w:highlight w:val="none"/>
              </w:rPr>
              <w:t>加盖投标人公章作为评审依据，不提供不得分；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5"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2</w:t>
            </w:r>
          </w:p>
        </w:tc>
        <w:tc>
          <w:tcPr>
            <w:tcW w:w="1556"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团队服务人员情况</w:t>
            </w:r>
          </w:p>
        </w:tc>
        <w:tc>
          <w:tcPr>
            <w:tcW w:w="84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szCs w:val="21"/>
                <w:highlight w:val="none"/>
              </w:rPr>
              <w:t>7分</w:t>
            </w:r>
          </w:p>
        </w:tc>
        <w:tc>
          <w:tcPr>
            <w:tcW w:w="638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1.具</w:t>
            </w:r>
            <w:r>
              <w:rPr>
                <w:rFonts w:hint="eastAsia" w:ascii="宋体" w:hAnsi="宋体" w:cs="宋体"/>
                <w:color w:val="000000" w:themeColor="text1"/>
                <w:highlight w:val="none"/>
                <w:lang w:val="en-US" w:eastAsia="zh-CN"/>
              </w:rPr>
              <w:t>有</w:t>
            </w:r>
            <w:r>
              <w:rPr>
                <w:rFonts w:hint="eastAsia" w:ascii="宋体" w:hAnsi="宋体" w:cs="宋体"/>
                <w:color w:val="000000" w:themeColor="text1"/>
                <w:highlight w:val="none"/>
              </w:rPr>
              <w:t>食品安全管理员证书（证书类别：食品销售类），高级证书每个得2分，中级以下证书每个得1分，最高得4分（同一证书不重复计分）；</w:t>
            </w:r>
          </w:p>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2.具</w:t>
            </w:r>
            <w:r>
              <w:rPr>
                <w:rFonts w:hint="eastAsia" w:ascii="宋体" w:hAnsi="宋体" w:cs="宋体"/>
                <w:color w:val="000000" w:themeColor="text1"/>
                <w:highlight w:val="none"/>
                <w:lang w:val="en-US" w:eastAsia="zh-CN"/>
              </w:rPr>
              <w:t>有</w:t>
            </w:r>
            <w:r>
              <w:rPr>
                <w:rFonts w:hint="eastAsia" w:ascii="宋体" w:hAnsi="宋体" w:cs="宋体"/>
                <w:color w:val="000000" w:themeColor="text1"/>
                <w:highlight w:val="none"/>
              </w:rPr>
              <w:t>高级食品检验员</w:t>
            </w:r>
            <w:r>
              <w:rPr>
                <w:rFonts w:hint="eastAsia" w:ascii="宋体" w:hAnsi="宋体" w:cs="宋体"/>
                <w:color w:val="000000" w:themeColor="text1"/>
                <w:highlight w:val="none"/>
                <w:lang w:val="en-US" w:eastAsia="zh-CN"/>
              </w:rPr>
              <w:t>或食品检验工证书</w:t>
            </w:r>
            <w:r>
              <w:rPr>
                <w:rFonts w:hint="eastAsia" w:ascii="宋体" w:hAnsi="宋体" w:cs="宋体"/>
                <w:color w:val="000000" w:themeColor="text1"/>
                <w:highlight w:val="none"/>
              </w:rPr>
              <w:t>，得</w:t>
            </w:r>
            <w:r>
              <w:rPr>
                <w:rFonts w:hint="eastAsia" w:ascii="宋体" w:hAnsi="宋体" w:cs="宋体"/>
                <w:color w:val="000000" w:themeColor="text1"/>
                <w:highlight w:val="none"/>
                <w:lang w:val="en-US" w:eastAsia="zh-CN"/>
              </w:rPr>
              <w:t>2</w:t>
            </w:r>
            <w:r>
              <w:rPr>
                <w:rFonts w:hint="eastAsia" w:ascii="宋体" w:hAnsi="宋体" w:cs="宋体"/>
                <w:color w:val="000000" w:themeColor="text1"/>
                <w:highlight w:val="none"/>
              </w:rPr>
              <w:t>分；</w:t>
            </w:r>
          </w:p>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3.具</w:t>
            </w:r>
            <w:r>
              <w:rPr>
                <w:rFonts w:hint="eastAsia" w:ascii="宋体" w:hAnsi="宋体" w:cs="宋体"/>
                <w:color w:val="000000" w:themeColor="text1"/>
                <w:highlight w:val="none"/>
                <w:lang w:val="en-US" w:eastAsia="zh-CN"/>
              </w:rPr>
              <w:t>有</w:t>
            </w:r>
            <w:r>
              <w:rPr>
                <w:rFonts w:hint="eastAsia" w:ascii="宋体" w:hAnsi="宋体" w:cs="宋体"/>
                <w:color w:val="000000" w:themeColor="text1"/>
                <w:highlight w:val="none"/>
              </w:rPr>
              <w:t>营养师证书，得1分；</w:t>
            </w:r>
          </w:p>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4.无证书，不得分。</w:t>
            </w:r>
          </w:p>
          <w:p>
            <w:pPr>
              <w:pStyle w:val="310"/>
              <w:keepNext w:val="0"/>
              <w:keepLines w:val="0"/>
              <w:pageBreakBefore w:val="0"/>
              <w:kinsoku/>
              <w:wordWrap/>
              <w:overflowPunct/>
              <w:topLinePunct w:val="0"/>
              <w:bidi w:val="0"/>
              <w:adjustRightInd w:val="0"/>
              <w:snapToGrid w:val="0"/>
              <w:spacing w:line="320" w:lineRule="exact"/>
              <w:ind w:right="90"/>
              <w:textAlignment w:val="auto"/>
              <w:rPr>
                <w:color w:val="000000" w:themeColor="text1"/>
                <w:highlight w:val="none"/>
              </w:rPr>
            </w:pPr>
            <w:r>
              <w:rPr>
                <w:rFonts w:hint="eastAsia"/>
                <w:b/>
                <w:bCs/>
                <w:color w:val="000000" w:themeColor="text1"/>
                <w:szCs w:val="21"/>
                <w:highlight w:val="none"/>
                <w:lang w:val="en-US" w:bidi="ar-SA"/>
              </w:rPr>
              <w:t>注：提供资质证书复印件及投标截止日之前6个月以内</w:t>
            </w:r>
            <w:r>
              <w:rPr>
                <w:rFonts w:hint="eastAsia"/>
                <w:b/>
                <w:bCs/>
                <w:color w:val="000000" w:themeColor="text1"/>
                <w:szCs w:val="21"/>
                <w:highlight w:val="none"/>
                <w:lang w:val="en-US" w:eastAsia="zh-CN" w:bidi="ar-SA"/>
              </w:rPr>
              <w:t>任意一个月</w:t>
            </w:r>
            <w:r>
              <w:rPr>
                <w:rFonts w:hint="eastAsia"/>
                <w:b/>
                <w:bCs/>
                <w:color w:val="000000" w:themeColor="text1"/>
                <w:szCs w:val="21"/>
                <w:highlight w:val="none"/>
                <w:lang w:val="en-US" w:bidi="ar-SA"/>
              </w:rPr>
              <w:t>在投标人单位购买的社保证明材料加盖投标人公章作为评审依据，</w:t>
            </w:r>
            <w:r>
              <w:rPr>
                <w:rFonts w:hint="eastAsia"/>
                <w:b/>
                <w:bCs/>
                <w:snapToGrid w:val="0"/>
                <w:color w:val="000000" w:themeColor="text1"/>
                <w:kern w:val="0"/>
                <w:szCs w:val="21"/>
                <w:highlight w:val="none"/>
              </w:rPr>
              <w:t>不提供不得分</w:t>
            </w:r>
            <w:r>
              <w:rPr>
                <w:rFonts w:hint="eastAsia"/>
                <w:b/>
                <w:bCs/>
                <w:color w:val="000000" w:themeColor="text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5"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3</w:t>
            </w:r>
          </w:p>
        </w:tc>
        <w:tc>
          <w:tcPr>
            <w:tcW w:w="1556"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企业管理</w:t>
            </w:r>
          </w:p>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能力</w:t>
            </w:r>
          </w:p>
        </w:tc>
        <w:tc>
          <w:tcPr>
            <w:tcW w:w="848" w:type="dxa"/>
            <w:tcMar>
              <w:top w:w="0" w:type="dxa"/>
              <w:left w:w="108" w:type="dxa"/>
              <w:bottom w:w="0" w:type="dxa"/>
              <w:right w:w="108" w:type="dxa"/>
            </w:tcMar>
            <w:vAlign w:val="center"/>
          </w:tcPr>
          <w:p>
            <w:pPr>
              <w:keepNext w:val="0"/>
              <w:keepLines w:val="0"/>
              <w:pageBreakBefore w:val="0"/>
              <w:widowControl/>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6分</w:t>
            </w:r>
          </w:p>
        </w:tc>
        <w:tc>
          <w:tcPr>
            <w:tcW w:w="6388" w:type="dxa"/>
            <w:tcMar>
              <w:top w:w="0" w:type="dxa"/>
              <w:left w:w="108" w:type="dxa"/>
              <w:bottom w:w="0" w:type="dxa"/>
              <w:right w:w="108" w:type="dxa"/>
            </w:tcMar>
            <w:vAlign w:val="center"/>
          </w:tcPr>
          <w:p>
            <w:pPr>
              <w:keepNext w:val="0"/>
              <w:keepLines w:val="0"/>
              <w:pageBreakBefore w:val="0"/>
              <w:widowControl/>
              <w:kinsoku/>
              <w:wordWrap/>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1.具有有效期内的质量管理体系认证证书，得1分；</w:t>
            </w:r>
          </w:p>
          <w:p>
            <w:pPr>
              <w:keepNext w:val="0"/>
              <w:keepLines w:val="0"/>
              <w:pageBreakBefore w:val="0"/>
              <w:widowControl/>
              <w:kinsoku/>
              <w:wordWrap/>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2.具有有效期内的环境管理体系认证证书，得1分；</w:t>
            </w:r>
          </w:p>
          <w:p>
            <w:pPr>
              <w:keepNext w:val="0"/>
              <w:keepLines w:val="0"/>
              <w:pageBreakBefore w:val="0"/>
              <w:widowControl/>
              <w:kinsoku/>
              <w:wordWrap/>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3.具有有效期内的职业健康安全管理体系认证证书，得1分；</w:t>
            </w:r>
          </w:p>
          <w:p>
            <w:pPr>
              <w:keepNext w:val="0"/>
              <w:keepLines w:val="0"/>
              <w:pageBreakBefore w:val="0"/>
              <w:widowControl/>
              <w:kinsoku/>
              <w:wordWrap/>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4.具有有效期内的食品安全管理体系认证证书，得1分；</w:t>
            </w:r>
          </w:p>
          <w:p>
            <w:pPr>
              <w:keepNext w:val="0"/>
              <w:keepLines w:val="0"/>
              <w:pageBreakBefore w:val="0"/>
              <w:widowControl/>
              <w:kinsoku/>
              <w:wordWrap/>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5.具有有效期内的危害分析与关键控制点体系认证证书，得1分；</w:t>
            </w:r>
          </w:p>
          <w:p>
            <w:pPr>
              <w:keepNext w:val="0"/>
              <w:keepLines w:val="0"/>
              <w:pageBreakBefore w:val="0"/>
              <w:widowControl/>
              <w:kinsoku/>
              <w:wordWrap/>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highlight w:val="none"/>
              </w:rPr>
              <w:t>6.具有有效期内的售后服务认证证书，得1分；</w:t>
            </w:r>
          </w:p>
          <w:p>
            <w:pPr>
              <w:keepNext w:val="0"/>
              <w:keepLines w:val="0"/>
              <w:pageBreakBefore w:val="0"/>
              <w:widowControl/>
              <w:kinsoku/>
              <w:wordWrap/>
              <w:overflowPunct/>
              <w:topLinePunct w:val="0"/>
              <w:bidi w:val="0"/>
              <w:spacing w:line="320" w:lineRule="exact"/>
              <w:textAlignment w:val="auto"/>
              <w:rPr>
                <w:rFonts w:ascii="宋体" w:hAnsi="宋体" w:cs="宋体"/>
                <w:b/>
                <w:bCs/>
                <w:color w:val="000000" w:themeColor="text1"/>
                <w:highlight w:val="none"/>
              </w:rPr>
            </w:pPr>
            <w:r>
              <w:rPr>
                <w:rFonts w:hint="eastAsia" w:ascii="宋体" w:hAnsi="宋体" w:cs="宋体"/>
                <w:b/>
                <w:bCs/>
                <w:color w:val="000000" w:themeColor="text1"/>
                <w:highlight w:val="none"/>
              </w:rPr>
              <w:t>注：</w:t>
            </w:r>
          </w:p>
          <w:p>
            <w:pPr>
              <w:keepNext w:val="0"/>
              <w:keepLines w:val="0"/>
              <w:pageBreakBefore w:val="0"/>
              <w:widowControl/>
              <w:kinsoku/>
              <w:wordWrap/>
              <w:overflowPunct/>
              <w:topLinePunct w:val="0"/>
              <w:bidi w:val="0"/>
              <w:spacing w:line="320" w:lineRule="exact"/>
              <w:textAlignment w:val="auto"/>
              <w:rPr>
                <w:rFonts w:ascii="宋体" w:hAnsi="宋体" w:cs="宋体"/>
                <w:b/>
                <w:bCs/>
                <w:color w:val="000000" w:themeColor="text1"/>
                <w:highlight w:val="none"/>
              </w:rPr>
            </w:pPr>
            <w:r>
              <w:rPr>
                <w:rFonts w:hint="eastAsia" w:ascii="宋体" w:hAnsi="宋体" w:cs="宋体"/>
                <w:b/>
                <w:bCs/>
                <w:color w:val="000000" w:themeColor="text1"/>
                <w:highlight w:val="none"/>
              </w:rPr>
              <w:t>1</w:t>
            </w:r>
            <w:r>
              <w:rPr>
                <w:rFonts w:ascii="宋体" w:hAnsi="宋体" w:cs="宋体"/>
                <w:b/>
                <w:bCs/>
                <w:color w:val="000000" w:themeColor="text1"/>
                <w:highlight w:val="none"/>
              </w:rPr>
              <w:t>.</w:t>
            </w:r>
            <w:r>
              <w:rPr>
                <w:rFonts w:hint="eastAsia" w:ascii="宋体" w:hAnsi="宋体" w:cs="宋体"/>
                <w:b/>
                <w:bCs/>
                <w:color w:val="000000" w:themeColor="text1"/>
                <w:highlight w:val="none"/>
              </w:rPr>
              <w:t>投标人提供相关证明文件复印件并加盖投标人公章，未提供或提供不清晰导致无法判断的不得分；</w:t>
            </w:r>
          </w:p>
          <w:p>
            <w:pPr>
              <w:keepNext w:val="0"/>
              <w:keepLines w:val="0"/>
              <w:pageBreakBefore w:val="0"/>
              <w:widowControl/>
              <w:kinsoku/>
              <w:wordWrap/>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b/>
                <w:bCs/>
                <w:color w:val="000000" w:themeColor="text1"/>
                <w:highlight w:val="none"/>
              </w:rPr>
              <w:t>2</w:t>
            </w:r>
            <w:r>
              <w:rPr>
                <w:rFonts w:ascii="宋体" w:hAnsi="宋体" w:cs="宋体"/>
                <w:b/>
                <w:bCs/>
                <w:color w:val="000000" w:themeColor="text1"/>
                <w:highlight w:val="none"/>
              </w:rPr>
              <w:t>.</w:t>
            </w:r>
            <w:r>
              <w:rPr>
                <w:rFonts w:hint="eastAsia" w:ascii="宋体" w:hAnsi="宋体" w:cs="宋体"/>
                <w:b/>
                <w:bCs/>
                <w:color w:val="000000" w:themeColor="text1"/>
                <w:highlight w:val="none"/>
              </w:rPr>
              <w:t>需提供证书原件备查，否则不予计分。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5" w:type="dxa"/>
            <w:vMerge w:val="restart"/>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4</w:t>
            </w:r>
          </w:p>
        </w:tc>
        <w:tc>
          <w:tcPr>
            <w:tcW w:w="1556" w:type="dxa"/>
            <w:vMerge w:val="restart"/>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投标人的食品安全保障</w:t>
            </w:r>
          </w:p>
        </w:tc>
        <w:tc>
          <w:tcPr>
            <w:tcW w:w="848" w:type="dxa"/>
            <w:vMerge w:val="restart"/>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10分</w:t>
            </w:r>
          </w:p>
        </w:tc>
        <w:tc>
          <w:tcPr>
            <w:tcW w:w="638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购买有效的食品安全保险：</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食品安全责任险保额人民币5000万元（含）以上的，得5分；</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ascii="宋体" w:hAnsi="宋体" w:cs="宋体"/>
                <w:color w:val="000000" w:themeColor="text1"/>
                <w:highlight w:val="none"/>
              </w:rPr>
            </w:pPr>
            <w:r>
              <w:rPr>
                <w:rFonts w:hint="eastAsia" w:ascii="宋体" w:hAnsi="宋体" w:cs="宋体"/>
                <w:color w:val="000000" w:themeColor="text1"/>
                <w:highlight w:val="none"/>
              </w:rPr>
              <w:t>食品安全责任险保额人民币3000万元（含）—5000万元</w:t>
            </w:r>
            <w:r>
              <w:rPr>
                <w:rFonts w:hint="eastAsia" w:ascii="宋体" w:hAnsi="宋体" w:cs="宋体"/>
                <w:color w:val="000000" w:themeColor="text1"/>
                <w:kern w:val="0"/>
                <w:highlight w:val="none"/>
              </w:rPr>
              <w:t>（不含）</w:t>
            </w:r>
            <w:r>
              <w:rPr>
                <w:rFonts w:hint="eastAsia" w:ascii="宋体" w:hAnsi="宋体" w:cs="宋体"/>
                <w:color w:val="000000" w:themeColor="text1"/>
                <w:highlight w:val="none"/>
              </w:rPr>
              <w:t>的，得3分；</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ascii="宋体" w:hAnsi="宋体" w:cs="宋体"/>
                <w:color w:val="000000" w:themeColor="text1"/>
                <w:kern w:val="0"/>
                <w:highlight w:val="none"/>
              </w:rPr>
            </w:pPr>
            <w:r>
              <w:rPr>
                <w:rFonts w:hint="eastAsia" w:ascii="宋体" w:hAnsi="宋体" w:cs="宋体"/>
                <w:color w:val="000000" w:themeColor="text1"/>
                <w:highlight w:val="none"/>
              </w:rPr>
              <w:t>食品安全责任险保额人民币3000万元</w:t>
            </w:r>
            <w:r>
              <w:rPr>
                <w:rFonts w:hint="eastAsia" w:ascii="宋体" w:hAnsi="宋体" w:cs="宋体"/>
                <w:color w:val="000000" w:themeColor="text1"/>
                <w:kern w:val="0"/>
                <w:highlight w:val="none"/>
              </w:rPr>
              <w:t>（不含）以下</w:t>
            </w:r>
            <w:r>
              <w:rPr>
                <w:rFonts w:hint="eastAsia" w:ascii="宋体" w:hAnsi="宋体" w:cs="宋体"/>
                <w:color w:val="000000" w:themeColor="text1"/>
                <w:highlight w:val="none"/>
              </w:rPr>
              <w:t>的</w:t>
            </w:r>
            <w:r>
              <w:rPr>
                <w:rFonts w:hint="eastAsia" w:ascii="宋体" w:hAnsi="宋体" w:cs="宋体"/>
                <w:color w:val="000000" w:themeColor="text1"/>
                <w:kern w:val="0"/>
                <w:highlight w:val="none"/>
              </w:rPr>
              <w:t>，得1 分；</w:t>
            </w:r>
          </w:p>
          <w:p>
            <w:pPr>
              <w:keepNext w:val="0"/>
              <w:keepLines w:val="0"/>
              <w:pageBreakBefore w:val="0"/>
              <w:kinsoku/>
              <w:wordWrap/>
              <w:overflowPunct/>
              <w:topLinePunct w:val="0"/>
              <w:bidi w:val="0"/>
              <w:spacing w:line="320" w:lineRule="exact"/>
              <w:ind w:right="-57" w:rightChars="-27"/>
              <w:textAlignment w:val="auto"/>
              <w:rPr>
                <w:rFonts w:ascii="宋体" w:hAnsi="宋体" w:cs="宋体"/>
                <w:color w:val="000000" w:themeColor="text1"/>
                <w:kern w:val="0"/>
                <w:highlight w:val="none"/>
              </w:rPr>
            </w:pPr>
            <w:r>
              <w:rPr>
                <w:rFonts w:hint="eastAsia" w:ascii="宋体" w:hAnsi="宋体" w:cs="宋体"/>
                <w:color w:val="000000" w:themeColor="text1"/>
                <w:kern w:val="0"/>
                <w:highlight w:val="none"/>
              </w:rPr>
              <w:t>无</w:t>
            </w:r>
            <w:r>
              <w:rPr>
                <w:rFonts w:hint="eastAsia" w:ascii="宋体" w:hAnsi="宋体" w:cs="宋体"/>
                <w:color w:val="000000" w:themeColor="text1"/>
                <w:highlight w:val="none"/>
              </w:rPr>
              <w:t>食品安全责任险的</w:t>
            </w:r>
            <w:r>
              <w:rPr>
                <w:rFonts w:hint="eastAsia" w:ascii="宋体" w:hAnsi="宋体" w:cs="宋体"/>
                <w:color w:val="000000" w:themeColor="text1"/>
                <w:kern w:val="0"/>
                <w:highlight w:val="none"/>
              </w:rPr>
              <w:t>不得分。</w:t>
            </w:r>
          </w:p>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b/>
                <w:bCs/>
                <w:color w:val="000000" w:themeColor="text1"/>
                <w:highlight w:val="none"/>
              </w:rPr>
              <w:t>注：提供食品安全责任险的保险保单和发票复印件加盖投标人公章作为证明材料，未按要求提供或提供不清晰导致无法判断的不得分。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5" w:type="dxa"/>
            <w:vMerge w:val="continue"/>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p>
        </w:tc>
        <w:tc>
          <w:tcPr>
            <w:tcW w:w="1556" w:type="dxa"/>
            <w:vMerge w:val="continue"/>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p>
        </w:tc>
        <w:tc>
          <w:tcPr>
            <w:tcW w:w="848" w:type="dxa"/>
            <w:vMerge w:val="continue"/>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p>
        </w:tc>
        <w:tc>
          <w:tcPr>
            <w:tcW w:w="638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textAlignment w:val="auto"/>
              <w:rPr>
                <w:rFonts w:ascii="宋体" w:hAnsi="宋体" w:cs="宋体"/>
                <w:color w:val="000000" w:themeColor="text1"/>
                <w:highlight w:val="none"/>
              </w:rPr>
            </w:pPr>
            <w:r>
              <w:rPr>
                <w:rFonts w:hint="eastAsia" w:ascii="宋体" w:hAnsi="宋体" w:cs="宋体"/>
                <w:color w:val="000000" w:themeColor="text1"/>
                <w:szCs w:val="21"/>
                <w:highlight w:val="none"/>
              </w:rPr>
              <w:t>投标人</w:t>
            </w:r>
            <w:r>
              <w:rPr>
                <w:rFonts w:hint="eastAsia" w:ascii="宋体" w:hAnsi="宋体" w:cs="宋体"/>
                <w:color w:val="000000" w:themeColor="text1"/>
                <w:szCs w:val="21"/>
                <w:highlight w:val="none"/>
                <w:lang w:val="en-US" w:eastAsia="zh-CN"/>
              </w:rPr>
              <w:t>自</w:t>
            </w:r>
            <w:r>
              <w:rPr>
                <w:rFonts w:hint="eastAsia" w:ascii="宋体" w:hAnsi="宋体" w:cs="宋体"/>
                <w:color w:val="000000" w:themeColor="text1"/>
                <w:szCs w:val="21"/>
                <w:highlight w:val="none"/>
              </w:rPr>
              <w:t>有</w:t>
            </w:r>
            <w:r>
              <w:rPr>
                <w:rFonts w:hint="eastAsia" w:ascii="宋体" w:hAnsi="宋体" w:cs="宋体"/>
                <w:color w:val="000000" w:themeColor="text1"/>
                <w:szCs w:val="21"/>
                <w:highlight w:val="none"/>
                <w:lang w:val="en-US" w:eastAsia="zh-CN"/>
              </w:rPr>
              <w:t>或购买</w:t>
            </w:r>
            <w:r>
              <w:rPr>
                <w:rFonts w:hint="eastAsia" w:ascii="宋体" w:hAnsi="宋体" w:cs="宋体"/>
                <w:color w:val="000000" w:themeColor="text1"/>
                <w:szCs w:val="21"/>
                <w:highlight w:val="none"/>
              </w:rPr>
              <w:t>食品</w:t>
            </w:r>
            <w:r>
              <w:rPr>
                <w:rFonts w:hint="eastAsia" w:ascii="宋体" w:hAnsi="宋体" w:cs="宋体"/>
                <w:color w:val="000000" w:themeColor="text1"/>
                <w:szCs w:val="21"/>
                <w:highlight w:val="none"/>
                <w:lang w:val="en-US" w:eastAsia="zh-CN"/>
              </w:rPr>
              <w:t>相关</w:t>
            </w:r>
            <w:r>
              <w:rPr>
                <w:rFonts w:hint="eastAsia" w:ascii="宋体" w:hAnsi="宋体" w:cs="宋体"/>
                <w:color w:val="000000" w:themeColor="text1"/>
                <w:szCs w:val="21"/>
                <w:highlight w:val="none"/>
              </w:rPr>
              <w:t>追溯系统的，得5分。</w:t>
            </w:r>
          </w:p>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highlight w:val="none"/>
              </w:rPr>
            </w:pPr>
            <w:r>
              <w:rPr>
                <w:rFonts w:hint="eastAsia" w:ascii="宋体" w:hAnsi="宋体" w:cs="宋体"/>
                <w:b/>
                <w:bCs/>
                <w:color w:val="000000" w:themeColor="text1"/>
                <w:highlight w:val="none"/>
              </w:rPr>
              <w:t>注：</w:t>
            </w:r>
            <w:r>
              <w:rPr>
                <w:rFonts w:hint="eastAsia" w:ascii="宋体" w:hAnsi="宋体" w:cs="宋体"/>
                <w:color w:val="000000" w:themeColor="text1"/>
                <w:szCs w:val="21"/>
                <w:highlight w:val="none"/>
              </w:rPr>
              <w:t>提供追溯系统的计算机软件著作权登记证书或购买合同、发票复印件。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5"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5</w:t>
            </w:r>
          </w:p>
        </w:tc>
        <w:tc>
          <w:tcPr>
            <w:tcW w:w="1556"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便利性</w:t>
            </w:r>
          </w:p>
        </w:tc>
        <w:tc>
          <w:tcPr>
            <w:tcW w:w="84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4分</w:t>
            </w:r>
          </w:p>
        </w:tc>
        <w:tc>
          <w:tcPr>
            <w:tcW w:w="638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kern w:val="0"/>
                <w:highlight w:val="none"/>
              </w:rPr>
            </w:pPr>
            <w:r>
              <w:rPr>
                <w:rFonts w:hint="eastAsia" w:ascii="宋体" w:hAnsi="宋体" w:cs="宋体"/>
                <w:color w:val="000000" w:themeColor="text1"/>
                <w:kern w:val="0"/>
                <w:highlight w:val="none"/>
              </w:rPr>
              <w:t>为保证服务便利性，投标人承诺应急配送时间：</w:t>
            </w:r>
          </w:p>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kern w:val="0"/>
                <w:highlight w:val="none"/>
              </w:rPr>
            </w:pPr>
            <w:r>
              <w:rPr>
                <w:rFonts w:hint="eastAsia" w:ascii="宋体" w:hAnsi="宋体" w:cs="宋体"/>
                <w:color w:val="000000" w:themeColor="text1"/>
                <w:kern w:val="0"/>
                <w:highlight w:val="none"/>
              </w:rPr>
              <w:t>承诺40分钟内（含）配送到采购人的得4分；</w:t>
            </w:r>
          </w:p>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kern w:val="0"/>
                <w:highlight w:val="none"/>
              </w:rPr>
            </w:pPr>
            <w:r>
              <w:rPr>
                <w:rFonts w:hint="eastAsia" w:ascii="宋体" w:hAnsi="宋体" w:cs="宋体"/>
                <w:color w:val="000000" w:themeColor="text1"/>
                <w:kern w:val="0"/>
                <w:highlight w:val="none"/>
              </w:rPr>
              <w:t>承诺40分钟（不含）—50分钟（含）配送到采购人的得2分；</w:t>
            </w:r>
          </w:p>
          <w:p>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kern w:val="0"/>
                <w:highlight w:val="none"/>
              </w:rPr>
            </w:pPr>
            <w:r>
              <w:rPr>
                <w:rFonts w:hint="eastAsia" w:ascii="宋体" w:hAnsi="宋体" w:cs="宋体"/>
                <w:color w:val="000000" w:themeColor="text1"/>
                <w:kern w:val="0"/>
                <w:highlight w:val="none"/>
              </w:rPr>
              <w:t>承诺50分钟（不含）以上配送到采购人的得1分；</w:t>
            </w:r>
          </w:p>
          <w:p>
            <w:pPr>
              <w:keepNext w:val="0"/>
              <w:keepLines w:val="0"/>
              <w:pageBreakBefore w:val="0"/>
              <w:kinsoku/>
              <w:wordWrap/>
              <w:overflowPunct/>
              <w:topLinePunct w:val="0"/>
              <w:bidi w:val="0"/>
              <w:spacing w:line="320" w:lineRule="exact"/>
              <w:jc w:val="left"/>
              <w:textAlignment w:val="auto"/>
              <w:rPr>
                <w:rFonts w:ascii="宋体" w:hAnsi="宋体" w:cs="宋体"/>
                <w:b/>
                <w:bCs/>
                <w:color w:val="000000" w:themeColor="text1"/>
                <w:kern w:val="0"/>
                <w:highlight w:val="none"/>
              </w:rPr>
            </w:pPr>
            <w:r>
              <w:rPr>
                <w:rFonts w:hint="eastAsia" w:ascii="宋体" w:hAnsi="宋体" w:cs="宋体"/>
                <w:b/>
                <w:bCs/>
                <w:color w:val="000000" w:themeColor="text1"/>
                <w:kern w:val="0"/>
                <w:highlight w:val="none"/>
              </w:rPr>
              <w:t>注：投标人需提供承诺函加盖投标人公章，不提供不予计分。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331" w:type="dxa"/>
            <w:gridSpan w:val="2"/>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合计</w:t>
            </w:r>
          </w:p>
        </w:tc>
        <w:tc>
          <w:tcPr>
            <w:tcW w:w="84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r>
              <w:rPr>
                <w:rFonts w:hint="eastAsia" w:ascii="宋体" w:hAnsi="宋体" w:cs="宋体"/>
                <w:color w:val="000000" w:themeColor="text1"/>
                <w:highlight w:val="none"/>
              </w:rPr>
              <w:t>35分</w:t>
            </w:r>
          </w:p>
        </w:tc>
        <w:tc>
          <w:tcPr>
            <w:tcW w:w="6388" w:type="dxa"/>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bookmarkEnd w:id="1575"/>
    <w:bookmarkEnd w:id="1576"/>
    <w:bookmarkEnd w:id="1577"/>
    <w:bookmarkEnd w:id="1578"/>
    <w:bookmarkEnd w:id="1579"/>
    <w:bookmarkEnd w:id="1580"/>
    <w:bookmarkEnd w:id="1581"/>
    <w:bookmarkEnd w:id="1582"/>
    <w:bookmarkEnd w:id="1583"/>
    <w:bookmarkEnd w:id="1584"/>
    <w:p>
      <w:pPr>
        <w:rPr>
          <w:color w:val="000000" w:themeColor="text1"/>
          <w:highlight w:val="none"/>
        </w:rPr>
      </w:pPr>
      <w:bookmarkStart w:id="1595" w:name="_Hlt21939000"/>
      <w:bookmarkEnd w:id="1595"/>
      <w:bookmarkStart w:id="1596" w:name="_Toc330459994"/>
      <w:bookmarkStart w:id="1597" w:name="_Toc339019898"/>
      <w:bookmarkStart w:id="1598" w:name="_Toc349127635"/>
      <w:bookmarkStart w:id="1599" w:name="_Toc341348347"/>
      <w:bookmarkStart w:id="1600" w:name="_Toc349143598"/>
      <w:bookmarkStart w:id="1601" w:name="_Toc332206717"/>
      <w:bookmarkStart w:id="1602" w:name="_Toc340507451"/>
      <w:bookmarkStart w:id="1603" w:name="_Toc333238642"/>
      <w:bookmarkStart w:id="1604" w:name="_Toc345513910"/>
      <w:bookmarkStart w:id="1605" w:name="_Toc365967081"/>
      <w:bookmarkStart w:id="1606" w:name="_Toc337632367"/>
      <w:bookmarkStart w:id="1607" w:name="_Toc331684047"/>
      <w:bookmarkStart w:id="1608" w:name="_Toc365985187"/>
      <w:bookmarkStart w:id="1609" w:name="_Toc340672878"/>
      <w:bookmarkStart w:id="1610" w:name="_Toc339441096"/>
      <w:bookmarkStart w:id="1611" w:name="_Toc339362309"/>
      <w:bookmarkStart w:id="1612" w:name="_Toc333935696"/>
      <w:bookmarkStart w:id="1613" w:name="_Toc332270355"/>
      <w:bookmarkStart w:id="1614" w:name="_Toc333935355"/>
      <w:bookmarkStart w:id="1615" w:name="_Toc333237686"/>
      <w:bookmarkStart w:id="1616" w:name="_Toc342296769"/>
      <w:bookmarkStart w:id="1617" w:name="_Toc374454610"/>
      <w:bookmarkStart w:id="1618" w:name="_Toc350438758"/>
      <w:bookmarkStart w:id="1619" w:name="_Toc336681944"/>
      <w:bookmarkStart w:id="1620" w:name="_Toc340677079"/>
      <w:bookmarkStart w:id="1621" w:name="_Toc342060383"/>
      <w:bookmarkStart w:id="1622" w:name="_Toc350756459"/>
      <w:bookmarkStart w:id="1623" w:name="_Toc339020024"/>
      <w:bookmarkStart w:id="1624" w:name="_Toc339020104"/>
      <w:bookmarkStart w:id="1625" w:name="_Toc336681589"/>
      <w:bookmarkStart w:id="1626" w:name="_Toc331512907"/>
      <w:bookmarkStart w:id="1627" w:name="_Toc339020242"/>
      <w:bookmarkStart w:id="1628" w:name="_Toc333237797"/>
      <w:bookmarkStart w:id="1629" w:name="_Toc366072538"/>
      <w:r>
        <w:rPr>
          <w:rFonts w:hint="eastAsia"/>
          <w:color w:val="000000" w:themeColor="text1"/>
          <w:highlight w:val="none"/>
        </w:rPr>
        <w:br w:type="page"/>
      </w:r>
    </w:p>
    <w:p>
      <w:pPr>
        <w:pStyle w:val="3"/>
        <w:numPr>
          <w:ilvl w:val="0"/>
          <w:numId w:val="0"/>
        </w:numPr>
        <w:spacing w:beforeLines="0"/>
        <w:rPr>
          <w:color w:val="000000" w:themeColor="text1"/>
          <w:highlight w:val="none"/>
        </w:rPr>
      </w:pPr>
      <w:bookmarkStart w:id="1630" w:name="_Toc3623"/>
      <w:r>
        <w:rPr>
          <w:rFonts w:hint="eastAsia"/>
          <w:color w:val="000000" w:themeColor="text1"/>
          <w:highlight w:val="none"/>
        </w:rPr>
        <w:t xml:space="preserve">第四部分  </w:t>
      </w:r>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Start w:id="1631" w:name="_Hlt97188170"/>
      <w:bookmarkEnd w:id="1631"/>
      <w:r>
        <w:rPr>
          <w:rFonts w:hint="eastAsia"/>
          <w:color w:val="000000" w:themeColor="text1"/>
          <w:highlight w:val="none"/>
        </w:rPr>
        <w:t>采购项目合同（参考范本）</w:t>
      </w:r>
      <w:bookmarkEnd w:id="1630"/>
    </w:p>
    <w:p>
      <w:pPr>
        <w:rPr>
          <w:color w:val="000000" w:themeColor="text1"/>
          <w:highlight w:val="none"/>
        </w:rPr>
      </w:pPr>
    </w:p>
    <w:p>
      <w:pPr>
        <w:jc w:val="center"/>
        <w:rPr>
          <w:rFonts w:ascii="宋体" w:hAnsi="宋体"/>
          <w:b/>
          <w:color w:val="000000" w:themeColor="text1"/>
          <w:sz w:val="30"/>
          <w:szCs w:val="30"/>
          <w:highlight w:val="none"/>
        </w:rPr>
      </w:pPr>
    </w:p>
    <w:p>
      <w:pPr>
        <w:jc w:val="center"/>
        <w:rPr>
          <w:rFonts w:ascii="宋体" w:hAnsi="宋体"/>
          <w:b/>
          <w:color w:val="000000" w:themeColor="text1"/>
          <w:sz w:val="36"/>
          <w:szCs w:val="36"/>
          <w:highlight w:val="none"/>
        </w:rPr>
      </w:pPr>
    </w:p>
    <w:p>
      <w:pPr>
        <w:pStyle w:val="55"/>
        <w:rPr>
          <w:rFonts w:ascii="宋体" w:hAnsi="宋体"/>
          <w:b/>
          <w:color w:val="000000" w:themeColor="text1"/>
          <w:sz w:val="36"/>
          <w:szCs w:val="36"/>
          <w:highlight w:val="none"/>
        </w:rPr>
      </w:pPr>
    </w:p>
    <w:p>
      <w:pPr>
        <w:pStyle w:val="55"/>
        <w:rPr>
          <w:rFonts w:ascii="宋体" w:hAnsi="宋体"/>
          <w:b/>
          <w:color w:val="000000" w:themeColor="text1"/>
          <w:sz w:val="36"/>
          <w:szCs w:val="36"/>
          <w:highlight w:val="none"/>
        </w:rPr>
      </w:pPr>
    </w:p>
    <w:p>
      <w:pPr>
        <w:pStyle w:val="55"/>
        <w:rPr>
          <w:rFonts w:ascii="宋体" w:hAnsi="宋体"/>
          <w:b/>
          <w:color w:val="000000" w:themeColor="text1"/>
          <w:sz w:val="36"/>
          <w:szCs w:val="36"/>
          <w:highlight w:val="none"/>
        </w:rPr>
      </w:pPr>
    </w:p>
    <w:p>
      <w:pPr>
        <w:pStyle w:val="55"/>
        <w:rPr>
          <w:rFonts w:ascii="宋体" w:hAnsi="宋体"/>
          <w:b/>
          <w:color w:val="000000" w:themeColor="text1"/>
          <w:sz w:val="36"/>
          <w:szCs w:val="36"/>
          <w:highlight w:val="none"/>
        </w:rPr>
      </w:pPr>
    </w:p>
    <w:p>
      <w:pPr>
        <w:jc w:val="center"/>
        <w:rPr>
          <w:rFonts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ascii="宋体" w:hAnsi="宋体"/>
          <w:b/>
          <w:color w:val="000000" w:themeColor="text1"/>
          <w:sz w:val="28"/>
          <w:szCs w:val="28"/>
          <w:highlight w:val="none"/>
        </w:rPr>
      </w:pPr>
    </w:p>
    <w:p>
      <w:pPr>
        <w:jc w:val="center"/>
        <w:rPr>
          <w:rFonts w:ascii="宋体" w:hAnsi="宋体"/>
          <w:b/>
          <w:color w:val="000000" w:themeColor="text1"/>
          <w:sz w:val="28"/>
          <w:szCs w:val="28"/>
          <w:highlight w:val="none"/>
        </w:rPr>
      </w:pPr>
    </w:p>
    <w:p>
      <w:pPr>
        <w:jc w:val="center"/>
        <w:rPr>
          <w:rFonts w:ascii="宋体" w:hAnsi="宋体"/>
          <w:b/>
          <w:color w:val="000000" w:themeColor="text1"/>
          <w:sz w:val="28"/>
          <w:szCs w:val="28"/>
          <w:highlight w:val="none"/>
        </w:rPr>
      </w:pPr>
    </w:p>
    <w:p>
      <w:pPr>
        <w:ind w:firstLine="1968" w:firstLineChars="700"/>
        <w:rPr>
          <w:rFonts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ascii="宋体" w:hAnsi="宋体"/>
          <w:b/>
          <w:color w:val="000000" w:themeColor="text1"/>
          <w:sz w:val="28"/>
          <w:szCs w:val="28"/>
          <w:highlight w:val="none"/>
        </w:rPr>
      </w:pPr>
    </w:p>
    <w:p>
      <w:pPr>
        <w:ind w:firstLine="1968" w:firstLineChars="700"/>
        <w:rPr>
          <w:rFonts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ascii="宋体" w:hAnsi="宋体"/>
          <w:b/>
          <w:color w:val="000000" w:themeColor="text1"/>
          <w:sz w:val="28"/>
          <w:szCs w:val="28"/>
          <w:highlight w:val="none"/>
        </w:rPr>
      </w:pPr>
    </w:p>
    <w:p>
      <w:pPr>
        <w:rPr>
          <w:rFonts w:ascii="宋体" w:hAnsi="宋体"/>
          <w:b/>
          <w:color w:val="000000" w:themeColor="text1"/>
          <w:sz w:val="28"/>
          <w:szCs w:val="28"/>
          <w:highlight w:val="none"/>
        </w:rPr>
      </w:pPr>
    </w:p>
    <w:p>
      <w:pPr>
        <w:rPr>
          <w:rFonts w:ascii="宋体" w:hAnsi="宋体"/>
          <w:b/>
          <w:color w:val="000000" w:themeColor="text1"/>
          <w:sz w:val="28"/>
          <w:szCs w:val="28"/>
          <w:highlight w:val="none"/>
        </w:rPr>
      </w:pPr>
    </w:p>
    <w:p>
      <w:pPr>
        <w:rPr>
          <w:rFonts w:ascii="宋体" w:hAnsi="宋体"/>
          <w:b/>
          <w:color w:val="000000" w:themeColor="text1"/>
          <w:sz w:val="28"/>
          <w:szCs w:val="28"/>
          <w:highlight w:val="none"/>
        </w:rPr>
      </w:pPr>
    </w:p>
    <w:p>
      <w:pPr>
        <w:rPr>
          <w:rFonts w:ascii="宋体" w:hAnsi="宋体"/>
          <w:b/>
          <w:color w:val="000000" w:themeColor="text1"/>
          <w:sz w:val="28"/>
          <w:szCs w:val="28"/>
          <w:highlight w:val="none"/>
        </w:rPr>
      </w:pPr>
    </w:p>
    <w:p>
      <w:pPr>
        <w:rPr>
          <w:rFonts w:ascii="宋体" w:hAnsi="宋体"/>
          <w:b/>
          <w:color w:val="000000" w:themeColor="text1"/>
          <w:sz w:val="28"/>
          <w:szCs w:val="28"/>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ascii="宋体" w:hAnsi="宋体"/>
          <w:color w:val="000000" w:themeColor="text1"/>
          <w:szCs w:val="21"/>
          <w:highlight w:val="none"/>
        </w:rPr>
      </w:pPr>
    </w:p>
    <w:p>
      <w:pPr>
        <w:pageBreakBefore/>
        <w:tabs>
          <w:tab w:val="left" w:pos="720"/>
        </w:tabs>
        <w:spacing w:beforeLines="100" w:line="360" w:lineRule="auto"/>
        <w:rPr>
          <w:rFonts w:ascii="宋体" w:hAnsi="宋体" w:cs="宋体"/>
          <w:b/>
          <w:color w:val="000000" w:themeColor="text1"/>
          <w:szCs w:val="21"/>
          <w:highlight w:val="none"/>
        </w:rPr>
      </w:pPr>
      <w:r>
        <w:rPr>
          <w:rFonts w:hint="eastAsia" w:ascii="宋体" w:hAnsi="宋体" w:cs="宋体"/>
          <w:b/>
          <w:color w:val="000000" w:themeColor="text1"/>
          <w:szCs w:val="21"/>
          <w:highlight w:val="none"/>
        </w:rPr>
        <w:t>甲    方：</w:t>
      </w:r>
      <w:r>
        <w:rPr>
          <w:rFonts w:hint="eastAsia" w:ascii="宋体" w:hAnsi="宋体" w:cs="宋体"/>
          <w:b/>
          <w:color w:val="000000" w:themeColor="text1"/>
          <w:szCs w:val="21"/>
          <w:highlight w:val="none"/>
          <w:u w:val="single"/>
        </w:rPr>
        <w:t xml:space="preserve">                   </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电    话：           　   传  真：           地  址：</w:t>
      </w:r>
    </w:p>
    <w:p>
      <w:pPr>
        <w:spacing w:line="360" w:lineRule="auto"/>
        <w:rPr>
          <w:rFonts w:ascii="宋体" w:hAnsi="宋体" w:cs="宋体"/>
          <w:b/>
          <w:color w:val="000000" w:themeColor="text1"/>
          <w:szCs w:val="21"/>
          <w:highlight w:val="none"/>
        </w:rPr>
      </w:pPr>
      <w:r>
        <w:rPr>
          <w:rFonts w:hint="eastAsia" w:ascii="宋体" w:hAnsi="宋体" w:cs="宋体"/>
          <w:b/>
          <w:color w:val="000000" w:themeColor="text1"/>
          <w:szCs w:val="21"/>
          <w:highlight w:val="none"/>
        </w:rPr>
        <w:t>乙    方：</w:t>
      </w:r>
      <w:r>
        <w:rPr>
          <w:rFonts w:hint="eastAsia" w:ascii="宋体" w:hAnsi="宋体" w:cs="宋体"/>
          <w:b/>
          <w:color w:val="000000" w:themeColor="text1"/>
          <w:szCs w:val="21"/>
          <w:highlight w:val="none"/>
          <w:u w:val="single"/>
        </w:rPr>
        <w:t xml:space="preserve">                    </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电    话：                传  真：           地  址：   </w:t>
      </w:r>
    </w:p>
    <w:p>
      <w:pPr>
        <w:tabs>
          <w:tab w:val="left" w:pos="720"/>
        </w:tabs>
        <w:spacing w:line="360" w:lineRule="auto"/>
        <w:rPr>
          <w:rFonts w:ascii="宋体" w:hAnsi="宋体" w:cs="宋体"/>
          <w:b/>
          <w:color w:val="000000" w:themeColor="text1"/>
          <w:szCs w:val="21"/>
          <w:highlight w:val="none"/>
        </w:rPr>
      </w:pPr>
      <w:r>
        <w:rPr>
          <w:rFonts w:hint="eastAsia" w:ascii="宋体" w:hAnsi="宋体" w:cs="宋体"/>
          <w:color w:val="000000" w:themeColor="text1"/>
          <w:szCs w:val="21"/>
          <w:highlight w:val="none"/>
        </w:rPr>
        <w:t xml:space="preserve">项目名称：                                   采购编号：               </w:t>
      </w:r>
    </w:p>
    <w:p>
      <w:pPr>
        <w:spacing w:line="360" w:lineRule="auto"/>
        <w:rPr>
          <w:rFonts w:ascii="宋体" w:hAnsi="宋体" w:cs="宋体"/>
          <w:color w:val="000000" w:themeColor="text1"/>
          <w:szCs w:val="21"/>
          <w:highlight w:val="none"/>
        </w:rPr>
      </w:pPr>
    </w:p>
    <w:p>
      <w:pPr>
        <w:spacing w:line="360" w:lineRule="auto"/>
        <w:ind w:firstLine="555"/>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根据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项目（采购编号：</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rPr>
        <w:t>）的采购结果及招标投标文件中的相关约定，按照《中华人民共和国政府采购法》、《中华人民共和国民法典》的规定，</w:t>
      </w:r>
      <w:r>
        <w:rPr>
          <w:rFonts w:hint="eastAsia" w:ascii="宋体" w:hAnsi="宋体" w:cs="宋体"/>
          <w:color w:val="000000" w:themeColor="text1"/>
          <w:kern w:val="28"/>
          <w:szCs w:val="21"/>
          <w:highlight w:val="none"/>
        </w:rPr>
        <w:t>经双方协商，</w:t>
      </w:r>
      <w:r>
        <w:rPr>
          <w:rFonts w:hint="eastAsia" w:ascii="宋体" w:hAnsi="宋体" w:cs="宋体"/>
          <w:color w:val="000000" w:themeColor="text1"/>
          <w:szCs w:val="21"/>
          <w:highlight w:val="none"/>
        </w:rPr>
        <w:t>本着平等互利和诚实信用的原则，</w:t>
      </w:r>
      <w:r>
        <w:rPr>
          <w:rFonts w:hint="eastAsia" w:ascii="宋体" w:hAnsi="宋体" w:cs="宋体"/>
          <w:color w:val="000000" w:themeColor="text1"/>
          <w:kern w:val="28"/>
          <w:szCs w:val="21"/>
          <w:highlight w:val="none"/>
        </w:rPr>
        <w:t>一致同意签订本合同如下。</w:t>
      </w:r>
    </w:p>
    <w:p>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一、</w:t>
      </w:r>
      <w:r>
        <w:rPr>
          <w:rFonts w:hint="eastAsia" w:ascii="宋体" w:hAnsi="宋体" w:cs="宋体"/>
          <w:b/>
          <w:bCs/>
          <w:color w:val="000000" w:themeColor="text1"/>
          <w:szCs w:val="21"/>
          <w:highlight w:val="none"/>
        </w:rPr>
        <w:tab/>
      </w:r>
      <w:r>
        <w:rPr>
          <w:rFonts w:hint="eastAsia" w:ascii="宋体" w:hAnsi="宋体" w:cs="宋体"/>
          <w:b/>
          <w:bCs/>
          <w:color w:val="000000" w:themeColor="text1"/>
          <w:szCs w:val="21"/>
          <w:highlight w:val="none"/>
        </w:rPr>
        <w:t>合同金额</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合同金额为人民币（大写              ）（￥         </w:t>
      </w:r>
      <w:r>
        <w:rPr>
          <w:rFonts w:hint="eastAsia" w:ascii="宋体" w:hAnsi="宋体" w:cs="宋体"/>
          <w:color w:val="000000" w:themeColor="text1"/>
          <w:szCs w:val="21"/>
          <w:highlight w:val="none"/>
        </w:rPr>
        <w:tab/>
      </w:r>
      <w:r>
        <w:rPr>
          <w:rFonts w:hint="eastAsia" w:ascii="宋体" w:hAnsi="宋体" w:cs="宋体"/>
          <w:color w:val="000000" w:themeColor="text1"/>
          <w:szCs w:val="21"/>
          <w:highlight w:val="none"/>
        </w:rPr>
        <w:t>元）。</w:t>
      </w:r>
    </w:p>
    <w:p>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二、</w:t>
      </w:r>
      <w:r>
        <w:rPr>
          <w:rFonts w:hint="eastAsia" w:ascii="宋体" w:hAnsi="宋体" w:cs="宋体"/>
          <w:b/>
          <w:bCs/>
          <w:color w:val="000000" w:themeColor="text1"/>
          <w:szCs w:val="21"/>
          <w:highlight w:val="none"/>
        </w:rPr>
        <w:tab/>
      </w:r>
      <w:r>
        <w:rPr>
          <w:rFonts w:hint="eastAsia" w:ascii="宋体" w:hAnsi="宋体" w:cs="宋体"/>
          <w:b/>
          <w:bCs/>
          <w:color w:val="000000" w:themeColor="text1"/>
          <w:szCs w:val="21"/>
          <w:highlight w:val="none"/>
        </w:rPr>
        <w:t>服务范围</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甲方聘请乙方提供以下服务：</w:t>
      </w:r>
    </w:p>
    <w:p>
      <w:pPr>
        <w:numPr>
          <w:ilvl w:val="0"/>
          <w:numId w:val="32"/>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u w:val="single"/>
        </w:rPr>
        <w:t xml:space="preserve">             </w:t>
      </w:r>
    </w:p>
    <w:p>
      <w:pPr>
        <w:numPr>
          <w:ilvl w:val="0"/>
          <w:numId w:val="32"/>
        </w:numPr>
        <w:spacing w:line="360" w:lineRule="auto"/>
        <w:rPr>
          <w:rFonts w:ascii="宋体" w:hAnsi="宋体" w:cs="宋体"/>
          <w:color w:val="000000" w:themeColor="text1"/>
          <w:szCs w:val="21"/>
          <w:highlight w:val="none"/>
          <w:u w:val="single"/>
        </w:rPr>
      </w:pP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rPr>
        <w:tab/>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w:t>
      </w:r>
    </w:p>
    <w:p>
      <w:pPr>
        <w:pStyle w:val="55"/>
        <w:spacing w:line="360" w:lineRule="auto"/>
        <w:rPr>
          <w:rFonts w:ascii="宋体" w:hAnsi="宋体" w:eastAsia="宋体" w:cs="宋体"/>
          <w:b/>
          <w:bCs/>
          <w:color w:val="000000" w:themeColor="text1"/>
          <w:sz w:val="21"/>
          <w:szCs w:val="21"/>
          <w:highlight w:val="none"/>
        </w:rPr>
      </w:pPr>
      <w:r>
        <w:rPr>
          <w:rFonts w:hint="eastAsia" w:eastAsia="宋体"/>
          <w:b/>
          <w:bCs/>
          <w:color w:val="000000" w:themeColor="text1"/>
          <w:highlight w:val="none"/>
        </w:rPr>
        <w:t>三、</w:t>
      </w:r>
      <w:r>
        <w:rPr>
          <w:rFonts w:hint="eastAsia" w:ascii="宋体" w:hAnsi="宋体" w:eastAsia="宋体" w:cs="宋体"/>
          <w:b/>
          <w:bCs/>
          <w:color w:val="000000" w:themeColor="text1"/>
          <w:sz w:val="21"/>
          <w:szCs w:val="21"/>
          <w:highlight w:val="none"/>
        </w:rPr>
        <w:t>甲方乙方的权利和义务</w:t>
      </w:r>
    </w:p>
    <w:p>
      <w:pPr>
        <w:pStyle w:val="55"/>
        <w:spacing w:line="360" w:lineRule="auto"/>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1、甲方的权利和义务</w:t>
      </w:r>
    </w:p>
    <w:p>
      <w:pPr>
        <w:pStyle w:val="55"/>
        <w:spacing w:line="360" w:lineRule="auto"/>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2、乙方的权利和义务</w:t>
      </w:r>
    </w:p>
    <w:p>
      <w:pPr>
        <w:pStyle w:val="55"/>
        <w:spacing w:line="360" w:lineRule="auto"/>
        <w:rPr>
          <w:rFonts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四、服务期间（项目完成期限）</w:t>
      </w:r>
    </w:p>
    <w:p>
      <w:pPr>
        <w:pStyle w:val="55"/>
        <w:spacing w:line="360" w:lineRule="auto"/>
        <w:rPr>
          <w:rFonts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1、委托服务期间自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5"/>
        <w:spacing w:line="360" w:lineRule="auto"/>
        <w:rPr>
          <w:rFonts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pPr>
        <w:pStyle w:val="55"/>
        <w:spacing w:line="360" w:lineRule="auto"/>
        <w:rPr>
          <w:rFonts w:ascii="宋体" w:hAnsi="宋体" w:eastAsia="宋体" w:cs="宋体"/>
          <w:b/>
          <w:bCs/>
          <w:color w:val="000000" w:themeColor="text1"/>
          <w:sz w:val="21"/>
          <w:szCs w:val="21"/>
          <w:highlight w:val="none"/>
        </w:rPr>
      </w:pPr>
    </w:p>
    <w:p>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六、 知识产权归属</w:t>
      </w:r>
    </w:p>
    <w:p>
      <w:pPr>
        <w:pStyle w:val="55"/>
        <w:rPr>
          <w:color w:val="000000" w:themeColor="text1"/>
          <w:highlight w:val="none"/>
        </w:rPr>
      </w:pPr>
    </w:p>
    <w:p>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七 、 保 密</w:t>
      </w:r>
    </w:p>
    <w:p>
      <w:pPr>
        <w:pStyle w:val="55"/>
        <w:rPr>
          <w:color w:val="000000" w:themeColor="text1"/>
          <w:highlight w:val="none"/>
        </w:rPr>
      </w:pPr>
    </w:p>
    <w:p>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八、 违约责任与赔偿损失</w:t>
      </w:r>
    </w:p>
    <w:p>
      <w:pPr>
        <w:numPr>
          <w:ilvl w:val="0"/>
          <w:numId w:val="33"/>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乙方提供的服务不符合本合同规定的，甲方有权拒收，并且乙方须向甲方支付本合同总价 5%的违约金。</w:t>
      </w:r>
    </w:p>
    <w:p>
      <w:pPr>
        <w:numPr>
          <w:ilvl w:val="0"/>
          <w:numId w:val="33"/>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numPr>
          <w:ilvl w:val="0"/>
          <w:numId w:val="33"/>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甲方无正当理由拒收接受服务，到期拒付服务款项的，甲方向乙方偿付本合同总的5%的违约金。甲方人逾期付款，则每日按本合同总价的 3‰向乙方偿付违约金。</w:t>
      </w:r>
    </w:p>
    <w:p>
      <w:pPr>
        <w:numPr>
          <w:ilvl w:val="0"/>
          <w:numId w:val="33"/>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对于因甲方原因导致变更、中止或者终止政府采购合同的，甲方应当依照以下合同约定对供应商受到的损失予以赔偿或者补偿：</w:t>
      </w:r>
    </w:p>
    <w:p>
      <w:pPr>
        <w:numPr>
          <w:ilvl w:val="0"/>
          <w:numId w:val="33"/>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其它违约责任按《中华人民共和国民法典》处理。</w:t>
      </w:r>
    </w:p>
    <w:p>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九、 争议的解决</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1.合同执行过程中发生的任何争议，如双方不能通过友好协商解决，按相关法律法规处理。</w:t>
      </w:r>
    </w:p>
    <w:p>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十、 不可抗力</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十一、  税费</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1.在中国境内、外发生的与本合同执行有关的一切税费均由乙方负担。</w:t>
      </w:r>
    </w:p>
    <w:p>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十二、 其它</w:t>
      </w:r>
    </w:p>
    <w:p>
      <w:pPr>
        <w:numPr>
          <w:ilvl w:val="0"/>
          <w:numId w:val="34"/>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本合同所有附件、招标文件、投标文件、中标通知书均为合同的有效组成部分，与本合同具有同等法律效力。</w:t>
      </w:r>
    </w:p>
    <w:p>
      <w:pPr>
        <w:numPr>
          <w:ilvl w:val="0"/>
          <w:numId w:val="34"/>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在执行本合同的过程中，所有经双方签署确认的文件（包括会议纪要、补充协议、往来信函）即成为本合同的有效组成部分。</w:t>
      </w:r>
    </w:p>
    <w:p>
      <w:pPr>
        <w:numPr>
          <w:ilvl w:val="0"/>
          <w:numId w:val="34"/>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如一方地址、电话、传真号码有变更，应在变更当日内书面通知对方，否则，应承担相应责任。</w:t>
      </w:r>
    </w:p>
    <w:p>
      <w:pPr>
        <w:numPr>
          <w:ilvl w:val="0"/>
          <w:numId w:val="34"/>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除甲方事先书面同意外，乙方不得部分或全部转让其应履行的合同项下的义务。</w:t>
      </w:r>
    </w:p>
    <w:p>
      <w:pPr>
        <w:spacing w:line="360" w:lineRule="auto"/>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十三、</w:t>
      </w:r>
      <w:r>
        <w:rPr>
          <w:rFonts w:hint="eastAsia" w:ascii="宋体" w:hAnsi="宋体" w:cs="宋体"/>
          <w:b/>
          <w:bCs/>
          <w:color w:val="000000" w:themeColor="text1"/>
          <w:szCs w:val="21"/>
          <w:highlight w:val="none"/>
        </w:rPr>
        <w:tab/>
      </w:r>
      <w:r>
        <w:rPr>
          <w:rFonts w:hint="eastAsia" w:ascii="宋体" w:hAnsi="宋体" w:cs="宋体"/>
          <w:b/>
          <w:bCs/>
          <w:color w:val="000000" w:themeColor="text1"/>
          <w:szCs w:val="21"/>
          <w:highlight w:val="none"/>
        </w:rPr>
        <w:t>合同生效</w:t>
      </w:r>
    </w:p>
    <w:p>
      <w:pPr>
        <w:numPr>
          <w:ilvl w:val="0"/>
          <w:numId w:val="35"/>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本合同在甲乙双方法人代表或其授权代表签字盖章后生效。</w:t>
      </w:r>
    </w:p>
    <w:p>
      <w:pPr>
        <w:numPr>
          <w:ilvl w:val="0"/>
          <w:numId w:val="35"/>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合同一式 </w:t>
      </w:r>
      <w:r>
        <w:rPr>
          <w:rFonts w:hint="eastAsia" w:ascii="宋体" w:hAnsi="宋体" w:cs="宋体"/>
          <w:color w:val="000000" w:themeColor="text1"/>
          <w:szCs w:val="21"/>
          <w:highlight w:val="none"/>
          <w:u w:val="single"/>
        </w:rPr>
        <w:t xml:space="preserve">    </w:t>
      </w:r>
      <w:r>
        <w:rPr>
          <w:rFonts w:hint="eastAsia" w:ascii="宋体" w:hAnsi="宋体" w:cs="宋体"/>
          <w:color w:val="000000" w:themeColor="text1"/>
          <w:szCs w:val="21"/>
          <w:highlight w:val="none"/>
          <w:u w:val="single"/>
        </w:rPr>
        <w:tab/>
      </w:r>
      <w:r>
        <w:rPr>
          <w:rFonts w:hint="eastAsia" w:ascii="宋体" w:hAnsi="宋体" w:cs="宋体"/>
          <w:color w:val="000000" w:themeColor="text1"/>
          <w:szCs w:val="21"/>
          <w:highlight w:val="none"/>
        </w:rPr>
        <w:t>份。</w:t>
      </w:r>
    </w:p>
    <w:p>
      <w:pPr>
        <w:numPr>
          <w:ilvl w:val="0"/>
          <w:numId w:val="35"/>
        </w:num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本项目合同订立后，应提供一份至</w:t>
      </w:r>
      <w:r>
        <w:rPr>
          <w:rFonts w:hint="eastAsia" w:ascii="宋体" w:hAnsi="宋体" w:cs="宋体"/>
          <w:color w:val="000000" w:themeColor="text1"/>
          <w:szCs w:val="21"/>
          <w:highlight w:val="none"/>
          <w:u w:val="single"/>
        </w:rPr>
        <w:t>广东业信采购招标有限公司、当地管理部门</w:t>
      </w:r>
      <w:r>
        <w:rPr>
          <w:rFonts w:hint="eastAsia" w:ascii="宋体" w:hAnsi="宋体" w:cs="宋体"/>
          <w:color w:val="000000" w:themeColor="text1"/>
          <w:szCs w:val="21"/>
          <w:highlight w:val="none"/>
        </w:rPr>
        <w:t xml:space="preserve">备案； </w:t>
      </w:r>
    </w:p>
    <w:p>
      <w:pPr>
        <w:spacing w:line="360" w:lineRule="auto"/>
        <w:rPr>
          <w:rFonts w:ascii="宋体" w:hAnsi="宋体" w:cs="宋体"/>
          <w:color w:val="000000" w:themeColor="text1"/>
          <w:szCs w:val="21"/>
          <w:highlight w:val="none"/>
        </w:rPr>
      </w:pPr>
    </w:p>
    <w:p>
      <w:pPr>
        <w:pStyle w:val="55"/>
        <w:spacing w:line="360" w:lineRule="auto"/>
        <w:rPr>
          <w:rFonts w:ascii="宋体" w:hAnsi="宋体" w:eastAsia="宋体" w:cs="宋体"/>
          <w:color w:val="000000" w:themeColor="text1"/>
          <w:sz w:val="21"/>
          <w:szCs w:val="21"/>
          <w:highlight w:val="none"/>
        </w:rPr>
      </w:pPr>
    </w:p>
    <w:p>
      <w:pPr>
        <w:spacing w:line="360" w:lineRule="auto"/>
        <w:rPr>
          <w:rFonts w:ascii="宋体" w:hAnsi="宋体" w:cs="宋体"/>
          <w:color w:val="000000" w:themeColor="text1"/>
          <w:szCs w:val="21"/>
          <w:highlight w:val="none"/>
        </w:rPr>
      </w:pPr>
    </w:p>
    <w:p>
      <w:pPr>
        <w:spacing w:line="360" w:lineRule="auto"/>
        <w:rPr>
          <w:rFonts w:ascii="宋体" w:hAnsi="宋体" w:cs="宋体"/>
          <w:b/>
          <w:color w:val="000000" w:themeColor="text1"/>
          <w:szCs w:val="21"/>
          <w:highlight w:val="none"/>
        </w:rPr>
      </w:pPr>
      <w:r>
        <w:rPr>
          <w:rFonts w:hint="eastAsia" w:ascii="宋体" w:hAnsi="宋体" w:cs="宋体"/>
          <w:b/>
          <w:color w:val="000000" w:themeColor="text1"/>
          <w:szCs w:val="21"/>
          <w:highlight w:val="none"/>
        </w:rPr>
        <w:t>甲方（盖章）：                         乙方（盖章）：</w:t>
      </w:r>
    </w:p>
    <w:p>
      <w:pPr>
        <w:spacing w:line="360" w:lineRule="auto"/>
        <w:rPr>
          <w:rFonts w:ascii="宋体" w:hAnsi="宋体" w:cs="宋体"/>
          <w:b/>
          <w:color w:val="000000" w:themeColor="text1"/>
          <w:szCs w:val="21"/>
          <w:highlight w:val="none"/>
        </w:rPr>
      </w:pPr>
      <w:r>
        <w:rPr>
          <w:rFonts w:hint="eastAsia" w:ascii="宋体" w:hAnsi="宋体" w:cs="宋体"/>
          <w:b/>
          <w:color w:val="000000" w:themeColor="text1"/>
          <w:szCs w:val="21"/>
          <w:highlight w:val="none"/>
        </w:rPr>
        <w:t xml:space="preserve">代表：                                代表： </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签定地点：</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签定日期：   年   月  日              签定日期：    年   月   日    </w:t>
      </w:r>
    </w:p>
    <w:p>
      <w:pPr>
        <w:spacing w:line="360" w:lineRule="auto"/>
        <w:ind w:firstLine="4042" w:firstLineChars="1925"/>
        <w:rPr>
          <w:rFonts w:ascii="宋体" w:hAnsi="宋体" w:cs="宋体"/>
          <w:color w:val="000000" w:themeColor="text1"/>
          <w:szCs w:val="21"/>
          <w:highlight w:val="none"/>
        </w:rPr>
      </w:pPr>
      <w:r>
        <w:rPr>
          <w:rFonts w:hint="eastAsia" w:ascii="宋体" w:hAnsi="宋体" w:cs="宋体"/>
          <w:color w:val="000000" w:themeColor="text1"/>
          <w:szCs w:val="21"/>
          <w:highlight w:val="none"/>
        </w:rPr>
        <w:t>开户名称：</w:t>
      </w:r>
    </w:p>
    <w:p>
      <w:pPr>
        <w:spacing w:line="360" w:lineRule="auto"/>
        <w:ind w:firstLine="4042" w:firstLineChars="1925"/>
        <w:rPr>
          <w:rFonts w:ascii="宋体" w:hAnsi="宋体" w:cs="宋体"/>
          <w:color w:val="000000" w:themeColor="text1"/>
          <w:szCs w:val="21"/>
          <w:highlight w:val="none"/>
        </w:rPr>
      </w:pPr>
      <w:r>
        <w:rPr>
          <w:rFonts w:hint="eastAsia" w:ascii="宋体" w:hAnsi="宋体" w:cs="宋体"/>
          <w:color w:val="000000" w:themeColor="text1"/>
          <w:szCs w:val="21"/>
          <w:highlight w:val="none"/>
        </w:rPr>
        <w:t>银行帐号：</w:t>
      </w:r>
    </w:p>
    <w:p>
      <w:pPr>
        <w:spacing w:line="360" w:lineRule="auto"/>
        <w:ind w:firstLine="4042" w:firstLineChars="1925"/>
        <w:rPr>
          <w:color w:val="000000" w:themeColor="text1"/>
          <w:highlight w:val="none"/>
        </w:rPr>
      </w:pPr>
      <w:r>
        <w:rPr>
          <w:rFonts w:hint="eastAsia" w:ascii="宋体" w:hAnsi="宋体" w:cs="宋体"/>
          <w:color w:val="000000" w:themeColor="text1"/>
          <w:szCs w:val="21"/>
          <w:highlight w:val="none"/>
        </w:rPr>
        <w:t>开 户 行：</w:t>
      </w:r>
    </w:p>
    <w:p>
      <w:pPr>
        <w:rPr>
          <w:color w:val="000000" w:themeColor="text1"/>
          <w:highlight w:val="none"/>
        </w:rPr>
      </w:pP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32" w:name="_Toc342060384"/>
      <w:bookmarkStart w:id="1633" w:name="_Toc342296770"/>
      <w:bookmarkStart w:id="1634" w:name="_Toc339441097"/>
      <w:bookmarkStart w:id="1635" w:name="_Toc339020025"/>
      <w:bookmarkStart w:id="1636" w:name="_Toc339362310"/>
      <w:bookmarkStart w:id="1637" w:name="_Toc339020243"/>
      <w:bookmarkStart w:id="1638" w:name="_Toc340677080"/>
      <w:bookmarkStart w:id="1639" w:name="_Toc339019899"/>
      <w:bookmarkStart w:id="1640" w:name="_Toc331684048"/>
      <w:bookmarkStart w:id="1641" w:name="_Toc332206718"/>
      <w:bookmarkStart w:id="1642" w:name="_Toc333237687"/>
      <w:bookmarkStart w:id="1643" w:name="_Toc331512908"/>
      <w:bookmarkStart w:id="1644" w:name="_Toc333935356"/>
      <w:bookmarkStart w:id="1645" w:name="_Toc333238643"/>
      <w:bookmarkStart w:id="1646" w:name="_Toc491658678"/>
      <w:bookmarkStart w:id="1647" w:name="_Toc339020105"/>
      <w:bookmarkStart w:id="1648" w:name="_Toc333237798"/>
      <w:bookmarkStart w:id="1649" w:name="_Toc341348348"/>
      <w:bookmarkStart w:id="1650" w:name="_Toc332270356"/>
      <w:bookmarkStart w:id="1651" w:name="_Toc345513911"/>
      <w:bookmarkStart w:id="1652" w:name="_Toc365967082"/>
      <w:bookmarkStart w:id="1653" w:name="_Toc336681590"/>
      <w:bookmarkStart w:id="1654" w:name="_Toc349143599"/>
      <w:bookmarkStart w:id="1655" w:name="_Toc366072539"/>
      <w:bookmarkStart w:id="1656" w:name="_Toc340672879"/>
      <w:bookmarkStart w:id="1657" w:name="_Toc333935697"/>
      <w:bookmarkStart w:id="1658" w:name="_Toc365985188"/>
      <w:bookmarkStart w:id="1659" w:name="_Toc350756460"/>
      <w:bookmarkStart w:id="1660" w:name="_Toc340507452"/>
      <w:bookmarkStart w:id="1661" w:name="_Toc336681945"/>
      <w:bookmarkStart w:id="1662" w:name="_Toc330459995"/>
      <w:bookmarkStart w:id="1663" w:name="_Toc350438759"/>
      <w:bookmarkStart w:id="1664" w:name="_Toc337632368"/>
      <w:bookmarkStart w:id="1665" w:name="_Toc21031"/>
      <w:bookmarkStart w:id="1666" w:name="_Toc500861025"/>
      <w:bookmarkStart w:id="1667" w:name="_Toc349127636"/>
      <w:r>
        <w:rPr>
          <w:rFonts w:hint="eastAsia"/>
          <w:color w:val="000000" w:themeColor="text1"/>
          <w:highlight w:val="none"/>
        </w:rPr>
        <w:t>第五部分</w:t>
      </w:r>
      <w:bookmarkStart w:id="1668" w:name="_Hlt97188172"/>
      <w:bookmarkEnd w:id="1668"/>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Start w:id="1669" w:name="_Hlt21938933"/>
      <w:bookmarkEnd w:id="1669"/>
    </w:p>
    <w:p>
      <w:pPr>
        <w:pStyle w:val="4"/>
        <w:numPr>
          <w:ilvl w:val="0"/>
          <w:numId w:val="0"/>
        </w:numPr>
        <w:rPr>
          <w:color w:val="000000" w:themeColor="text1"/>
          <w:sz w:val="24"/>
          <w:highlight w:val="none"/>
        </w:rPr>
      </w:pPr>
      <w:bookmarkStart w:id="1670" w:name="_Toc330459996"/>
      <w:bookmarkStart w:id="1671" w:name="_Toc333237799"/>
      <w:bookmarkStart w:id="1672" w:name="_Toc339020106"/>
      <w:bookmarkStart w:id="1673" w:name="_Toc342060385"/>
      <w:bookmarkStart w:id="1674" w:name="_Toc339020244"/>
      <w:bookmarkStart w:id="1675" w:name="_Toc754"/>
      <w:bookmarkStart w:id="1676" w:name="_Toc339362311"/>
      <w:bookmarkStart w:id="1677" w:name="_Toc339441098"/>
      <w:bookmarkStart w:id="1678" w:name="_Toc349143600"/>
      <w:bookmarkStart w:id="1679" w:name="_Toc336681946"/>
      <w:bookmarkStart w:id="1680" w:name="_Toc366072540"/>
      <w:bookmarkStart w:id="1681" w:name="_Toc331512909"/>
      <w:bookmarkStart w:id="1682" w:name="_Toc341348349"/>
      <w:bookmarkStart w:id="1683" w:name="_Toc340507453"/>
      <w:bookmarkStart w:id="1684" w:name="_Toc333935357"/>
      <w:bookmarkStart w:id="1685" w:name="_Toc339019900"/>
      <w:bookmarkStart w:id="1686" w:name="_Toc331684049"/>
      <w:bookmarkStart w:id="1687" w:name="_Toc350438760"/>
      <w:bookmarkStart w:id="1688" w:name="_Toc342296771"/>
      <w:bookmarkStart w:id="1689" w:name="_Toc339020026"/>
      <w:bookmarkStart w:id="1690" w:name="_Toc332270357"/>
      <w:bookmarkStart w:id="1691" w:name="_Toc365985189"/>
      <w:bookmarkStart w:id="1692" w:name="_Toc340677081"/>
      <w:bookmarkStart w:id="1693" w:name="_Toc333237688"/>
      <w:bookmarkStart w:id="1694" w:name="_Toc349127637"/>
      <w:bookmarkStart w:id="1695" w:name="_Toc333238644"/>
      <w:bookmarkStart w:id="1696" w:name="_Toc333935698"/>
      <w:bookmarkStart w:id="1697" w:name="_Toc332206719"/>
      <w:bookmarkStart w:id="1698" w:name="_Toc336681591"/>
      <w:bookmarkStart w:id="1699" w:name="_Toc350756461"/>
      <w:bookmarkStart w:id="1700" w:name="_Toc365967083"/>
      <w:bookmarkStart w:id="1701" w:name="_Toc340672880"/>
      <w:bookmarkStart w:id="1702" w:name="_Toc337632369"/>
      <w:bookmarkStart w:id="1703" w:name="_Toc345513912"/>
      <w:bookmarkStart w:id="1704" w:name="_Hlk534184453"/>
      <w:r>
        <w:rPr>
          <w:rFonts w:hint="eastAsia"/>
          <w:color w:val="000000" w:themeColor="text1"/>
          <w:sz w:val="24"/>
          <w:highlight w:val="none"/>
        </w:rPr>
        <w:t>资格审查封面格式</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pPr>
        <w:pStyle w:val="5"/>
        <w:rPr>
          <w:rFonts w:hAnsi="宋体"/>
          <w:bCs/>
          <w:color w:val="000000" w:themeColor="text1"/>
          <w:sz w:val="21"/>
          <w:highlight w:val="none"/>
        </w:rPr>
      </w:pPr>
    </w:p>
    <w:p>
      <w:pPr>
        <w:pStyle w:val="5"/>
        <w:spacing w:line="360" w:lineRule="auto"/>
        <w:rPr>
          <w:rFonts w:hAnsi="宋体"/>
          <w:bCs/>
          <w:color w:val="000000" w:themeColor="text1"/>
          <w:sz w:val="24"/>
          <w:szCs w:val="24"/>
          <w:highlight w:val="none"/>
        </w:rPr>
      </w:pPr>
      <w:r>
        <w:rPr>
          <w:rFonts w:hint="eastAsia" w:hAnsi="宋体"/>
          <w:bCs/>
          <w:color w:val="000000" w:themeColor="text1"/>
          <w:sz w:val="24"/>
          <w:szCs w:val="24"/>
          <w:highlight w:val="none"/>
        </w:rPr>
        <w:t xml:space="preserve">1、投标内容应当编有目录、页码，按页码排序并装订成册。  </w:t>
      </w:r>
    </w:p>
    <w:p>
      <w:pPr>
        <w:pStyle w:val="5"/>
        <w:spacing w:line="360" w:lineRule="auto"/>
        <w:rPr>
          <w:rFonts w:hAnsi="宋体"/>
          <w:bCs/>
          <w:color w:val="000000" w:themeColor="text1"/>
          <w:sz w:val="24"/>
          <w:szCs w:val="24"/>
          <w:highlight w:val="none"/>
        </w:rPr>
      </w:pPr>
      <w:r>
        <w:rPr>
          <w:rFonts w:hint="eastAsia" w:hAnsi="宋体"/>
          <w:bCs/>
          <w:color w:val="000000" w:themeColor="text1"/>
          <w:sz w:val="24"/>
          <w:szCs w:val="24"/>
          <w:highlight w:val="none"/>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包组号：</w:t>
      </w:r>
      <w:r>
        <w:rPr>
          <w:rFonts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投标人名称（加盖公章）：</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6"/>
        </w:numPr>
        <w:tabs>
          <w:tab w:val="clear" w:pos="720"/>
        </w:tabs>
        <w:spacing w:before="240" w:after="240" w:line="360" w:lineRule="exact"/>
        <w:ind w:left="0" w:firstLine="0"/>
        <w:rPr>
          <w:color w:val="000000" w:themeColor="text1"/>
          <w:sz w:val="24"/>
          <w:highlight w:val="none"/>
        </w:rPr>
      </w:pPr>
      <w:bookmarkStart w:id="1705" w:name="_Toc30307"/>
      <w:bookmarkStart w:id="1706" w:name="_Toc272497428"/>
      <w:bookmarkStart w:id="1707" w:name="_Toc268004451"/>
      <w:r>
        <w:rPr>
          <w:rFonts w:hint="eastAsia"/>
          <w:color w:val="000000" w:themeColor="text1"/>
          <w:sz w:val="24"/>
          <w:highlight w:val="none"/>
        </w:rPr>
        <w:t xml:space="preserve">  </w:t>
      </w:r>
      <w:bookmarkStart w:id="1708" w:name="_Toc25502"/>
      <w:r>
        <w:rPr>
          <w:rFonts w:hint="eastAsia"/>
          <w:color w:val="000000" w:themeColor="text1"/>
          <w:sz w:val="24"/>
          <w:highlight w:val="none"/>
        </w:rPr>
        <w:t>自查表</w:t>
      </w:r>
      <w:bookmarkEnd w:id="1705"/>
      <w:bookmarkEnd w:id="1708"/>
    </w:p>
    <w:bookmarkEnd w:id="1706"/>
    <w:bookmarkEnd w:id="1707"/>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709" w:name="_Toc27683"/>
      <w:r>
        <w:rPr>
          <w:rFonts w:hint="eastAsia" w:ascii="宋体"/>
          <w:b/>
          <w:bCs w:val="0"/>
          <w:color w:val="000000" w:themeColor="text1"/>
          <w:szCs w:val="21"/>
          <w:highlight w:val="none"/>
        </w:rPr>
        <w:t>资格性自查表</w:t>
      </w:r>
      <w:bookmarkEnd w:id="1709"/>
    </w:p>
    <w:p>
      <w:pPr>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（01包组、02包组）</w:t>
      </w: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483"/>
        <w:gridCol w:w="3318"/>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39"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31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55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6" w:type="dxa"/>
            <w:vMerge w:val="restart"/>
            <w:vAlign w:val="center"/>
          </w:tcPr>
          <w:p>
            <w:pPr>
              <w:tabs>
                <w:tab w:val="left" w:pos="480"/>
              </w:tabs>
              <w:ind w:left="480" w:hanging="480"/>
              <w:jc w:val="center"/>
              <w:rPr>
                <w:rFonts w:ascii="宋体" w:hAnsi="宋体"/>
                <w:color w:val="000000" w:themeColor="text1"/>
                <w:szCs w:val="21"/>
                <w:highlight w:val="none"/>
              </w:rPr>
            </w:pPr>
            <w:r>
              <w:rPr>
                <w:rFonts w:hint="eastAsia" w:ascii="宋体" w:hAnsi="宋体"/>
                <w:color w:val="000000" w:themeColor="text1"/>
                <w:szCs w:val="21"/>
                <w:highlight w:val="none"/>
              </w:rPr>
              <w:t>资格</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性检查</w:t>
            </w:r>
          </w:p>
        </w:tc>
        <w:tc>
          <w:tcPr>
            <w:tcW w:w="1483" w:type="dxa"/>
            <w:vMerge w:val="restart"/>
            <w:vAlign w:val="center"/>
          </w:tcPr>
          <w:p>
            <w:pPr>
              <w:tabs>
                <w:tab w:val="left" w:pos="146"/>
              </w:tabs>
              <w:ind w:left="146"/>
              <w:jc w:val="center"/>
              <w:rPr>
                <w:rFonts w:ascii="宋体" w:hAnsi="宋体"/>
                <w:color w:val="000000" w:themeColor="text1"/>
                <w:szCs w:val="21"/>
                <w:highlight w:val="none"/>
              </w:rPr>
            </w:pPr>
            <w:r>
              <w:rPr>
                <w:rFonts w:hint="eastAsia" w:ascii="宋体" w:hAnsi="宋体"/>
                <w:color w:val="000000" w:themeColor="text1"/>
                <w:szCs w:val="21"/>
                <w:highlight w:val="none"/>
              </w:rPr>
              <w:t>投标人</w:t>
            </w:r>
          </w:p>
          <w:p>
            <w:pPr>
              <w:tabs>
                <w:tab w:val="left" w:pos="146"/>
              </w:tabs>
              <w:ind w:left="146"/>
              <w:jc w:val="center"/>
              <w:rPr>
                <w:rFonts w:ascii="宋体" w:hAnsi="宋体"/>
                <w:color w:val="000000" w:themeColor="text1"/>
                <w:szCs w:val="21"/>
                <w:highlight w:val="none"/>
              </w:rPr>
            </w:pPr>
            <w:r>
              <w:rPr>
                <w:rFonts w:hint="eastAsia" w:ascii="宋体" w:hAnsi="宋体"/>
                <w:color w:val="000000" w:themeColor="text1"/>
                <w:szCs w:val="21"/>
                <w:highlight w:val="none"/>
              </w:rPr>
              <w:t>资格要求</w:t>
            </w:r>
          </w:p>
        </w:tc>
        <w:tc>
          <w:tcPr>
            <w:tcW w:w="331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550"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6"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83" w:type="dxa"/>
            <w:vMerge w:val="continue"/>
            <w:vAlign w:val="center"/>
          </w:tcPr>
          <w:p>
            <w:pPr>
              <w:tabs>
                <w:tab w:val="left" w:pos="146"/>
              </w:tabs>
              <w:ind w:left="146"/>
              <w:rPr>
                <w:rFonts w:ascii="宋体" w:hAnsi="宋体"/>
                <w:color w:val="000000" w:themeColor="text1"/>
                <w:szCs w:val="21"/>
                <w:highlight w:val="none"/>
              </w:rPr>
            </w:pPr>
          </w:p>
        </w:tc>
        <w:tc>
          <w:tcPr>
            <w:tcW w:w="3318" w:type="dxa"/>
            <w:vAlign w:val="center"/>
          </w:tcPr>
          <w:p>
            <w:pPr>
              <w:tabs>
                <w:tab w:val="left" w:pos="0"/>
              </w:tabs>
              <w:rPr>
                <w:rFonts w:ascii="宋体" w:hAnsi="宋体"/>
                <w:color w:val="000000" w:themeColor="text1"/>
                <w:szCs w:val="21"/>
                <w:highlight w:val="none"/>
              </w:rPr>
            </w:pPr>
            <w:r>
              <w:rPr>
                <w:rFonts w:hint="eastAsia" w:ascii="宋体" w:hAnsi="宋体" w:cs="宋体"/>
                <w:color w:val="000000" w:themeColor="text1"/>
                <w:highlight w:val="none"/>
              </w:rPr>
              <w:t>投标人</w:t>
            </w:r>
            <w:r>
              <w:rPr>
                <w:rFonts w:hint="eastAsia" w:ascii="宋体" w:hAnsi="宋体"/>
                <w:color w:val="000000" w:themeColor="text1"/>
                <w:szCs w:val="21"/>
                <w:highlight w:val="none"/>
              </w:rPr>
              <w:t>须具有在有效期内的《食品生产许可证》或《食品流通许可证》或《食品经营许可证》</w:t>
            </w:r>
            <w:r>
              <w:rPr>
                <w:rFonts w:hint="eastAsia" w:hAnsi="宋体"/>
                <w:color w:val="000000" w:themeColor="text1"/>
                <w:szCs w:val="21"/>
                <w:highlight w:val="none"/>
              </w:rPr>
              <w:t>，提供</w:t>
            </w:r>
            <w:r>
              <w:rPr>
                <w:rFonts w:hint="eastAsia" w:ascii="宋体" w:hAnsi="宋体"/>
                <w:color w:val="000000" w:themeColor="text1"/>
                <w:szCs w:val="21"/>
                <w:highlight w:val="none"/>
              </w:rPr>
              <w:t>《食品生产许可证》或《食品流通许可证》或《食品经营许可证》</w:t>
            </w:r>
            <w:r>
              <w:rPr>
                <w:rFonts w:hint="eastAsia" w:hAnsi="宋体"/>
                <w:color w:val="000000" w:themeColor="text1"/>
                <w:szCs w:val="21"/>
                <w:highlight w:val="none"/>
              </w:rPr>
              <w:t>的</w:t>
            </w:r>
            <w:r>
              <w:rPr>
                <w:rFonts w:hint="eastAsia" w:ascii="宋体" w:hAnsi="宋体"/>
                <w:color w:val="000000" w:themeColor="text1"/>
                <w:szCs w:val="21"/>
                <w:highlight w:val="none"/>
              </w:rPr>
              <w:t>复印件加盖</w:t>
            </w:r>
            <w:r>
              <w:rPr>
                <w:rFonts w:hint="eastAsia" w:hAnsi="宋体"/>
                <w:color w:val="000000" w:themeColor="text1"/>
                <w:szCs w:val="21"/>
                <w:highlight w:val="none"/>
              </w:rPr>
              <w:t>投标人</w:t>
            </w:r>
            <w:r>
              <w:rPr>
                <w:rFonts w:hint="eastAsia" w:ascii="宋体" w:hAnsi="宋体"/>
                <w:color w:val="000000" w:themeColor="text1"/>
                <w:szCs w:val="21"/>
                <w:highlight w:val="none"/>
              </w:rPr>
              <w:t>公章</w:t>
            </w:r>
          </w:p>
        </w:tc>
        <w:tc>
          <w:tcPr>
            <w:tcW w:w="1550"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256"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83" w:type="dxa"/>
            <w:vMerge w:val="continue"/>
            <w:vAlign w:val="center"/>
          </w:tcPr>
          <w:p>
            <w:pPr>
              <w:tabs>
                <w:tab w:val="left" w:pos="146"/>
              </w:tabs>
              <w:ind w:left="146"/>
              <w:rPr>
                <w:rFonts w:ascii="宋体" w:hAnsi="宋体"/>
                <w:b/>
                <w:bCs/>
                <w:color w:val="000000" w:themeColor="text1"/>
                <w:szCs w:val="21"/>
                <w:highlight w:val="none"/>
              </w:rPr>
            </w:pPr>
          </w:p>
        </w:tc>
        <w:tc>
          <w:tcPr>
            <w:tcW w:w="331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cs="Tahoma"/>
                <w:color w:val="000000" w:themeColor="text1"/>
                <w:highlight w:val="none"/>
              </w:rPr>
              <w:t>（提供书面声明）</w:t>
            </w:r>
          </w:p>
        </w:tc>
        <w:tc>
          <w:tcPr>
            <w:tcW w:w="1550"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256"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83" w:type="dxa"/>
            <w:vMerge w:val="continue"/>
            <w:vAlign w:val="center"/>
          </w:tcPr>
          <w:p>
            <w:pPr>
              <w:tabs>
                <w:tab w:val="left" w:pos="146"/>
              </w:tabs>
              <w:ind w:left="146"/>
              <w:rPr>
                <w:rFonts w:ascii="宋体" w:hAnsi="宋体"/>
                <w:b/>
                <w:bCs/>
                <w:color w:val="000000" w:themeColor="text1"/>
                <w:szCs w:val="21"/>
                <w:highlight w:val="none"/>
              </w:rPr>
            </w:pPr>
          </w:p>
        </w:tc>
        <w:tc>
          <w:tcPr>
            <w:tcW w:w="331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单位负责人为同一人或者存在直接控股、管理关系的不同供应商，不得参加同一合同项下的政府采购活动。</w:t>
            </w:r>
            <w:r>
              <w:rPr>
                <w:rFonts w:hint="eastAsia" w:ascii="宋体" w:hAnsi="宋体" w:cs="Tahoma"/>
                <w:color w:val="000000" w:themeColor="text1"/>
                <w:highlight w:val="none"/>
              </w:rPr>
              <w:t>（提供书面声明）</w:t>
            </w:r>
          </w:p>
        </w:tc>
        <w:tc>
          <w:tcPr>
            <w:tcW w:w="1550"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6"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83" w:type="dxa"/>
            <w:vMerge w:val="continue"/>
            <w:vAlign w:val="center"/>
          </w:tcPr>
          <w:p>
            <w:pPr>
              <w:tabs>
                <w:tab w:val="left" w:pos="146"/>
              </w:tabs>
              <w:ind w:left="146"/>
              <w:rPr>
                <w:rFonts w:ascii="宋体" w:hAnsi="宋体"/>
                <w:b/>
                <w:bCs/>
                <w:color w:val="000000" w:themeColor="text1"/>
                <w:szCs w:val="21"/>
                <w:highlight w:val="none"/>
              </w:rPr>
            </w:pPr>
          </w:p>
        </w:tc>
        <w:tc>
          <w:tcPr>
            <w:tcW w:w="3318" w:type="dxa"/>
            <w:vAlign w:val="center"/>
          </w:tcPr>
          <w:p>
            <w:pPr>
              <w:tabs>
                <w:tab w:val="left" w:pos="0"/>
              </w:tabs>
              <w:wordWrap w:val="0"/>
              <w:jc w:val="left"/>
              <w:rPr>
                <w:rFonts w:ascii="宋体" w:hAnsi="宋体"/>
                <w:color w:val="000000" w:themeColor="text1"/>
                <w:szCs w:val="21"/>
                <w:highlight w:val="none"/>
              </w:rPr>
            </w:pPr>
            <w:r>
              <w:rPr>
                <w:rFonts w:hint="eastAsia" w:ascii="宋体" w:hAnsi="宋体"/>
                <w:bCs/>
                <w:color w:val="000000" w:themeColor="text1"/>
                <w:szCs w:val="21"/>
                <w:highlight w:val="none"/>
              </w:rPr>
              <w:t>投标人未被列入“信用中国”网站</w:t>
            </w:r>
            <w:r>
              <w:rPr>
                <w:rFonts w:ascii="宋体" w:hAnsi="宋体"/>
                <w:bCs/>
                <w:color w:val="000000" w:themeColor="text1"/>
                <w:szCs w:val="21"/>
                <w:highlight w:val="none"/>
              </w:rPr>
              <w:t>(www.creditchina.gov.cn)</w:t>
            </w:r>
            <w:r>
              <w:rPr>
                <w:rFonts w:hint="eastAsia" w:ascii="宋体" w:hAnsi="宋体"/>
                <w:bCs/>
                <w:color w:val="000000" w:themeColor="text1"/>
                <w:szCs w:val="21"/>
                <w:highlight w:val="none"/>
              </w:rPr>
              <w:t>“记录失信被执行人或重大税收违法案件当事人名单或政府采购严重违法失信行为”记录名单；不处于中国政府采购网</w:t>
            </w:r>
            <w:r>
              <w:rPr>
                <w:rFonts w:ascii="宋体" w:hAnsi="宋体"/>
                <w:bCs/>
                <w:color w:val="000000" w:themeColor="text1"/>
                <w:szCs w:val="21"/>
                <w:highlight w:val="none"/>
              </w:rPr>
              <w:t>(www.ccgp.gov.cn)</w:t>
            </w:r>
            <w:r>
              <w:rPr>
                <w:rFonts w:hint="eastAsia" w:ascii="宋体" w:hAnsi="宋体"/>
                <w:bCs/>
                <w:color w:val="000000" w:themeColor="text1"/>
                <w:szCs w:val="21"/>
                <w:highlight w:val="none"/>
              </w:rPr>
              <w:t>“政府采购严重违法失信行为信息记录”中的禁止参加政府采购活动期间。（以采购代理机构投标截止日当天在“信用中国”网站（</w:t>
            </w:r>
            <w:r>
              <w:rPr>
                <w:rFonts w:ascii="宋体" w:hAnsi="宋体"/>
                <w:bCs/>
                <w:color w:val="000000" w:themeColor="text1"/>
                <w:szCs w:val="21"/>
                <w:highlight w:val="none"/>
              </w:rPr>
              <w:t>www.creditchina.gov.cn</w:t>
            </w:r>
            <w:r>
              <w:rPr>
                <w:rFonts w:hint="eastAsia" w:ascii="宋体" w:hAnsi="宋体"/>
                <w:bCs/>
                <w:color w:val="000000" w:themeColor="text1"/>
                <w:szCs w:val="21"/>
                <w:highlight w:val="none"/>
              </w:rPr>
              <w:t>）及中国政府采购网</w:t>
            </w:r>
            <w:r>
              <w:rPr>
                <w:rFonts w:ascii="宋体" w:hAnsi="宋体"/>
                <w:bCs/>
                <w:color w:val="000000" w:themeColor="text1"/>
                <w:szCs w:val="21"/>
                <w:highlight w:val="none"/>
              </w:rPr>
              <w:t>(www.ccgp.gov.cn)</w:t>
            </w:r>
            <w:r>
              <w:rPr>
                <w:rFonts w:hint="eastAsia" w:ascii="宋体" w:hAnsi="宋体"/>
                <w:bCs/>
                <w:color w:val="000000" w:themeColor="text1"/>
                <w:szCs w:val="21"/>
                <w:highlight w:val="none"/>
              </w:rPr>
              <w:t>查询结果为准，如相关失信记录已失效，投标供人提供相关证明资料）</w:t>
            </w:r>
          </w:p>
        </w:tc>
        <w:tc>
          <w:tcPr>
            <w:tcW w:w="1550"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256"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83" w:type="dxa"/>
            <w:vMerge w:val="continue"/>
            <w:vAlign w:val="center"/>
          </w:tcPr>
          <w:p>
            <w:pPr>
              <w:tabs>
                <w:tab w:val="left" w:pos="146"/>
              </w:tabs>
              <w:ind w:left="146"/>
              <w:rPr>
                <w:rFonts w:ascii="宋体" w:hAnsi="宋体"/>
                <w:b/>
                <w:bCs/>
                <w:color w:val="000000" w:themeColor="text1"/>
                <w:szCs w:val="21"/>
                <w:highlight w:val="none"/>
              </w:rPr>
            </w:pPr>
          </w:p>
        </w:tc>
        <w:tc>
          <w:tcPr>
            <w:tcW w:w="331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1550"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256"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483" w:type="dxa"/>
            <w:vMerge w:val="continue"/>
            <w:vAlign w:val="center"/>
          </w:tcPr>
          <w:p>
            <w:pPr>
              <w:tabs>
                <w:tab w:val="left" w:pos="146"/>
              </w:tabs>
              <w:ind w:left="146"/>
              <w:rPr>
                <w:rFonts w:ascii="宋体" w:hAnsi="宋体"/>
                <w:color w:val="000000" w:themeColor="text1"/>
                <w:szCs w:val="21"/>
                <w:highlight w:val="none"/>
              </w:rPr>
            </w:pPr>
          </w:p>
        </w:tc>
        <w:tc>
          <w:tcPr>
            <w:tcW w:w="331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tc>
        <w:tc>
          <w:tcPr>
            <w:tcW w:w="1550"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w:t>
      </w:r>
      <w:r>
        <w:rPr>
          <w:rFonts w:hint="eastAsia" w:hAnsi="宋体"/>
          <w:bCs/>
          <w:color w:val="000000" w:themeColor="text1"/>
          <w:highlight w:val="none"/>
        </w:rPr>
        <w:t>加盖公章</w:t>
      </w:r>
      <w:r>
        <w:rPr>
          <w:rFonts w:hint="eastAsia" w:ascii="宋体" w:hAnsi="宋体"/>
          <w:color w:val="000000" w:themeColor="text1"/>
          <w:szCs w:val="21"/>
          <w:highlight w:val="none"/>
        </w:rPr>
        <w:t>）：</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50"/>
    <w:bookmarkEnd w:id="1351"/>
    <w:bookmarkEnd w:id="1352"/>
    <w:bookmarkEnd w:id="1353"/>
    <w:bookmarkEnd w:id="1354"/>
    <w:p>
      <w:pPr>
        <w:pStyle w:val="4"/>
        <w:numPr>
          <w:ilvl w:val="0"/>
          <w:numId w:val="0"/>
        </w:numPr>
        <w:rPr>
          <w:color w:val="000000" w:themeColor="text1"/>
          <w:highlight w:val="none"/>
        </w:rPr>
      </w:pPr>
      <w:bookmarkStart w:id="1710" w:name="_Toc2025"/>
      <w:bookmarkStart w:id="1711" w:name="_Toc399147593"/>
      <w:bookmarkStart w:id="1712" w:name="_Toc399684363"/>
      <w:bookmarkStart w:id="1713" w:name="_Toc382404102"/>
      <w:bookmarkStart w:id="1714" w:name="_Toc350438762"/>
      <w:bookmarkStart w:id="1715" w:name="_Toc333935359"/>
      <w:bookmarkStart w:id="1716" w:name="_Toc333237691"/>
      <w:bookmarkStart w:id="1717" w:name="_Toc336681948"/>
      <w:bookmarkStart w:id="1718" w:name="_Toc340677083"/>
      <w:bookmarkStart w:id="1719" w:name="_Toc331684055"/>
      <w:bookmarkStart w:id="1720" w:name="_Toc339020028"/>
      <w:bookmarkStart w:id="1721" w:name="_Toc332270360"/>
      <w:bookmarkStart w:id="1722" w:name="_Toc339020246"/>
      <w:bookmarkStart w:id="1723" w:name="_Toc342398143"/>
      <w:bookmarkStart w:id="1724" w:name="_Toc332206722"/>
      <w:bookmarkStart w:id="1725" w:name="_Toc350756463"/>
      <w:bookmarkStart w:id="1726" w:name="_Toc336681593"/>
      <w:bookmarkStart w:id="1727" w:name="_Toc342060388"/>
      <w:bookmarkStart w:id="1728" w:name="_Toc365967085"/>
      <w:bookmarkStart w:id="1729" w:name="_Toc333935700"/>
      <w:bookmarkStart w:id="1730" w:name="_Toc339019902"/>
      <w:bookmarkStart w:id="1731" w:name="_Toc342312456"/>
      <w:bookmarkStart w:id="1732" w:name="_Toc340507455"/>
      <w:bookmarkStart w:id="1733" w:name="_Toc340672882"/>
      <w:bookmarkStart w:id="1734" w:name="_Toc341348353"/>
      <w:bookmarkStart w:id="1735" w:name="_Toc330459999"/>
      <w:bookmarkStart w:id="1736" w:name="_Toc365985191"/>
      <w:bookmarkStart w:id="1737" w:name="_Toc339441100"/>
      <w:bookmarkStart w:id="1738" w:name="_Toc343248431"/>
      <w:bookmarkStart w:id="1739" w:name="_Toc342296774"/>
      <w:bookmarkStart w:id="1740" w:name="_Toc366072542"/>
      <w:bookmarkStart w:id="1741" w:name="_Toc337632371"/>
      <w:bookmarkStart w:id="1742" w:name="_Toc343247113"/>
      <w:bookmarkStart w:id="1743" w:name="_Toc333238647"/>
      <w:bookmarkStart w:id="1744" w:name="_Toc339362313"/>
      <w:bookmarkStart w:id="1745" w:name="_Toc339020108"/>
      <w:bookmarkStart w:id="1746" w:name="_Toc343612933"/>
      <w:bookmarkStart w:id="1747" w:name="_Toc345312610"/>
      <w:bookmarkStart w:id="1748" w:name="_Toc331512914"/>
      <w:bookmarkStart w:id="1749" w:name="_Toc333237802"/>
      <w:bookmarkStart w:id="1750" w:name="_Toc468606057"/>
      <w:bookmarkStart w:id="1751" w:name="_Toc467987851"/>
      <w:bookmarkStart w:id="1752" w:name="_Toc468157564"/>
      <w:bookmarkStart w:id="1753" w:name="_Toc480010736"/>
      <w:bookmarkStart w:id="1754" w:name="_Toc500861026"/>
      <w:bookmarkStart w:id="1755" w:name="_Toc480021081"/>
      <w:bookmarkStart w:id="1756" w:name="_Toc6727971"/>
      <w:bookmarkStart w:id="1757" w:name="_Toc479991610"/>
      <w:bookmarkStart w:id="1758" w:name="_Toc454701405"/>
      <w:bookmarkStart w:id="1759" w:name="_Toc480020285"/>
      <w:bookmarkStart w:id="1760" w:name="_Toc458262638"/>
      <w:bookmarkStart w:id="1761" w:name="_Toc6397150"/>
      <w:bookmarkStart w:id="1762" w:name="_Toc491658679"/>
      <w:bookmarkStart w:id="1763" w:name="_Toc467236768"/>
      <w:r>
        <w:rPr>
          <w:rFonts w:hint="eastAsia"/>
          <w:color w:val="000000" w:themeColor="text1"/>
          <w:highlight w:val="none"/>
        </w:rPr>
        <w:t>（一）资格审查文件要求提交的有效证明文件</w:t>
      </w:r>
      <w:bookmarkEnd w:id="1710"/>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6、相关投标人资格证明文件：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711"/>
    <w:bookmarkEnd w:id="1712"/>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764" w:name="_Toc13763"/>
      <w:r>
        <w:rPr>
          <w:rFonts w:hint="eastAsia" w:hAnsi="黑体"/>
          <w:color w:val="000000" w:themeColor="text1"/>
          <w:szCs w:val="21"/>
          <w:highlight w:val="none"/>
        </w:rPr>
        <w:t>（二）无重大违法记录声明函</w:t>
      </w:r>
      <w:bookmarkEnd w:id="1713"/>
      <w:bookmarkEnd w:id="1764"/>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w:t>
      </w: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w:t>
      </w:r>
      <w:r>
        <w:rPr>
          <w:rFonts w:hint="eastAsia" w:hAnsi="宋体"/>
          <w:bCs/>
          <w:color w:val="000000" w:themeColor="text1"/>
          <w:highlight w:val="none"/>
        </w:rPr>
        <w:t>加盖公章</w:t>
      </w:r>
      <w:r>
        <w:rPr>
          <w:rFonts w:hint="eastAsia"/>
          <w:color w:val="000000" w:themeColor="text1"/>
          <w:szCs w:val="21"/>
          <w:highlight w:val="none"/>
        </w:rPr>
        <w:t>）：</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6"/>
        </w:numPr>
        <w:tabs>
          <w:tab w:val="clear" w:pos="720"/>
        </w:tabs>
        <w:ind w:left="720"/>
        <w:rPr>
          <w:color w:val="000000" w:themeColor="text1"/>
          <w:highlight w:val="none"/>
        </w:rPr>
      </w:pPr>
      <w:bookmarkStart w:id="1765" w:name="_Toc345312617"/>
      <w:bookmarkStart w:id="1766" w:name="_Toc350756470"/>
      <w:bookmarkStart w:id="1767" w:name="_Toc339020035"/>
      <w:bookmarkStart w:id="1768" w:name="_Toc342312463"/>
      <w:bookmarkStart w:id="1769" w:name="_Toc340507462"/>
      <w:bookmarkStart w:id="1770" w:name="_Toc333935707"/>
      <w:bookmarkStart w:id="1771" w:name="_Toc336681955"/>
      <w:bookmarkStart w:id="1772" w:name="_Toc343247120"/>
      <w:bookmarkStart w:id="1773" w:name="_Toc339019909"/>
      <w:bookmarkStart w:id="1774" w:name="_Toc1313"/>
      <w:bookmarkStart w:id="1775" w:name="_Toc340672889"/>
      <w:bookmarkStart w:id="1776" w:name="_Toc333238654"/>
      <w:bookmarkStart w:id="1777" w:name="_Toc340677090"/>
      <w:bookmarkStart w:id="1778" w:name="_Toc342398150"/>
      <w:bookmarkStart w:id="1779" w:name="_Toc333237698"/>
      <w:bookmarkStart w:id="1780" w:name="_Toc365967092"/>
      <w:bookmarkStart w:id="1781" w:name="_Toc332206729"/>
      <w:bookmarkStart w:id="1782" w:name="_Toc342296781"/>
      <w:bookmarkStart w:id="1783" w:name="_Toc330460006"/>
      <w:bookmarkStart w:id="1784" w:name="_Toc343612940"/>
      <w:bookmarkStart w:id="1785" w:name="_Toc339441107"/>
      <w:bookmarkStart w:id="1786" w:name="_Toc331512921"/>
      <w:bookmarkStart w:id="1787" w:name="_Toc343248438"/>
      <w:bookmarkStart w:id="1788" w:name="_Toc333237809"/>
      <w:bookmarkStart w:id="1789" w:name="_Toc350438769"/>
      <w:bookmarkStart w:id="1790" w:name="_Toc341348360"/>
      <w:bookmarkStart w:id="1791" w:name="_Toc339362320"/>
      <w:bookmarkStart w:id="1792" w:name="_Toc332270367"/>
      <w:bookmarkStart w:id="1793" w:name="_Toc331684062"/>
      <w:bookmarkStart w:id="1794" w:name="_Toc336681600"/>
      <w:bookmarkStart w:id="1795" w:name="_Toc339020253"/>
      <w:bookmarkStart w:id="1796" w:name="_Toc339020115"/>
      <w:bookmarkStart w:id="1797" w:name="_Toc333935366"/>
      <w:bookmarkStart w:id="1798" w:name="_Toc337632378"/>
      <w:bookmarkStart w:id="1799" w:name="_Toc365985198"/>
      <w:bookmarkStart w:id="1800" w:name="_Toc366072549"/>
      <w:bookmarkStart w:id="1801" w:name="_Toc342060395"/>
      <w:r>
        <w:rPr>
          <w:rFonts w:hint="eastAsia"/>
          <w:color w:val="000000" w:themeColor="text1"/>
          <w:highlight w:val="none"/>
        </w:rPr>
        <w:t>投标文件商务及技术部分</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pPr>
        <w:pStyle w:val="4"/>
        <w:numPr>
          <w:ilvl w:val="0"/>
          <w:numId w:val="0"/>
        </w:numPr>
        <w:rPr>
          <w:color w:val="000000" w:themeColor="text1"/>
          <w:sz w:val="24"/>
          <w:highlight w:val="none"/>
        </w:rPr>
      </w:pPr>
      <w:bookmarkStart w:id="1802" w:name="_Toc14069"/>
      <w:r>
        <w:rPr>
          <w:rFonts w:hint="eastAsia"/>
          <w:color w:val="000000" w:themeColor="text1"/>
          <w:sz w:val="24"/>
          <w:highlight w:val="none"/>
        </w:rPr>
        <w:t>商务及技术封面格式</w:t>
      </w:r>
      <w:bookmarkEnd w:id="1802"/>
    </w:p>
    <w:p>
      <w:pPr>
        <w:pStyle w:val="5"/>
        <w:rPr>
          <w:rFonts w:hAnsi="宋体"/>
          <w:bCs/>
          <w:color w:val="000000" w:themeColor="text1"/>
          <w:sz w:val="21"/>
          <w:highlight w:val="none"/>
        </w:rPr>
      </w:pPr>
    </w:p>
    <w:p>
      <w:pPr>
        <w:pStyle w:val="5"/>
        <w:spacing w:line="360" w:lineRule="auto"/>
        <w:rPr>
          <w:rFonts w:hAnsi="宋体"/>
          <w:bCs/>
          <w:color w:val="000000" w:themeColor="text1"/>
          <w:sz w:val="24"/>
          <w:szCs w:val="24"/>
          <w:highlight w:val="none"/>
        </w:rPr>
      </w:pPr>
      <w:r>
        <w:rPr>
          <w:rFonts w:hint="eastAsia" w:hAnsi="宋体"/>
          <w:bCs/>
          <w:color w:val="000000" w:themeColor="text1"/>
          <w:sz w:val="24"/>
          <w:szCs w:val="24"/>
          <w:highlight w:val="none"/>
        </w:rPr>
        <w:t xml:space="preserve">1、投标内容应当编有目录、页码，按页码排序并装订成册。   </w:t>
      </w:r>
    </w:p>
    <w:p>
      <w:pPr>
        <w:pStyle w:val="5"/>
        <w:spacing w:line="360" w:lineRule="auto"/>
        <w:rPr>
          <w:rFonts w:hAnsi="宋体"/>
          <w:bCs/>
          <w:color w:val="000000" w:themeColor="text1"/>
          <w:sz w:val="24"/>
          <w:szCs w:val="24"/>
          <w:highlight w:val="none"/>
        </w:rPr>
      </w:pPr>
      <w:r>
        <w:rPr>
          <w:rFonts w:hint="eastAsia" w:hAnsi="宋体"/>
          <w:bCs/>
          <w:color w:val="000000" w:themeColor="text1"/>
          <w:sz w:val="24"/>
          <w:szCs w:val="24"/>
          <w:highlight w:val="none"/>
        </w:rPr>
        <w:t>2、文件的封面格式由投标人自拟，并应注明“投标文件、项目编号、项目名称、投标人名称及地址、法定代表人（负责人）或授权代理人、联系电话、传真、邮编，并加盖投标人公章。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包组号：</w:t>
      </w:r>
      <w:r>
        <w:rPr>
          <w:rFonts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803" w:name="_Toc411"/>
      <w:r>
        <w:rPr>
          <w:rFonts w:hint="eastAsia" w:ascii="宋体"/>
          <w:b/>
          <w:bCs w:val="0"/>
          <w:color w:val="000000" w:themeColor="text1"/>
          <w:szCs w:val="21"/>
          <w:highlight w:val="none"/>
        </w:rPr>
        <w:t>符合性自查表</w:t>
      </w:r>
      <w:bookmarkEnd w:id="1803"/>
    </w:p>
    <w:p>
      <w:pPr>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（01包组、02包组）</w:t>
      </w: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须满足带“★”号要求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w:t>
      </w:r>
      <w:r>
        <w:rPr>
          <w:rFonts w:hint="eastAsia" w:hAnsi="宋体"/>
          <w:bCs/>
          <w:color w:val="000000" w:themeColor="text1"/>
          <w:highlight w:val="none"/>
        </w:rPr>
        <w:t>加盖公章</w:t>
      </w:r>
      <w:r>
        <w:rPr>
          <w:rFonts w:hint="eastAsia" w:ascii="宋体" w:hAnsi="宋体"/>
          <w:color w:val="000000" w:themeColor="text1"/>
          <w:szCs w:val="21"/>
          <w:highlight w:val="none"/>
        </w:rPr>
        <w:t>）：</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r>
        <w:rPr>
          <w:rFonts w:hint="eastAsia" w:ascii="宋体"/>
          <w:b/>
          <w:color w:val="000000" w:themeColor="text1"/>
          <w:szCs w:val="21"/>
          <w:highlight w:val="none"/>
        </w:rPr>
        <w:t xml:space="preserve"> </w:t>
      </w:r>
      <w:bookmarkStart w:id="1804" w:name="_Toc371"/>
      <w:r>
        <w:rPr>
          <w:rFonts w:hint="eastAsia" w:ascii="宋体"/>
          <w:b/>
          <w:color w:val="000000" w:themeColor="text1"/>
          <w:szCs w:val="21"/>
          <w:highlight w:val="none"/>
        </w:rPr>
        <w:t>评审项目投标资料表</w:t>
      </w:r>
      <w:bookmarkEnd w:id="1804"/>
    </w:p>
    <w:p>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4"/>
              <w:ind w:left="420" w:firstLine="420"/>
              <w:rPr>
                <w:rFonts w:ascii="宋体" w:hAnsi="宋体"/>
                <w:color w:val="000000" w:themeColor="text1"/>
                <w:szCs w:val="21"/>
                <w:highlight w:val="none"/>
              </w:rPr>
            </w:pPr>
          </w:p>
        </w:tc>
        <w:tc>
          <w:tcPr>
            <w:tcW w:w="2300" w:type="dxa"/>
            <w:vAlign w:val="center"/>
          </w:tcPr>
          <w:p>
            <w:pPr>
              <w:pStyle w:val="34"/>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投标人名称（加盖公章）：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numPr>
          <w:ilvl w:val="0"/>
          <w:numId w:val="0"/>
        </w:numPr>
        <w:rPr>
          <w:color w:val="000000" w:themeColor="text1"/>
          <w:highlight w:val="none"/>
        </w:rPr>
      </w:pPr>
      <w:bookmarkStart w:id="1805" w:name="_Toc382404103"/>
      <w:bookmarkStart w:id="1806" w:name="_Toc8704"/>
      <w:r>
        <w:rPr>
          <w:rFonts w:hint="eastAsia"/>
          <w:color w:val="000000" w:themeColor="text1"/>
          <w:highlight w:val="none"/>
        </w:rPr>
        <w:t>（一）法定代表人（负责人）证明书</w:t>
      </w:r>
      <w:bookmarkEnd w:id="1805"/>
      <w:bookmarkEnd w:id="1806"/>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807" w:name="_Toc365985192"/>
      <w:bookmarkStart w:id="1808" w:name="_Toc333238648"/>
      <w:bookmarkStart w:id="1809" w:name="_Toc333237692"/>
      <w:bookmarkStart w:id="1810" w:name="_Toc341348354"/>
      <w:bookmarkStart w:id="1811" w:name="_Toc333935701"/>
      <w:bookmarkStart w:id="1812" w:name="_Toc339019903"/>
      <w:bookmarkStart w:id="1813" w:name="_Toc340507456"/>
      <w:bookmarkStart w:id="1814" w:name="_Toc342296775"/>
      <w:bookmarkStart w:id="1815" w:name="_Toc339441101"/>
      <w:bookmarkStart w:id="1816" w:name="_Toc339020109"/>
      <w:bookmarkStart w:id="1817" w:name="_Toc350756464"/>
      <w:bookmarkStart w:id="1818" w:name="_Toc339020247"/>
      <w:bookmarkStart w:id="1819" w:name="_Toc330460000"/>
      <w:bookmarkStart w:id="1820" w:name="_Toc343247114"/>
      <w:bookmarkStart w:id="1821" w:name="_Toc333237803"/>
      <w:bookmarkStart w:id="1822" w:name="_Toc365967086"/>
      <w:bookmarkStart w:id="1823" w:name="_Toc342398144"/>
      <w:bookmarkStart w:id="1824" w:name="_Toc25034"/>
      <w:bookmarkStart w:id="1825" w:name="_Toc343248432"/>
      <w:bookmarkStart w:id="1826" w:name="_Toc337632372"/>
      <w:bookmarkStart w:id="1827" w:name="_Toc332206723"/>
      <w:bookmarkStart w:id="1828" w:name="_Toc350438763"/>
      <w:bookmarkStart w:id="1829" w:name="_Toc343612934"/>
      <w:bookmarkStart w:id="1830" w:name="_Toc336681594"/>
      <w:bookmarkStart w:id="1831" w:name="_Toc332270361"/>
      <w:bookmarkStart w:id="1832" w:name="_Toc345312611"/>
      <w:bookmarkStart w:id="1833" w:name="_Toc333935360"/>
      <w:bookmarkStart w:id="1834" w:name="_Toc342312457"/>
      <w:bookmarkStart w:id="1835" w:name="_Toc342060389"/>
      <w:bookmarkStart w:id="1836" w:name="_Toc340672883"/>
      <w:bookmarkStart w:id="1837" w:name="_Toc331512915"/>
      <w:bookmarkStart w:id="1838" w:name="_Toc339362314"/>
      <w:bookmarkStart w:id="1839" w:name="_Toc336681949"/>
      <w:bookmarkStart w:id="1840" w:name="_Toc340677084"/>
      <w:bookmarkStart w:id="1841" w:name="_Toc331684056"/>
      <w:bookmarkStart w:id="1842" w:name="_Toc339020029"/>
      <w:bookmarkStart w:id="1843" w:name="_Toc382404104"/>
      <w:bookmarkStart w:id="1844" w:name="_Toc366072543"/>
      <w:r>
        <w:rPr>
          <w:rFonts w:hint="eastAsia"/>
          <w:color w:val="000000" w:themeColor="text1"/>
          <w:highlight w:val="none"/>
        </w:rPr>
        <w:t>（二）法定代表人（负责人）授权书</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5"/>
        <w:ind w:firstLine="0"/>
        <w:rPr>
          <w:color w:val="000000" w:themeColor="text1"/>
          <w:highlight w:val="none"/>
        </w:rPr>
      </w:pPr>
    </w:p>
    <w:bookmarkEnd w:id="1704"/>
    <w:p>
      <w:pPr>
        <w:pStyle w:val="4"/>
        <w:numPr>
          <w:ilvl w:val="0"/>
          <w:numId w:val="0"/>
        </w:numPr>
        <w:rPr>
          <w:color w:val="000000" w:themeColor="text1"/>
          <w:highlight w:val="none"/>
        </w:rPr>
      </w:pPr>
      <w:bookmarkStart w:id="1845" w:name="_Toc333237699"/>
      <w:bookmarkStart w:id="1846" w:name="_Toc336681601"/>
      <w:bookmarkStart w:id="1847" w:name="_Toc366072550"/>
      <w:bookmarkStart w:id="1848" w:name="_Toc339020036"/>
      <w:bookmarkStart w:id="1849" w:name="_Toc340677091"/>
      <w:bookmarkStart w:id="1850" w:name="_Toc340672890"/>
      <w:bookmarkStart w:id="1851" w:name="_Toc365985199"/>
      <w:bookmarkStart w:id="1852" w:name="_Toc339441108"/>
      <w:bookmarkStart w:id="1853" w:name="_Toc332270368"/>
      <w:bookmarkStart w:id="1854" w:name="_Toc350756471"/>
      <w:bookmarkStart w:id="1855" w:name="_Toc340507463"/>
      <w:bookmarkStart w:id="1856" w:name="_Toc343612941"/>
      <w:bookmarkStart w:id="1857" w:name="_Toc331512922"/>
      <w:bookmarkStart w:id="1858" w:name="_Toc339020116"/>
      <w:bookmarkStart w:id="1859" w:name="_Toc333238655"/>
      <w:bookmarkStart w:id="1860" w:name="_Toc342398151"/>
      <w:bookmarkStart w:id="1861" w:name="_Toc342296782"/>
      <w:bookmarkStart w:id="1862" w:name="_Toc339020254"/>
      <w:bookmarkStart w:id="1863" w:name="_Toc333935367"/>
      <w:bookmarkStart w:id="1864" w:name="_Toc343247121"/>
      <w:bookmarkStart w:id="1865" w:name="_Toc333935708"/>
      <w:bookmarkStart w:id="1866" w:name="_Toc341348361"/>
      <w:bookmarkStart w:id="1867" w:name="_Toc30983"/>
      <w:bookmarkStart w:id="1868" w:name="_Toc339019910"/>
      <w:bookmarkStart w:id="1869" w:name="_Toc336681956"/>
      <w:bookmarkStart w:id="1870" w:name="_Toc345312618"/>
      <w:bookmarkStart w:id="1871" w:name="_Toc342060396"/>
      <w:bookmarkStart w:id="1872" w:name="_Toc342312464"/>
      <w:bookmarkStart w:id="1873" w:name="_Toc332206730"/>
      <w:bookmarkStart w:id="1874" w:name="_Toc337632379"/>
      <w:bookmarkStart w:id="1875" w:name="_Toc330460007"/>
      <w:bookmarkStart w:id="1876" w:name="_Toc331684063"/>
      <w:bookmarkStart w:id="1877" w:name="_Toc350438770"/>
      <w:bookmarkStart w:id="1878" w:name="_Toc339362321"/>
      <w:bookmarkStart w:id="1879" w:name="_Toc343248439"/>
      <w:bookmarkStart w:id="1880" w:name="_Toc365967093"/>
      <w:bookmarkStart w:id="1881" w:name="_Toc333237810"/>
      <w:r>
        <w:rPr>
          <w:rFonts w:hint="eastAsia"/>
          <w:color w:val="000000" w:themeColor="text1"/>
          <w:highlight w:val="none"/>
        </w:rPr>
        <w:t>附件一：投标</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r>
        <w:rPr>
          <w:rFonts w:hint="eastAsia"/>
          <w:color w:val="000000" w:themeColor="text1"/>
          <w:highlight w:val="none"/>
        </w:rPr>
        <w:t>函</w:t>
      </w:r>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w:t>
      </w:r>
      <w:r>
        <w:rPr>
          <w:rFonts w:hint="eastAsia" w:hAnsi="宋体"/>
          <w:b/>
          <w:color w:val="000000" w:themeColor="text1"/>
          <w:highlight w:val="none"/>
        </w:rPr>
        <w:t>包组号：</w:t>
      </w:r>
      <w:r>
        <w:rPr>
          <w:rFonts w:hAnsi="宋体"/>
          <w:b/>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所附投标价格表中规定的应提交和交付的投标</w:t>
      </w:r>
      <w:r>
        <w:rPr>
          <w:rFonts w:hint="eastAsia"/>
          <w:color w:val="000000" w:themeColor="text1"/>
          <w:highlight w:val="none"/>
        </w:rPr>
        <w:t>折扣率</w:t>
      </w:r>
      <w:r>
        <w:rPr>
          <w:rFonts w:hint="eastAsia" w:ascii="宋体" w:hAnsi="宋体"/>
          <w:color w:val="000000" w:themeColor="text1"/>
          <w:szCs w:val="21"/>
          <w:highlight w:val="none"/>
        </w:rPr>
        <w:t>为：</w:t>
      </w:r>
      <w:r>
        <w:rPr>
          <w:rFonts w:hint="eastAsia" w:ascii="宋体" w:hAnsi="宋体"/>
          <w:color w:val="000000" w:themeColor="text1"/>
          <w:szCs w:val="21"/>
          <w:highlight w:val="none"/>
          <w:u w:val="single"/>
        </w:rPr>
        <w:t xml:space="preserve"> （用文字和数字表示的投标折扣率）  </w:t>
      </w:r>
      <w:r>
        <w:rPr>
          <w:rFonts w:hint="eastAsia" w:ascii="宋体" w:hAnsi="宋体"/>
          <w:color w:val="000000" w:themeColor="text1"/>
          <w:szCs w:val="21"/>
          <w:highlight w:val="none"/>
        </w:rPr>
        <w:t>。</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为采购项目提供整体设计、规范编制或者项目管理、监理、检测等服务的供应商，不得再参加该采购项目的其他采购活动。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单位负责人为同一人或者存在直接控股、管理关系的不同供应商，不得参加同一合同项下的政府采购活动。</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本次投标所报内容完全按照招标文件要求填报，所有内容都是真实、准确的。</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投标人将按招标文件的规定履行全部合同责任和义务。</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投标人已详细审查全部招标文件，包括修改文件（如有的话）以及全部参考资料和有关附件。我们完全理解并同意放弃对这方面有不明及误解的权利。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本次投标自开标日起有效期为90天。</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szCs w:val="21"/>
          <w:highlight w:val="none"/>
        </w:rPr>
        <w:t>不予退还。</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投标人同意提供按照贵方可能要求与其投标有关的一切数据或资料，完全理解贵方不一定接受最低价的投标或收到的任何投标。</w:t>
      </w:r>
    </w:p>
    <w:p>
      <w:pPr>
        <w:widowControl/>
        <w:numPr>
          <w:ilvl w:val="0"/>
          <w:numId w:val="36"/>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szCs w:val="21"/>
          <w:highlight w:val="none"/>
        </w:rPr>
        <w:t>与本投标有关的一切正式往来通讯请寄至投</w:t>
      </w:r>
      <w:r>
        <w:rPr>
          <w:rFonts w:hint="eastAsia" w:ascii="宋体" w:hAnsi="宋体"/>
          <w:bCs/>
          <w:color w:val="000000" w:themeColor="text1"/>
          <w:highlight w:val="none"/>
        </w:rPr>
        <w:t>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w:t>
      </w:r>
      <w:r>
        <w:rPr>
          <w:rFonts w:hint="eastAsia" w:ascii="宋体" w:hAnsi="宋体"/>
          <w:color w:val="000000" w:themeColor="text1"/>
          <w:szCs w:val="21"/>
          <w:highlight w:val="none"/>
        </w:rPr>
        <w:t>加盖公章</w:t>
      </w:r>
      <w:r>
        <w:rPr>
          <w:rFonts w:hint="eastAsia" w:ascii="宋体" w:hAnsi="宋体"/>
          <w:bCs/>
          <w:color w:val="000000" w:themeColor="text1"/>
          <w:highlight w:val="none"/>
        </w:rPr>
        <w:t>）：</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5"/>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5"/>
        <w:spacing w:line="400" w:lineRule="exact"/>
        <w:rPr>
          <w:rFonts w:hAnsi="宋体"/>
          <w:color w:val="000000" w:themeColor="text1"/>
          <w:highlight w:val="none"/>
        </w:rPr>
      </w:pPr>
    </w:p>
    <w:p>
      <w:pPr>
        <w:pStyle w:val="25"/>
        <w:spacing w:line="400" w:lineRule="exact"/>
        <w:rPr>
          <w:rFonts w:hAnsi="宋体"/>
          <w:color w:val="000000" w:themeColor="text1"/>
          <w:highlight w:val="none"/>
        </w:rPr>
      </w:pPr>
    </w:p>
    <w:p>
      <w:pPr>
        <w:pStyle w:val="4"/>
        <w:numPr>
          <w:ilvl w:val="0"/>
          <w:numId w:val="0"/>
        </w:numPr>
        <w:spacing w:line="400" w:lineRule="exact"/>
        <w:rPr>
          <w:color w:val="000000" w:themeColor="text1"/>
          <w:highlight w:val="none"/>
        </w:rPr>
      </w:pPr>
      <w:bookmarkStart w:id="1882" w:name="_Hlt16935467"/>
      <w:bookmarkEnd w:id="1882"/>
      <w:bookmarkStart w:id="1883" w:name="_Toc342296783"/>
      <w:bookmarkStart w:id="1884" w:name="_Toc342312465"/>
      <w:bookmarkStart w:id="1885" w:name="_Toc336681957"/>
      <w:bookmarkStart w:id="1886" w:name="_Toc339441109"/>
      <w:bookmarkStart w:id="1887" w:name="_Toc366072551"/>
      <w:bookmarkStart w:id="1888" w:name="_Toc337632380"/>
      <w:bookmarkStart w:id="1889" w:name="_Toc333237811"/>
      <w:bookmarkStart w:id="1890" w:name="_Toc333935709"/>
      <w:bookmarkStart w:id="1891" w:name="_Toc342060397"/>
      <w:bookmarkStart w:id="1892" w:name="_Toc340672891"/>
      <w:bookmarkStart w:id="1893" w:name="_Toc330460008"/>
      <w:bookmarkStart w:id="1894" w:name="_Toc345312619"/>
      <w:bookmarkStart w:id="1895" w:name="_Toc331512923"/>
      <w:bookmarkStart w:id="1896" w:name="_Toc343612942"/>
      <w:bookmarkStart w:id="1897" w:name="_Toc331684064"/>
      <w:bookmarkStart w:id="1898" w:name="_Toc365985200"/>
      <w:bookmarkStart w:id="1899" w:name="_Toc336681602"/>
      <w:bookmarkStart w:id="1900" w:name="_Toc343247122"/>
      <w:bookmarkStart w:id="1901" w:name="_Toc342398152"/>
      <w:bookmarkStart w:id="1902" w:name="_Toc350756472"/>
      <w:bookmarkStart w:id="1903" w:name="_Toc78816017"/>
      <w:bookmarkStart w:id="1904" w:name="_Toc332270369"/>
      <w:bookmarkStart w:id="1905" w:name="_Toc340507464"/>
      <w:bookmarkStart w:id="1906" w:name="_Toc341348362"/>
      <w:bookmarkStart w:id="1907" w:name="_Toc333935368"/>
      <w:bookmarkStart w:id="1908" w:name="_Toc365967094"/>
      <w:bookmarkStart w:id="1909" w:name="_Toc343248440"/>
      <w:bookmarkStart w:id="1910" w:name="_Toc332206731"/>
      <w:bookmarkStart w:id="1911" w:name="_Toc339362322"/>
      <w:bookmarkStart w:id="1912" w:name="_Toc339020255"/>
      <w:bookmarkStart w:id="1913" w:name="_Toc339019911"/>
      <w:bookmarkStart w:id="1914" w:name="_Toc350438771"/>
      <w:bookmarkStart w:id="1915" w:name="_Toc340677092"/>
      <w:bookmarkStart w:id="1916" w:name="_Toc333238656"/>
      <w:bookmarkStart w:id="1917" w:name="_Toc16051"/>
      <w:bookmarkStart w:id="1918" w:name="_Toc339020117"/>
      <w:bookmarkStart w:id="1919" w:name="_Toc339020037"/>
      <w:bookmarkStart w:id="1920" w:name="_Toc333237700"/>
      <w:r>
        <w:rPr>
          <w:rFonts w:hint="eastAsia"/>
          <w:color w:val="000000" w:themeColor="text1"/>
          <w:highlight w:val="none"/>
        </w:rPr>
        <w:t>附件二：开标一览表</w:t>
      </w:r>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p>
    <w:p>
      <w:pPr>
        <w:adjustRightInd w:val="0"/>
        <w:snapToGrid w:val="0"/>
        <w:spacing w:line="360" w:lineRule="auto"/>
        <w:jc w:val="left"/>
        <w:rPr>
          <w:rFonts w:ascii="宋体" w:hAnsi="宋体"/>
          <w:bCs/>
          <w:color w:val="000000" w:themeColor="text1"/>
          <w:highlight w:val="none"/>
        </w:rPr>
      </w:pPr>
      <w:bookmarkStart w:id="1921"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hAnsi="宋体"/>
          <w:bCs/>
          <w:color w:val="000000" w:themeColor="text1"/>
          <w:highlight w:val="none"/>
          <w:u w:val="single"/>
        </w:rPr>
        <w:t xml:space="preserve">     </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21"/>
    </w:p>
    <w:tbl>
      <w:tblPr>
        <w:tblStyle w:val="47"/>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050"/>
        <w:gridCol w:w="2517"/>
        <w:gridCol w:w="1129"/>
        <w:gridCol w:w="1277"/>
        <w:gridCol w:w="1673"/>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39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1050" w:type="dxa"/>
            <w:vAlign w:val="center"/>
          </w:tcPr>
          <w:p>
            <w:pPr>
              <w:spacing w:line="360" w:lineRule="auto"/>
              <w:jc w:val="center"/>
              <w:rPr>
                <w:rFonts w:hint="default" w:ascii="宋体" w:hAnsi="宋体" w:eastAsia="宋体"/>
                <w:bCs/>
                <w:color w:val="000000" w:themeColor="text1"/>
                <w:highlight w:val="none"/>
                <w:lang w:val="en-US" w:eastAsia="zh-CN"/>
              </w:rPr>
            </w:pPr>
            <w:r>
              <w:rPr>
                <w:rFonts w:hint="eastAsia" w:ascii="宋体" w:hAnsi="宋体"/>
                <w:bCs/>
                <w:color w:val="000000" w:themeColor="text1"/>
                <w:highlight w:val="none"/>
                <w:lang w:val="en-US" w:eastAsia="zh-CN"/>
              </w:rPr>
              <w:t>包组号</w:t>
            </w:r>
          </w:p>
        </w:tc>
        <w:tc>
          <w:tcPr>
            <w:tcW w:w="2517"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406" w:type="dxa"/>
            <w:gridSpan w:val="2"/>
            <w:vAlign w:val="center"/>
          </w:tcPr>
          <w:p>
            <w:pPr>
              <w:jc w:val="center"/>
              <w:rPr>
                <w:rFonts w:ascii="宋体" w:hAnsi="宋体"/>
                <w:bCs/>
                <w:color w:val="000000" w:themeColor="text1"/>
                <w:highlight w:val="none"/>
              </w:rPr>
            </w:pPr>
            <w:r>
              <w:rPr>
                <w:rFonts w:hint="eastAsia"/>
                <w:color w:val="000000" w:themeColor="text1"/>
                <w:highlight w:val="none"/>
              </w:rPr>
              <w:t>折扣率</w:t>
            </w:r>
            <w:r>
              <w:rPr>
                <w:rFonts w:hint="eastAsia" w:ascii="宋体" w:hAnsi="宋体"/>
                <w:bCs/>
                <w:color w:val="000000" w:themeColor="text1"/>
                <w:highlight w:val="none"/>
              </w:rPr>
              <w:t>/%</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814"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1399" w:type="dxa"/>
            <w:vMerge w:val="restart"/>
            <w:vAlign w:val="center"/>
          </w:tcPr>
          <w:p>
            <w:pPr>
              <w:adjustRightInd w:val="0"/>
              <w:snapToGrid w:val="0"/>
              <w:spacing w:line="300" w:lineRule="exact"/>
              <w:jc w:val="center"/>
              <w:rPr>
                <w:rFonts w:ascii="宋体" w:hAnsi="宋体"/>
                <w:bCs/>
                <w:color w:val="000000" w:themeColor="text1"/>
                <w:highlight w:val="none"/>
              </w:rPr>
            </w:pPr>
          </w:p>
        </w:tc>
        <w:tc>
          <w:tcPr>
            <w:tcW w:w="1050" w:type="dxa"/>
            <w:vMerge w:val="restart"/>
            <w:vAlign w:val="center"/>
          </w:tcPr>
          <w:p>
            <w:pPr>
              <w:adjustRightInd w:val="0"/>
              <w:snapToGrid w:val="0"/>
              <w:spacing w:line="300" w:lineRule="exact"/>
              <w:jc w:val="center"/>
              <w:rPr>
                <w:rFonts w:hint="default" w:ascii="宋体" w:hAnsi="宋体" w:eastAsia="宋体"/>
                <w:bCs/>
                <w:color w:val="000000" w:themeColor="text1"/>
                <w:highlight w:val="none"/>
                <w:lang w:val="en-US" w:eastAsia="zh-CN"/>
              </w:rPr>
            </w:pPr>
            <w:r>
              <w:rPr>
                <w:rFonts w:hint="eastAsia" w:ascii="宋体" w:hAnsi="宋体"/>
                <w:bCs/>
                <w:color w:val="000000" w:themeColor="text1"/>
                <w:highlight w:val="none"/>
                <w:lang w:val="en-US" w:eastAsia="zh-CN"/>
              </w:rPr>
              <w:t>01包组</w:t>
            </w:r>
          </w:p>
        </w:tc>
        <w:tc>
          <w:tcPr>
            <w:tcW w:w="2517" w:type="dxa"/>
            <w:vMerge w:val="restart"/>
            <w:vAlign w:val="center"/>
          </w:tcPr>
          <w:p>
            <w:pPr>
              <w:adjustRightInd w:val="0"/>
              <w:snapToGrid w:val="0"/>
              <w:spacing w:line="300" w:lineRule="exact"/>
              <w:jc w:val="center"/>
              <w:rPr>
                <w:rFonts w:ascii="宋体" w:hAnsi="宋体"/>
                <w:bCs/>
                <w:color w:val="000000" w:themeColor="text1"/>
                <w:highlight w:val="none"/>
              </w:rPr>
            </w:pPr>
          </w:p>
        </w:tc>
        <w:tc>
          <w:tcPr>
            <w:tcW w:w="1129" w:type="dxa"/>
            <w:vAlign w:val="center"/>
          </w:tcPr>
          <w:p>
            <w:pPr>
              <w:adjustRightInd w:val="0"/>
              <w:snapToGrid w:val="0"/>
              <w:spacing w:line="300" w:lineRule="exact"/>
              <w:jc w:val="center"/>
              <w:rPr>
                <w:rFonts w:ascii="宋体" w:hAnsi="宋体"/>
                <w:bCs/>
                <w:color w:val="000000" w:themeColor="text1"/>
                <w:highlight w:val="none"/>
              </w:rPr>
            </w:pPr>
            <w:r>
              <w:rPr>
                <w:rFonts w:hint="eastAsia" w:ascii="宋体" w:hAnsi="宋体" w:cs="宋体"/>
                <w:b w:val="0"/>
                <w:bCs w:val="0"/>
                <w:color w:val="000000" w:themeColor="text1"/>
                <w:highlight w:val="none"/>
                <w:lang w:val="en-US" w:eastAsia="zh-CN"/>
              </w:rPr>
              <w:t>折扣率A</w:t>
            </w:r>
          </w:p>
        </w:tc>
        <w:tc>
          <w:tcPr>
            <w:tcW w:w="1277" w:type="dxa"/>
            <w:vAlign w:val="center"/>
          </w:tcPr>
          <w:p>
            <w:pPr>
              <w:spacing w:line="260" w:lineRule="exact"/>
              <w:jc w:val="center"/>
              <w:rPr>
                <w:rFonts w:ascii="宋体" w:hAnsi="宋体"/>
                <w:bCs/>
                <w:color w:val="000000" w:themeColor="text1"/>
                <w:highlight w:val="none"/>
              </w:rPr>
            </w:pPr>
            <w:r>
              <w:rPr>
                <w:rFonts w:hint="eastAsia" w:ascii="宋体" w:hAnsi="宋体"/>
                <w:bCs/>
                <w:color w:val="000000" w:themeColor="text1"/>
                <w:highlight w:val="none"/>
                <w:u w:val="single"/>
              </w:rPr>
              <w:t xml:space="preserve">       %</w:t>
            </w:r>
          </w:p>
        </w:tc>
        <w:tc>
          <w:tcPr>
            <w:tcW w:w="1673" w:type="dxa"/>
            <w:vMerge w:val="restart"/>
            <w:vAlign w:val="center"/>
          </w:tcPr>
          <w:p>
            <w:pPr>
              <w:topLinePunct/>
              <w:jc w:val="left"/>
              <w:rPr>
                <w:rFonts w:ascii="宋体" w:hAnsi="宋体"/>
                <w:bCs/>
                <w:color w:val="000000" w:themeColor="text1"/>
                <w:highlight w:val="none"/>
                <w:u w:val="single"/>
              </w:rPr>
            </w:pPr>
          </w:p>
        </w:tc>
        <w:tc>
          <w:tcPr>
            <w:tcW w:w="814" w:type="dxa"/>
            <w:vMerge w:val="restart"/>
            <w:vAlign w:val="center"/>
          </w:tcPr>
          <w:p>
            <w:pPr>
              <w:rPr>
                <w:rFonts w:ascii="宋体" w:hAnsi="宋体"/>
                <w:bCs/>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1399" w:type="dxa"/>
            <w:vMerge w:val="continue"/>
            <w:vAlign w:val="center"/>
          </w:tcPr>
          <w:p>
            <w:pPr>
              <w:adjustRightInd w:val="0"/>
              <w:snapToGrid w:val="0"/>
              <w:spacing w:line="300" w:lineRule="exact"/>
              <w:jc w:val="center"/>
              <w:rPr>
                <w:rFonts w:ascii="宋体" w:hAnsi="宋体"/>
                <w:bCs/>
                <w:color w:val="000000" w:themeColor="text1"/>
                <w:highlight w:val="none"/>
              </w:rPr>
            </w:pPr>
          </w:p>
        </w:tc>
        <w:tc>
          <w:tcPr>
            <w:tcW w:w="1050" w:type="dxa"/>
            <w:vMerge w:val="continue"/>
            <w:vAlign w:val="center"/>
          </w:tcPr>
          <w:p>
            <w:pPr>
              <w:adjustRightInd w:val="0"/>
              <w:snapToGrid w:val="0"/>
              <w:spacing w:line="300" w:lineRule="exact"/>
              <w:jc w:val="center"/>
              <w:rPr>
                <w:rFonts w:ascii="宋体" w:hAnsi="宋体"/>
                <w:bCs/>
                <w:color w:val="000000" w:themeColor="text1"/>
                <w:highlight w:val="none"/>
              </w:rPr>
            </w:pPr>
          </w:p>
        </w:tc>
        <w:tc>
          <w:tcPr>
            <w:tcW w:w="2517" w:type="dxa"/>
            <w:vMerge w:val="continue"/>
            <w:vAlign w:val="center"/>
          </w:tcPr>
          <w:p>
            <w:pPr>
              <w:adjustRightInd w:val="0"/>
              <w:snapToGrid w:val="0"/>
              <w:spacing w:line="300" w:lineRule="exact"/>
              <w:jc w:val="center"/>
              <w:rPr>
                <w:rFonts w:ascii="宋体" w:hAnsi="宋体"/>
                <w:bCs/>
                <w:color w:val="000000" w:themeColor="text1"/>
                <w:highlight w:val="none"/>
              </w:rPr>
            </w:pPr>
          </w:p>
        </w:tc>
        <w:tc>
          <w:tcPr>
            <w:tcW w:w="1129" w:type="dxa"/>
            <w:vAlign w:val="center"/>
          </w:tcPr>
          <w:p>
            <w:pPr>
              <w:adjustRightInd w:val="0"/>
              <w:snapToGrid w:val="0"/>
              <w:spacing w:line="300" w:lineRule="exact"/>
              <w:jc w:val="center"/>
              <w:rPr>
                <w:rFonts w:ascii="宋体" w:hAnsi="宋体"/>
                <w:bCs/>
                <w:color w:val="000000" w:themeColor="text1"/>
                <w:highlight w:val="none"/>
              </w:rPr>
            </w:pPr>
            <w:r>
              <w:rPr>
                <w:rFonts w:hint="eastAsia" w:ascii="宋体" w:hAnsi="宋体" w:cs="宋体"/>
                <w:b w:val="0"/>
                <w:bCs w:val="0"/>
                <w:color w:val="000000" w:themeColor="text1"/>
                <w:highlight w:val="none"/>
                <w:lang w:val="en-US" w:eastAsia="zh-CN"/>
              </w:rPr>
              <w:t>折扣率B</w:t>
            </w:r>
          </w:p>
        </w:tc>
        <w:tc>
          <w:tcPr>
            <w:tcW w:w="1277" w:type="dxa"/>
            <w:vAlign w:val="center"/>
          </w:tcPr>
          <w:p>
            <w:pPr>
              <w:spacing w:line="260" w:lineRule="exact"/>
              <w:jc w:val="center"/>
              <w:rPr>
                <w:rFonts w:hint="eastAsia" w:ascii="宋体" w:hAnsi="宋体"/>
                <w:bCs/>
                <w:color w:val="000000" w:themeColor="text1"/>
                <w:highlight w:val="none"/>
                <w:u w:val="single"/>
              </w:rPr>
            </w:pPr>
            <w:r>
              <w:rPr>
                <w:rFonts w:hint="eastAsia" w:ascii="宋体" w:hAnsi="宋体"/>
                <w:bCs/>
                <w:color w:val="000000" w:themeColor="text1"/>
                <w:highlight w:val="none"/>
                <w:u w:val="single"/>
              </w:rPr>
              <w:t xml:space="preserve">       %</w:t>
            </w:r>
          </w:p>
        </w:tc>
        <w:tc>
          <w:tcPr>
            <w:tcW w:w="1673" w:type="dxa"/>
            <w:vMerge w:val="continue"/>
            <w:vAlign w:val="center"/>
          </w:tcPr>
          <w:p>
            <w:pPr>
              <w:topLinePunct/>
              <w:jc w:val="left"/>
              <w:rPr>
                <w:rFonts w:ascii="宋体" w:hAnsi="宋体"/>
                <w:bCs/>
                <w:color w:val="000000" w:themeColor="text1"/>
                <w:highlight w:val="none"/>
                <w:u w:val="single"/>
              </w:rPr>
            </w:pPr>
          </w:p>
        </w:tc>
        <w:tc>
          <w:tcPr>
            <w:tcW w:w="814" w:type="dxa"/>
            <w:vMerge w:val="continue"/>
            <w:vAlign w:val="center"/>
          </w:tcPr>
          <w:p>
            <w:pPr>
              <w:rPr>
                <w:rFonts w:ascii="宋体" w:hAnsi="宋体"/>
                <w:bCs/>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1399" w:type="dxa"/>
            <w:vMerge w:val="restart"/>
            <w:vAlign w:val="center"/>
          </w:tcPr>
          <w:p>
            <w:pPr>
              <w:adjustRightInd w:val="0"/>
              <w:snapToGrid w:val="0"/>
              <w:spacing w:line="300" w:lineRule="exact"/>
              <w:jc w:val="center"/>
              <w:rPr>
                <w:rFonts w:ascii="宋体" w:hAnsi="宋体"/>
                <w:bCs/>
                <w:color w:val="000000" w:themeColor="text1"/>
                <w:highlight w:val="none"/>
              </w:rPr>
            </w:pPr>
          </w:p>
        </w:tc>
        <w:tc>
          <w:tcPr>
            <w:tcW w:w="1050" w:type="dxa"/>
            <w:vMerge w:val="restart"/>
            <w:vAlign w:val="center"/>
          </w:tcPr>
          <w:p>
            <w:pPr>
              <w:adjustRightInd w:val="0"/>
              <w:snapToGrid w:val="0"/>
              <w:spacing w:line="300" w:lineRule="exact"/>
              <w:jc w:val="center"/>
              <w:rPr>
                <w:rFonts w:ascii="宋体" w:hAnsi="宋体"/>
                <w:bCs/>
                <w:color w:val="000000" w:themeColor="text1"/>
                <w:highlight w:val="none"/>
              </w:rPr>
            </w:pPr>
            <w:r>
              <w:rPr>
                <w:rFonts w:hint="eastAsia" w:ascii="宋体" w:hAnsi="宋体"/>
                <w:bCs/>
                <w:color w:val="000000" w:themeColor="text1"/>
                <w:highlight w:val="none"/>
                <w:lang w:val="en-US" w:eastAsia="zh-CN"/>
              </w:rPr>
              <w:t>02包组</w:t>
            </w:r>
          </w:p>
        </w:tc>
        <w:tc>
          <w:tcPr>
            <w:tcW w:w="2517" w:type="dxa"/>
            <w:vMerge w:val="restart"/>
            <w:vAlign w:val="center"/>
          </w:tcPr>
          <w:p>
            <w:pPr>
              <w:adjustRightInd w:val="0"/>
              <w:snapToGrid w:val="0"/>
              <w:spacing w:line="300" w:lineRule="exact"/>
              <w:jc w:val="center"/>
              <w:rPr>
                <w:rFonts w:ascii="宋体" w:hAnsi="宋体"/>
                <w:bCs/>
                <w:color w:val="000000" w:themeColor="text1"/>
                <w:highlight w:val="none"/>
              </w:rPr>
            </w:pPr>
          </w:p>
        </w:tc>
        <w:tc>
          <w:tcPr>
            <w:tcW w:w="1129" w:type="dxa"/>
            <w:vAlign w:val="center"/>
          </w:tcPr>
          <w:p>
            <w:pPr>
              <w:adjustRightInd w:val="0"/>
              <w:snapToGrid w:val="0"/>
              <w:spacing w:line="300" w:lineRule="exact"/>
              <w:jc w:val="center"/>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cs="宋体"/>
                <w:b w:val="0"/>
                <w:bCs w:val="0"/>
                <w:color w:val="000000" w:themeColor="text1"/>
                <w:highlight w:val="none"/>
                <w:lang w:val="en-US" w:eastAsia="zh-CN"/>
              </w:rPr>
              <w:t>折扣率A</w:t>
            </w:r>
          </w:p>
        </w:tc>
        <w:tc>
          <w:tcPr>
            <w:tcW w:w="1277" w:type="dxa"/>
            <w:vAlign w:val="center"/>
          </w:tcPr>
          <w:p>
            <w:pPr>
              <w:spacing w:line="260" w:lineRule="exact"/>
              <w:jc w:val="center"/>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bCs/>
                <w:color w:val="000000" w:themeColor="text1"/>
                <w:highlight w:val="none"/>
                <w:u w:val="single"/>
              </w:rPr>
              <w:t xml:space="preserve">       %</w:t>
            </w:r>
          </w:p>
        </w:tc>
        <w:tc>
          <w:tcPr>
            <w:tcW w:w="1673" w:type="dxa"/>
            <w:vMerge w:val="restart"/>
            <w:vAlign w:val="center"/>
          </w:tcPr>
          <w:p>
            <w:pPr>
              <w:topLinePunct/>
              <w:jc w:val="left"/>
              <w:rPr>
                <w:rFonts w:ascii="宋体" w:hAnsi="宋体"/>
                <w:bCs/>
                <w:color w:val="000000" w:themeColor="text1"/>
                <w:highlight w:val="none"/>
                <w:u w:val="single"/>
              </w:rPr>
            </w:pPr>
          </w:p>
        </w:tc>
        <w:tc>
          <w:tcPr>
            <w:tcW w:w="814" w:type="dxa"/>
            <w:vMerge w:val="restart"/>
            <w:vAlign w:val="center"/>
          </w:tcPr>
          <w:p>
            <w:pPr>
              <w:rPr>
                <w:rFonts w:ascii="宋体" w:hAnsi="宋体"/>
                <w:bCs/>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1399" w:type="dxa"/>
            <w:vMerge w:val="continue"/>
            <w:vAlign w:val="center"/>
          </w:tcPr>
          <w:p>
            <w:pPr>
              <w:adjustRightInd w:val="0"/>
              <w:snapToGrid w:val="0"/>
              <w:spacing w:line="300" w:lineRule="exact"/>
              <w:jc w:val="center"/>
              <w:rPr>
                <w:rFonts w:ascii="宋体" w:hAnsi="宋体"/>
                <w:bCs/>
                <w:color w:val="000000" w:themeColor="text1"/>
                <w:highlight w:val="none"/>
              </w:rPr>
            </w:pPr>
          </w:p>
        </w:tc>
        <w:tc>
          <w:tcPr>
            <w:tcW w:w="1050" w:type="dxa"/>
            <w:vMerge w:val="continue"/>
            <w:vAlign w:val="center"/>
          </w:tcPr>
          <w:p>
            <w:pPr>
              <w:adjustRightInd w:val="0"/>
              <w:snapToGrid w:val="0"/>
              <w:spacing w:line="300" w:lineRule="exact"/>
              <w:jc w:val="center"/>
              <w:rPr>
                <w:rFonts w:ascii="宋体" w:hAnsi="宋体"/>
                <w:bCs/>
                <w:color w:val="000000" w:themeColor="text1"/>
                <w:highlight w:val="none"/>
              </w:rPr>
            </w:pPr>
          </w:p>
        </w:tc>
        <w:tc>
          <w:tcPr>
            <w:tcW w:w="2517" w:type="dxa"/>
            <w:vMerge w:val="continue"/>
            <w:vAlign w:val="center"/>
          </w:tcPr>
          <w:p>
            <w:pPr>
              <w:adjustRightInd w:val="0"/>
              <w:snapToGrid w:val="0"/>
              <w:spacing w:line="300" w:lineRule="exact"/>
              <w:jc w:val="center"/>
              <w:rPr>
                <w:rFonts w:ascii="宋体" w:hAnsi="宋体"/>
                <w:bCs/>
                <w:color w:val="000000" w:themeColor="text1"/>
                <w:highlight w:val="none"/>
              </w:rPr>
            </w:pPr>
          </w:p>
        </w:tc>
        <w:tc>
          <w:tcPr>
            <w:tcW w:w="1129" w:type="dxa"/>
            <w:vAlign w:val="center"/>
          </w:tcPr>
          <w:p>
            <w:pPr>
              <w:adjustRightInd w:val="0"/>
              <w:snapToGrid w:val="0"/>
              <w:spacing w:line="300" w:lineRule="exact"/>
              <w:jc w:val="center"/>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cs="宋体"/>
                <w:b w:val="0"/>
                <w:bCs w:val="0"/>
                <w:color w:val="000000" w:themeColor="text1"/>
                <w:highlight w:val="none"/>
                <w:lang w:val="en-US" w:eastAsia="zh-CN"/>
              </w:rPr>
              <w:t>折扣率B</w:t>
            </w:r>
          </w:p>
        </w:tc>
        <w:tc>
          <w:tcPr>
            <w:tcW w:w="1277" w:type="dxa"/>
            <w:vAlign w:val="center"/>
          </w:tcPr>
          <w:p>
            <w:pPr>
              <w:spacing w:line="260" w:lineRule="exact"/>
              <w:jc w:val="center"/>
              <w:rPr>
                <w:rFonts w:hint="eastAsia" w:ascii="宋体" w:hAnsi="宋体" w:eastAsia="宋体" w:cs="Times New Roman"/>
                <w:bCs/>
                <w:color w:val="000000" w:themeColor="text1"/>
                <w:kern w:val="2"/>
                <w:sz w:val="21"/>
                <w:szCs w:val="24"/>
                <w:highlight w:val="none"/>
                <w:u w:val="single"/>
                <w:lang w:val="en-US" w:eastAsia="zh-CN" w:bidi="ar-SA"/>
              </w:rPr>
            </w:pPr>
            <w:r>
              <w:rPr>
                <w:rFonts w:hint="eastAsia" w:ascii="宋体" w:hAnsi="宋体"/>
                <w:bCs/>
                <w:color w:val="000000" w:themeColor="text1"/>
                <w:highlight w:val="none"/>
                <w:u w:val="single"/>
              </w:rPr>
              <w:t xml:space="preserve">       %</w:t>
            </w:r>
          </w:p>
        </w:tc>
        <w:tc>
          <w:tcPr>
            <w:tcW w:w="1673" w:type="dxa"/>
            <w:vMerge w:val="continue"/>
            <w:vAlign w:val="center"/>
          </w:tcPr>
          <w:p>
            <w:pPr>
              <w:topLinePunct/>
              <w:jc w:val="left"/>
              <w:rPr>
                <w:rFonts w:ascii="宋体" w:hAnsi="宋体"/>
                <w:bCs/>
                <w:color w:val="000000" w:themeColor="text1"/>
                <w:highlight w:val="none"/>
                <w:u w:val="single"/>
              </w:rPr>
            </w:pPr>
          </w:p>
        </w:tc>
        <w:tc>
          <w:tcPr>
            <w:tcW w:w="814" w:type="dxa"/>
            <w:vMerge w:val="continue"/>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w:t>
      </w:r>
      <w:r>
        <w:rPr>
          <w:rFonts w:hint="eastAsia" w:ascii="宋体" w:hAnsi="宋体"/>
          <w:color w:val="000000" w:themeColor="text1"/>
          <w:szCs w:val="21"/>
          <w:highlight w:val="none"/>
        </w:rPr>
        <w:t>加盖公章</w:t>
      </w:r>
      <w:r>
        <w:rPr>
          <w:rFonts w:hint="eastAsia" w:ascii="宋体" w:hAnsi="宋体"/>
          <w:bCs/>
          <w:color w:val="000000" w:themeColor="text1"/>
          <w:highlight w:val="none"/>
        </w:rPr>
        <w:t>）：</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922" w:name="_Toc342398154"/>
      <w:bookmarkStart w:id="1923" w:name="_Toc342060399"/>
      <w:bookmarkStart w:id="1924" w:name="_Toc339441111"/>
      <w:bookmarkStart w:id="1925" w:name="_Toc333935370"/>
      <w:bookmarkStart w:id="1926" w:name="_Toc339020119"/>
      <w:bookmarkStart w:id="1927" w:name="_Toc350756474"/>
      <w:bookmarkStart w:id="1928" w:name="_Toc24055"/>
      <w:bookmarkStart w:id="1929" w:name="_Toc339019913"/>
      <w:bookmarkStart w:id="1930" w:name="_Toc345312621"/>
      <w:bookmarkStart w:id="1931" w:name="_Toc343247124"/>
      <w:bookmarkStart w:id="1932" w:name="_Toc333237813"/>
      <w:bookmarkStart w:id="1933" w:name="_Toc365967096"/>
      <w:bookmarkStart w:id="1934" w:name="_Toc340672893"/>
      <w:bookmarkStart w:id="1935" w:name="_Toc339020039"/>
      <w:bookmarkStart w:id="1936" w:name="_Toc343612944"/>
      <w:bookmarkStart w:id="1937" w:name="_Toc339362324"/>
      <w:bookmarkStart w:id="1938" w:name="_Toc342312467"/>
      <w:bookmarkStart w:id="1939" w:name="_Toc342296785"/>
      <w:bookmarkStart w:id="1940" w:name="_Toc333935711"/>
      <w:bookmarkStart w:id="1941" w:name="_Toc336681604"/>
      <w:bookmarkStart w:id="1942" w:name="_Toc333237702"/>
      <w:bookmarkStart w:id="1943" w:name="_Toc332206733"/>
      <w:bookmarkStart w:id="1944" w:name="_Toc340677094"/>
      <w:bookmarkStart w:id="1945" w:name="_Toc350438773"/>
      <w:bookmarkStart w:id="1946" w:name="_Toc337632382"/>
      <w:bookmarkStart w:id="1947" w:name="_Toc340507466"/>
      <w:bookmarkStart w:id="1948" w:name="_Toc365985202"/>
      <w:bookmarkStart w:id="1949" w:name="_Toc366072553"/>
      <w:bookmarkStart w:id="1950" w:name="_Toc336681959"/>
      <w:bookmarkStart w:id="1951" w:name="_Toc331684066"/>
      <w:bookmarkStart w:id="1952" w:name="_Toc339020257"/>
      <w:bookmarkStart w:id="1953" w:name="_Toc343248442"/>
      <w:bookmarkStart w:id="1954" w:name="_Toc332270371"/>
      <w:bookmarkStart w:id="1955" w:name="_Toc330460010"/>
      <w:bookmarkStart w:id="1956" w:name="_Toc333238658"/>
      <w:bookmarkStart w:id="1957" w:name="_Toc331512925"/>
      <w:bookmarkStart w:id="1958" w:name="_Toc341348364"/>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adjustRightInd w:val="0"/>
        <w:snapToGrid w:val="0"/>
        <w:spacing w:line="360" w:lineRule="auto"/>
        <w:ind w:left="105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hAnsi="宋体"/>
          <w:bCs/>
          <w:color w:val="000000" w:themeColor="text1"/>
          <w:highlight w:val="none"/>
          <w:u w:val="single"/>
        </w:rPr>
        <w:t xml:space="preserve">      </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rPr>
      </w:pPr>
      <w:bookmarkStart w:id="1959" w:name="_Toc14332"/>
      <w:bookmarkStart w:id="1960" w:name="_Toc343612945"/>
      <w:bookmarkStart w:id="1961" w:name="_Toc345312622"/>
      <w:bookmarkStart w:id="1962" w:name="_Toc340672894"/>
      <w:bookmarkStart w:id="1963" w:name="_Toc350438774"/>
      <w:bookmarkStart w:id="1964" w:name="_Toc339020258"/>
      <w:bookmarkStart w:id="1965" w:name="_Toc343248443"/>
      <w:bookmarkStart w:id="1966" w:name="_Toc342398155"/>
      <w:bookmarkStart w:id="1967" w:name="_Toc336681960"/>
      <w:bookmarkStart w:id="1968" w:name="_Toc333237814"/>
      <w:bookmarkStart w:id="1969" w:name="_Toc339020040"/>
      <w:bookmarkStart w:id="1970" w:name="_Toc333935712"/>
      <w:bookmarkStart w:id="1971" w:name="_Toc350756475"/>
      <w:bookmarkStart w:id="1972" w:name="_Toc333237703"/>
      <w:bookmarkStart w:id="1973" w:name="_Toc341348365"/>
      <w:bookmarkStart w:id="1974" w:name="_Toc342060400"/>
      <w:bookmarkStart w:id="1975" w:name="_Toc333935371"/>
      <w:bookmarkStart w:id="1976" w:name="_Toc331684067"/>
      <w:bookmarkStart w:id="1977" w:name="_Toc340677095"/>
      <w:bookmarkStart w:id="1978" w:name="_Toc331512926"/>
      <w:bookmarkStart w:id="1979" w:name="_Toc342296786"/>
      <w:bookmarkStart w:id="1980" w:name="_Toc365985203"/>
      <w:bookmarkStart w:id="1981" w:name="_Toc339441112"/>
      <w:bookmarkStart w:id="1982" w:name="_Toc342312468"/>
      <w:bookmarkStart w:id="1983" w:name="_Toc330460011"/>
      <w:bookmarkStart w:id="1984" w:name="_Toc332206734"/>
      <w:bookmarkStart w:id="1985" w:name="_Toc332270372"/>
      <w:bookmarkStart w:id="1986" w:name="_Toc339019914"/>
      <w:bookmarkStart w:id="1987" w:name="_Toc343247125"/>
      <w:bookmarkStart w:id="1988" w:name="_Toc339020120"/>
      <w:bookmarkStart w:id="1989" w:name="_Toc340507467"/>
      <w:bookmarkStart w:id="1990" w:name="_Toc365967097"/>
      <w:bookmarkStart w:id="1991" w:name="_Toc337632383"/>
      <w:bookmarkStart w:id="1992" w:name="_Toc336681605"/>
      <w:bookmarkStart w:id="1993" w:name="_Toc339362325"/>
      <w:bookmarkStart w:id="1994" w:name="_Toc366072554"/>
      <w:bookmarkStart w:id="1995" w:name="_Toc333238659"/>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959"/>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p>
      <w:pPr>
        <w:pStyle w:val="5"/>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96" w:name="_Toc342060404"/>
      <w:bookmarkStart w:id="1997" w:name="_Toc350756479"/>
      <w:bookmarkStart w:id="1998" w:name="_Toc331512930"/>
      <w:bookmarkStart w:id="1999" w:name="_Toc342312472"/>
      <w:bookmarkStart w:id="2000" w:name="_Toc339020124"/>
      <w:bookmarkStart w:id="2001" w:name="_Toc365967104"/>
      <w:bookmarkStart w:id="2002" w:name="_Toc366072561"/>
      <w:bookmarkStart w:id="2003" w:name="_Toc333935716"/>
      <w:bookmarkStart w:id="2004" w:name="_Toc365985210"/>
      <w:bookmarkStart w:id="2005" w:name="_Toc342398159"/>
      <w:bookmarkStart w:id="2006" w:name="_Toc345312626"/>
      <w:bookmarkStart w:id="2007" w:name="_Toc342296790"/>
      <w:bookmarkStart w:id="2008" w:name="_Toc339020262"/>
      <w:bookmarkStart w:id="2009" w:name="_Toc339019918"/>
      <w:bookmarkStart w:id="2010" w:name="_Toc340677099"/>
      <w:bookmarkStart w:id="2011" w:name="_Toc350438778"/>
      <w:bookmarkStart w:id="2012" w:name="_Toc336681609"/>
      <w:bookmarkStart w:id="2013" w:name="_Toc333935375"/>
      <w:bookmarkStart w:id="2014" w:name="_Toc333237818"/>
      <w:bookmarkStart w:id="2015" w:name="_Toc339441116"/>
      <w:bookmarkStart w:id="2016" w:name="_Toc10347"/>
      <w:bookmarkStart w:id="2017" w:name="_Toc432695228"/>
      <w:bookmarkStart w:id="2018" w:name="_Toc339020044"/>
      <w:bookmarkStart w:id="2019" w:name="_Toc343612949"/>
      <w:bookmarkStart w:id="2020" w:name="_Toc340672898"/>
      <w:bookmarkStart w:id="2021" w:name="_Toc343248447"/>
      <w:bookmarkStart w:id="2022" w:name="_Toc337632387"/>
      <w:bookmarkStart w:id="2023" w:name="_Toc339362329"/>
      <w:bookmarkStart w:id="2024" w:name="_Toc336681964"/>
      <w:bookmarkStart w:id="2025" w:name="_Toc330460015"/>
      <w:bookmarkStart w:id="2026" w:name="_Toc332270376"/>
      <w:bookmarkStart w:id="2027" w:name="_Toc333237707"/>
      <w:bookmarkStart w:id="2028" w:name="_Toc341348369"/>
      <w:bookmarkStart w:id="2029" w:name="_Toc333238663"/>
      <w:bookmarkStart w:id="2030" w:name="_Toc340507471"/>
      <w:bookmarkStart w:id="2031" w:name="_Toc332206738"/>
      <w:bookmarkStart w:id="2032" w:name="_Toc331684071"/>
      <w:bookmarkStart w:id="2033" w:name="_Toc343247129"/>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p>
    <w:p>
      <w:pPr>
        <w:adjustRightInd w:val="0"/>
        <w:snapToGrid w:val="0"/>
        <w:spacing w:line="360" w:lineRule="auto"/>
        <w:jc w:val="left"/>
        <w:rPr>
          <w:rFonts w:ascii="宋体" w:hAnsi="宋体"/>
          <w:bCs/>
          <w:caps/>
          <w:color w:val="000000" w:themeColor="text1"/>
          <w:szCs w:val="21"/>
          <w:highlight w:val="none"/>
          <w:u w:val="single"/>
        </w:rPr>
      </w:pPr>
      <w:bookmarkStart w:id="2034"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34"/>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35"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35"/>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2036" w:name="_Toc432682754"/>
      <w:bookmarkStart w:id="2037" w:name="_Toc430771089"/>
      <w:bookmarkStart w:id="2038" w:name="_Toc10710"/>
      <w:bookmarkStart w:id="2039" w:name="_Toc432695229"/>
      <w:bookmarkStart w:id="2040" w:name="_Toc331684072"/>
      <w:bookmarkStart w:id="2041" w:name="_Toc339020263"/>
      <w:bookmarkStart w:id="2042" w:name="_Toc333935376"/>
      <w:bookmarkStart w:id="2043" w:name="_Toc333935717"/>
      <w:bookmarkStart w:id="2044" w:name="_Toc332206739"/>
      <w:bookmarkStart w:id="2045" w:name="_Toc340677100"/>
      <w:bookmarkStart w:id="2046" w:name="_Toc343247130"/>
      <w:bookmarkStart w:id="2047" w:name="_Toc102451601"/>
      <w:bookmarkStart w:id="2048" w:name="_Toc366072562"/>
      <w:bookmarkStart w:id="2049" w:name="_Toc342398160"/>
      <w:bookmarkStart w:id="2050" w:name="_Toc339441117"/>
      <w:bookmarkStart w:id="2051" w:name="_Toc333238664"/>
      <w:bookmarkStart w:id="2052" w:name="_Toc337632388"/>
      <w:bookmarkStart w:id="2053" w:name="_Toc333237708"/>
      <w:bookmarkStart w:id="2054" w:name="_Toc333237819"/>
      <w:bookmarkStart w:id="2055" w:name="_Toc350756480"/>
      <w:bookmarkStart w:id="2056" w:name="_Toc331512931"/>
      <w:bookmarkStart w:id="2057" w:name="_Toc365985211"/>
      <w:bookmarkStart w:id="2058" w:name="_Toc340672899"/>
      <w:bookmarkStart w:id="2059" w:name="_Toc343612950"/>
      <w:bookmarkStart w:id="2060" w:name="_Toc342312473"/>
      <w:bookmarkStart w:id="2061" w:name="_Toc342296791"/>
      <w:bookmarkStart w:id="2062" w:name="_Toc365967105"/>
      <w:bookmarkStart w:id="2063" w:name="_Toc332270377"/>
      <w:bookmarkStart w:id="2064" w:name="_Toc336681965"/>
      <w:bookmarkStart w:id="2065" w:name="_Toc341348370"/>
      <w:bookmarkStart w:id="2066" w:name="_Toc336681610"/>
      <w:bookmarkStart w:id="2067" w:name="_Toc342060405"/>
      <w:bookmarkStart w:id="2068" w:name="_Toc345312627"/>
      <w:bookmarkStart w:id="2069" w:name="_Toc339020125"/>
      <w:bookmarkStart w:id="2070" w:name="_Toc339020045"/>
      <w:bookmarkStart w:id="2071" w:name="_Toc350438779"/>
      <w:bookmarkStart w:id="2072" w:name="_Toc330460016"/>
      <w:bookmarkStart w:id="2073" w:name="_Toc339019919"/>
      <w:bookmarkStart w:id="2074" w:name="_Toc339362330"/>
      <w:bookmarkStart w:id="2075" w:name="_Toc343248448"/>
      <w:bookmarkStart w:id="2076" w:name="_Toc340507472"/>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2036"/>
      <w:bookmarkEnd w:id="2037"/>
      <w:bookmarkEnd w:id="2038"/>
      <w:bookmarkEnd w:id="2039"/>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w:t>
      </w:r>
      <w:r>
        <w:rPr>
          <w:rFonts w:hint="eastAsia" w:ascii="宋体" w:hAnsi="宋体" w:cs="宋体"/>
          <w:color w:val="000000" w:themeColor="text1"/>
          <w:highlight w:val="none"/>
          <w:u w:val="single"/>
        </w:rPr>
        <w:t xml:space="preserve">      </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077"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077"/>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2078" w:name="_Toc738"/>
      <w:bookmarkStart w:id="2079" w:name="_Hlk534184757"/>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2078"/>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2080" w:name="_Toc8073"/>
      <w:bookmarkStart w:id="2081" w:name="_Toc432695230"/>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80"/>
      <w:bookmarkEnd w:id="2081"/>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hAnsi="宋体"/>
          <w:bCs/>
          <w:color w:val="000000" w:themeColor="text1"/>
          <w:highlight w:val="none"/>
        </w:rPr>
        <w:t>包组号：</w:t>
      </w:r>
      <w:r>
        <w:rPr>
          <w:rFonts w:hAnsi="宋体"/>
          <w:bCs/>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2082" w:name="_Toc326065622"/>
      <w:bookmarkStart w:id="2083" w:name="_Toc341348371"/>
      <w:bookmarkStart w:id="2084" w:name="_Toc339020126"/>
      <w:bookmarkStart w:id="2085" w:name="_Toc342060406"/>
      <w:bookmarkStart w:id="2086" w:name="_Toc333237709"/>
      <w:bookmarkStart w:id="2087" w:name="_Toc332270378"/>
      <w:bookmarkStart w:id="2088" w:name="_Toc432695231"/>
      <w:bookmarkStart w:id="2089" w:name="_Toc340677101"/>
      <w:bookmarkStart w:id="2090" w:name="_Toc339019920"/>
      <w:bookmarkStart w:id="2091" w:name="_Toc333935718"/>
      <w:bookmarkStart w:id="2092" w:name="_Toc339362331"/>
      <w:bookmarkStart w:id="2093" w:name="_Toc366072563"/>
      <w:bookmarkStart w:id="2094" w:name="_Toc350438780"/>
      <w:bookmarkStart w:id="2095" w:name="_Toc21281"/>
      <w:bookmarkStart w:id="2096" w:name="_Toc342398161"/>
      <w:bookmarkStart w:id="2097" w:name="_Toc333237820"/>
      <w:bookmarkStart w:id="2098" w:name="_Toc343248449"/>
      <w:bookmarkStart w:id="2099" w:name="_Toc342312474"/>
      <w:bookmarkStart w:id="2100" w:name="_Toc345312628"/>
      <w:bookmarkStart w:id="2101" w:name="_Toc336681966"/>
      <w:bookmarkStart w:id="2102" w:name="_Toc333935377"/>
      <w:bookmarkStart w:id="2103" w:name="_Toc340507473"/>
      <w:bookmarkStart w:id="2104" w:name="_Toc350756481"/>
      <w:bookmarkStart w:id="2105" w:name="_Toc339441118"/>
      <w:bookmarkStart w:id="2106" w:name="_Toc332206740"/>
      <w:bookmarkStart w:id="2107" w:name="_Toc330460017"/>
      <w:bookmarkStart w:id="2108" w:name="_Toc337632389"/>
      <w:bookmarkStart w:id="2109" w:name="_Toc333238665"/>
      <w:bookmarkStart w:id="2110" w:name="_Toc339020046"/>
      <w:bookmarkStart w:id="2111" w:name="_Toc331684073"/>
      <w:bookmarkStart w:id="2112" w:name="_Toc336681611"/>
      <w:bookmarkStart w:id="2113" w:name="_Toc343612951"/>
      <w:bookmarkStart w:id="2114" w:name="_Toc365985212"/>
      <w:bookmarkStart w:id="2115" w:name="_Toc340672900"/>
      <w:bookmarkStart w:id="2116" w:name="_Toc339020264"/>
      <w:bookmarkStart w:id="2117" w:name="_Toc343247131"/>
      <w:bookmarkStart w:id="2118" w:name="_Toc365967106"/>
      <w:bookmarkStart w:id="2119" w:name="_Toc331512932"/>
      <w:bookmarkStart w:id="2120" w:name="_Toc342296792"/>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2082"/>
      <w:r>
        <w:rPr>
          <w:rFonts w:hint="eastAsia"/>
          <w:color w:val="000000" w:themeColor="text1"/>
          <w:highlight w:val="none"/>
        </w:rPr>
        <w:t>投标人提交的其它商务和技术资料</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bCs/>
          <w:color w:val="000000" w:themeColor="text1"/>
          <w:szCs w:val="21"/>
          <w:highlight w:val="none"/>
        </w:rPr>
      </w:pPr>
      <w:r>
        <w:rPr>
          <w:rFonts w:hint="eastAsia" w:hAnsi="宋体"/>
          <w:bCs/>
          <w:color w:val="000000" w:themeColor="text1"/>
          <w:highlight w:val="none"/>
        </w:rPr>
        <w:t>包组号：</w:t>
      </w:r>
      <w:r>
        <w:rPr>
          <w:rFonts w:hAnsi="宋体"/>
          <w:bCs/>
          <w:color w:val="000000" w:themeColor="text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numPr>
          <w:ilvl w:val="0"/>
          <w:numId w:val="37"/>
        </w:numPr>
        <w:spacing w:line="360" w:lineRule="auto"/>
        <w:rPr>
          <w:rFonts w:hAnsi="宋体"/>
          <w:bCs/>
          <w:color w:val="000000" w:themeColor="text1"/>
          <w:sz w:val="21"/>
          <w:highlight w:val="none"/>
        </w:rPr>
      </w:pPr>
      <w:r>
        <w:rPr>
          <w:rFonts w:hint="eastAsia" w:hAnsi="宋体"/>
          <w:bCs/>
          <w:color w:val="000000" w:themeColor="text1"/>
          <w:sz w:val="21"/>
          <w:highlight w:val="none"/>
        </w:rPr>
        <w:t>投标保证金回单</w:t>
      </w:r>
    </w:p>
    <w:p>
      <w:pPr>
        <w:pStyle w:val="5"/>
        <w:numPr>
          <w:ilvl w:val="0"/>
          <w:numId w:val="37"/>
        </w:numPr>
        <w:spacing w:line="360" w:lineRule="auto"/>
        <w:rPr>
          <w:rFonts w:hAnsi="宋体"/>
          <w:bCs/>
          <w:color w:val="000000" w:themeColor="text1"/>
          <w:sz w:val="21"/>
          <w:highlight w:val="none"/>
        </w:rPr>
      </w:pP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bookmarkStart w:id="2121" w:name="_Toc434832511"/>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2079"/>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2121"/>
    <w:p>
      <w:pPr>
        <w:pStyle w:val="4"/>
        <w:numPr>
          <w:ilvl w:val="0"/>
          <w:numId w:val="0"/>
        </w:numPr>
        <w:rPr>
          <w:color w:val="000000" w:themeColor="text1"/>
          <w:sz w:val="52"/>
          <w:highlight w:val="none"/>
        </w:rPr>
      </w:pPr>
      <w:bookmarkStart w:id="2122" w:name="_Toc456888293"/>
      <w:bookmarkStart w:id="2123" w:name="_Toc456887842"/>
      <w:bookmarkStart w:id="2124" w:name="_Toc22751"/>
      <w:r>
        <w:rPr>
          <w:rFonts w:hint="eastAsia"/>
          <w:color w:val="000000" w:themeColor="text1"/>
          <w:sz w:val="52"/>
          <w:highlight w:val="none"/>
        </w:rPr>
        <w:t>其 他 参 考 格 式</w:t>
      </w:r>
      <w:bookmarkEnd w:id="2122"/>
      <w:bookmarkEnd w:id="2123"/>
      <w:bookmarkEnd w:id="2124"/>
      <w:r>
        <w:rPr>
          <w:rFonts w:hint="eastAsia"/>
          <w:color w:val="000000" w:themeColor="text1"/>
          <w:sz w:val="52"/>
          <w:highlight w:val="none"/>
        </w:rPr>
        <w:t xml:space="preserve"> </w:t>
      </w:r>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2"/>
        <w:numPr>
          <w:ilvl w:val="0"/>
          <w:numId w:val="0"/>
        </w:numPr>
        <w:spacing w:afterLines="50"/>
        <w:jc w:val="center"/>
        <w:rPr>
          <w:rFonts w:ascii="宋体" w:hAnsi="宋体" w:eastAsia="宋体"/>
          <w:b/>
          <w:bCs w:val="0"/>
          <w:color w:val="000000" w:themeColor="text1"/>
          <w:sz w:val="28"/>
          <w:highlight w:val="none"/>
        </w:rPr>
      </w:pPr>
      <w:bookmarkStart w:id="2125" w:name="_Toc28287"/>
      <w:bookmarkStart w:id="2126" w:name="_Toc456888294"/>
      <w:bookmarkStart w:id="2127" w:name="_Toc456887843"/>
      <w:r>
        <w:rPr>
          <w:rFonts w:hint="eastAsia" w:ascii="宋体" w:hAnsi="宋体" w:eastAsia="宋体"/>
          <w:b/>
          <w:bCs w:val="0"/>
          <w:color w:val="000000" w:themeColor="text1"/>
          <w:sz w:val="28"/>
          <w:highlight w:val="none"/>
        </w:rPr>
        <w:t>投标保证金退付书</w:t>
      </w:r>
      <w:bookmarkEnd w:id="2125"/>
      <w:bookmarkEnd w:id="2126"/>
      <w:bookmarkEnd w:id="2127"/>
    </w:p>
    <w:p>
      <w:pPr>
        <w:pStyle w:val="5"/>
        <w:rPr>
          <w:color w:val="000000" w:themeColor="text1"/>
          <w:highlight w:val="none"/>
        </w:rPr>
      </w:pPr>
    </w:p>
    <w:p>
      <w:pPr>
        <w:spacing w:line="288" w:lineRule="auto"/>
        <w:rPr>
          <w:rFonts w:ascii="宋体" w:hAnsi="宋体"/>
          <w:b/>
          <w:color w:val="000000" w:themeColor="text1"/>
          <w:szCs w:val="21"/>
          <w:highlight w:val="none"/>
        </w:rPr>
      </w:pPr>
      <w:r>
        <w:rPr>
          <w:rFonts w:hint="eastAsia" w:ascii="宋体" w:hAnsi="宋体"/>
          <w:b/>
          <w:color w:val="000000" w:themeColor="text1"/>
          <w:szCs w:val="21"/>
          <w:highlight w:val="none"/>
        </w:rPr>
        <w:t>致：广东业信采购招标有限公司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rPr>
            </w:pPr>
            <w:r>
              <w:rPr>
                <w:rStyle w:val="304"/>
                <w:b/>
                <w:color w:val="000000" w:themeColor="text1"/>
                <w:spacing w:val="10"/>
                <w:sz w:val="21"/>
                <w:szCs w:val="21"/>
                <w:highlight w:val="none"/>
                <w:lang w:val="zh-CN"/>
              </w:rPr>
              <w:t>项目名称</w:t>
            </w:r>
          </w:p>
        </w:tc>
        <w:tc>
          <w:tcPr>
            <w:tcW w:w="6095" w:type="dxa"/>
            <w:gridSpan w:val="3"/>
          </w:tcPr>
          <w:p>
            <w:pPr>
              <w:ind w:right="206" w:rightChars="98"/>
              <w:rPr>
                <w:rStyle w:val="304"/>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4"/>
                <w:b/>
                <w:color w:val="000000" w:themeColor="text1"/>
                <w:spacing w:val="10"/>
                <w:sz w:val="21"/>
                <w:szCs w:val="21"/>
                <w:highlight w:val="none"/>
                <w:lang w:val="zh-CN"/>
              </w:rPr>
            </w:pPr>
            <w:r>
              <w:rPr>
                <w:rStyle w:val="304"/>
                <w:b/>
                <w:color w:val="000000" w:themeColor="text1"/>
                <w:spacing w:val="10"/>
                <w:sz w:val="21"/>
                <w:szCs w:val="21"/>
                <w:highlight w:val="none"/>
                <w:lang w:val="zh-CN"/>
              </w:rPr>
              <w:t>项目编号</w:t>
            </w:r>
          </w:p>
        </w:tc>
        <w:tc>
          <w:tcPr>
            <w:tcW w:w="6095" w:type="dxa"/>
            <w:gridSpan w:val="3"/>
          </w:tcPr>
          <w:p>
            <w:pPr>
              <w:ind w:right="206" w:rightChars="98"/>
              <w:rPr>
                <w:rStyle w:val="304"/>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4"/>
                <w:b/>
                <w:color w:val="000000" w:themeColor="text1"/>
                <w:spacing w:val="10"/>
                <w:sz w:val="21"/>
                <w:szCs w:val="21"/>
                <w:highlight w:val="none"/>
                <w:lang w:val="zh-CN"/>
              </w:rPr>
            </w:pPr>
            <w:r>
              <w:rPr>
                <w:rStyle w:val="304"/>
                <w:b/>
                <w:color w:val="000000" w:themeColor="text1"/>
                <w:spacing w:val="10"/>
                <w:sz w:val="21"/>
                <w:szCs w:val="21"/>
                <w:highlight w:val="none"/>
                <w:lang w:val="zh-CN"/>
              </w:rPr>
              <w:t>收款单位</w:t>
            </w:r>
          </w:p>
        </w:tc>
        <w:tc>
          <w:tcPr>
            <w:tcW w:w="2836" w:type="dxa"/>
          </w:tcPr>
          <w:p>
            <w:pPr>
              <w:ind w:right="206" w:rightChars="98"/>
              <w:jc w:val="center"/>
              <w:rPr>
                <w:rStyle w:val="304"/>
                <w:b/>
                <w:color w:val="000000" w:themeColor="text1"/>
                <w:spacing w:val="10"/>
                <w:sz w:val="21"/>
                <w:szCs w:val="21"/>
                <w:highlight w:val="none"/>
                <w:lang w:val="zh-CN"/>
              </w:rPr>
            </w:pPr>
            <w:r>
              <w:rPr>
                <w:rStyle w:val="304"/>
                <w:b/>
                <w:color w:val="000000" w:themeColor="text1"/>
                <w:spacing w:val="10"/>
                <w:sz w:val="21"/>
                <w:szCs w:val="21"/>
                <w:highlight w:val="none"/>
                <w:lang w:val="zh-CN"/>
              </w:rPr>
              <w:t>收款单位名称</w:t>
            </w:r>
          </w:p>
        </w:tc>
        <w:tc>
          <w:tcPr>
            <w:tcW w:w="6095" w:type="dxa"/>
            <w:gridSpan w:val="3"/>
          </w:tcPr>
          <w:p>
            <w:pPr>
              <w:ind w:right="206" w:rightChars="98"/>
              <w:jc w:val="center"/>
              <w:rPr>
                <w:rStyle w:val="304"/>
                <w:color w:val="000000" w:themeColor="text1"/>
                <w:spacing w:val="10"/>
                <w:sz w:val="21"/>
                <w:szCs w:val="21"/>
                <w:highlight w:val="none"/>
                <w:u w:val="single"/>
                <w:lang w:val="zh-CN"/>
              </w:rPr>
            </w:pPr>
            <w:r>
              <w:rPr>
                <w:rStyle w:val="304"/>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rPr>
            </w:pPr>
          </w:p>
        </w:tc>
        <w:tc>
          <w:tcPr>
            <w:tcW w:w="2836" w:type="dxa"/>
          </w:tcPr>
          <w:p>
            <w:pPr>
              <w:ind w:right="206" w:rightChars="98"/>
              <w:jc w:val="center"/>
              <w:rPr>
                <w:rStyle w:val="304"/>
                <w:b/>
                <w:color w:val="000000" w:themeColor="text1"/>
                <w:spacing w:val="10"/>
                <w:sz w:val="21"/>
                <w:szCs w:val="21"/>
                <w:highlight w:val="none"/>
                <w:lang w:val="zh-CN"/>
              </w:rPr>
            </w:pPr>
            <w:r>
              <w:rPr>
                <w:rStyle w:val="304"/>
                <w:b/>
                <w:color w:val="000000" w:themeColor="text1"/>
                <w:spacing w:val="10"/>
                <w:sz w:val="21"/>
                <w:szCs w:val="21"/>
                <w:highlight w:val="none"/>
                <w:lang w:val="zh-CN"/>
              </w:rPr>
              <w:t>收款单位地址</w:t>
            </w:r>
          </w:p>
        </w:tc>
        <w:tc>
          <w:tcPr>
            <w:tcW w:w="6095" w:type="dxa"/>
            <w:gridSpan w:val="3"/>
          </w:tcPr>
          <w:p>
            <w:pPr>
              <w:ind w:right="206" w:rightChars="98"/>
              <w:jc w:val="center"/>
              <w:rPr>
                <w:rStyle w:val="304"/>
                <w:color w:val="000000" w:themeColor="text1"/>
                <w:spacing w:val="10"/>
                <w:sz w:val="21"/>
                <w:szCs w:val="21"/>
                <w:highlight w:val="none"/>
                <w:lang w:val="zh-CN"/>
              </w:rPr>
            </w:pPr>
            <w:r>
              <w:rPr>
                <w:rStyle w:val="304"/>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rPr>
            </w:pPr>
          </w:p>
        </w:tc>
        <w:tc>
          <w:tcPr>
            <w:tcW w:w="2836" w:type="dxa"/>
            <w:vAlign w:val="center"/>
          </w:tcPr>
          <w:p>
            <w:pPr>
              <w:ind w:right="206" w:rightChars="98"/>
              <w:jc w:val="center"/>
              <w:rPr>
                <w:rStyle w:val="304"/>
                <w:b/>
                <w:color w:val="000000" w:themeColor="text1"/>
                <w:spacing w:val="10"/>
                <w:sz w:val="21"/>
                <w:szCs w:val="21"/>
                <w:highlight w:val="none"/>
                <w:lang w:val="zh-CN"/>
              </w:rPr>
            </w:pPr>
            <w:r>
              <w:rPr>
                <w:rStyle w:val="304"/>
                <w:b/>
                <w:color w:val="000000" w:themeColor="text1"/>
                <w:spacing w:val="10"/>
                <w:sz w:val="21"/>
                <w:szCs w:val="21"/>
                <w:highlight w:val="none"/>
                <w:lang w:val="zh-CN"/>
              </w:rPr>
              <w:t>开户银行</w:t>
            </w:r>
            <w:r>
              <w:rPr>
                <w:rStyle w:val="304"/>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4"/>
                <w:color w:val="000000" w:themeColor="text1"/>
                <w:spacing w:val="10"/>
                <w:sz w:val="21"/>
                <w:szCs w:val="21"/>
                <w:highlight w:val="none"/>
                <w:lang w:val="zh-CN"/>
              </w:rPr>
            </w:pPr>
            <w:r>
              <w:rPr>
                <w:rStyle w:val="304"/>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rPr>
            </w:pPr>
          </w:p>
        </w:tc>
        <w:tc>
          <w:tcPr>
            <w:tcW w:w="2836" w:type="dxa"/>
            <w:vAlign w:val="center"/>
          </w:tcPr>
          <w:p>
            <w:pPr>
              <w:ind w:right="206" w:rightChars="98"/>
              <w:jc w:val="center"/>
              <w:rPr>
                <w:rStyle w:val="304"/>
                <w:b/>
                <w:color w:val="000000" w:themeColor="text1"/>
                <w:spacing w:val="10"/>
                <w:sz w:val="21"/>
                <w:szCs w:val="21"/>
                <w:highlight w:val="none"/>
                <w:lang w:val="zh-CN"/>
              </w:rPr>
            </w:pPr>
            <w:r>
              <w:rPr>
                <w:rStyle w:val="304"/>
                <w:b/>
                <w:color w:val="000000" w:themeColor="text1"/>
                <w:spacing w:val="10"/>
                <w:sz w:val="21"/>
                <w:szCs w:val="21"/>
                <w:highlight w:val="none"/>
                <w:lang w:val="zh-CN"/>
              </w:rPr>
              <w:t>银行账号</w:t>
            </w:r>
          </w:p>
        </w:tc>
        <w:tc>
          <w:tcPr>
            <w:tcW w:w="6095" w:type="dxa"/>
            <w:gridSpan w:val="3"/>
          </w:tcPr>
          <w:p>
            <w:pPr>
              <w:ind w:right="206" w:rightChars="98"/>
              <w:jc w:val="center"/>
              <w:rPr>
                <w:rStyle w:val="304"/>
                <w:color w:val="000000" w:themeColor="text1"/>
                <w:spacing w:val="10"/>
                <w:sz w:val="21"/>
                <w:szCs w:val="21"/>
                <w:highlight w:val="none"/>
                <w:u w:val="single"/>
                <w:lang w:val="zh-CN"/>
              </w:rPr>
            </w:pPr>
            <w:r>
              <w:rPr>
                <w:rStyle w:val="304"/>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rPr>
            </w:pPr>
          </w:p>
        </w:tc>
        <w:tc>
          <w:tcPr>
            <w:tcW w:w="2836" w:type="dxa"/>
            <w:vAlign w:val="center"/>
          </w:tcPr>
          <w:p>
            <w:pPr>
              <w:ind w:right="206" w:rightChars="98"/>
              <w:jc w:val="center"/>
              <w:rPr>
                <w:rStyle w:val="304"/>
                <w:b/>
                <w:color w:val="000000" w:themeColor="text1"/>
                <w:spacing w:val="10"/>
                <w:sz w:val="21"/>
                <w:szCs w:val="21"/>
                <w:highlight w:val="none"/>
                <w:lang w:val="zh-CN"/>
              </w:rPr>
            </w:pPr>
            <w:r>
              <w:rPr>
                <w:rStyle w:val="304"/>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4"/>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rPr>
            </w:pPr>
          </w:p>
        </w:tc>
        <w:tc>
          <w:tcPr>
            <w:tcW w:w="2836" w:type="dxa"/>
            <w:vMerge w:val="restart"/>
            <w:vAlign w:val="center"/>
          </w:tcPr>
          <w:p>
            <w:pPr>
              <w:ind w:right="206" w:rightChars="98"/>
              <w:jc w:val="center"/>
              <w:rPr>
                <w:rStyle w:val="304"/>
                <w:b/>
                <w:color w:val="000000" w:themeColor="text1"/>
                <w:spacing w:val="10"/>
                <w:sz w:val="21"/>
                <w:szCs w:val="21"/>
                <w:highlight w:val="none"/>
                <w:lang w:val="zh-CN"/>
              </w:rPr>
            </w:pPr>
            <w:r>
              <w:rPr>
                <w:rStyle w:val="304"/>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4"/>
                <w:color w:val="000000" w:themeColor="text1"/>
                <w:spacing w:val="10"/>
                <w:sz w:val="21"/>
                <w:szCs w:val="21"/>
                <w:highlight w:val="none"/>
                <w:lang w:val="zh-CN"/>
              </w:rPr>
            </w:pPr>
          </w:p>
        </w:tc>
        <w:tc>
          <w:tcPr>
            <w:tcW w:w="1481" w:type="dxa"/>
            <w:vAlign w:val="center"/>
          </w:tcPr>
          <w:p>
            <w:pPr>
              <w:ind w:right="206" w:rightChars="98"/>
              <w:jc w:val="center"/>
              <w:rPr>
                <w:rStyle w:val="304"/>
                <w:color w:val="000000" w:themeColor="text1"/>
                <w:spacing w:val="10"/>
                <w:sz w:val="21"/>
                <w:szCs w:val="21"/>
                <w:highlight w:val="none"/>
                <w:lang w:val="zh-CN"/>
              </w:rPr>
            </w:pPr>
            <w:r>
              <w:rPr>
                <w:rStyle w:val="304"/>
                <w:color w:val="000000" w:themeColor="text1"/>
                <w:spacing w:val="10"/>
                <w:sz w:val="21"/>
                <w:szCs w:val="21"/>
                <w:highlight w:val="none"/>
                <w:lang w:val="zh-CN"/>
              </w:rPr>
              <w:t>联系电话</w:t>
            </w:r>
          </w:p>
        </w:tc>
        <w:tc>
          <w:tcPr>
            <w:tcW w:w="3116" w:type="dxa"/>
            <w:vAlign w:val="center"/>
          </w:tcPr>
          <w:p>
            <w:pPr>
              <w:ind w:right="206" w:rightChars="98"/>
              <w:rPr>
                <w:rStyle w:val="304"/>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4"/>
                <w:color w:val="000000" w:themeColor="text1"/>
                <w:spacing w:val="10"/>
                <w:sz w:val="21"/>
                <w:szCs w:val="21"/>
                <w:highlight w:val="none"/>
                <w:lang w:val="zh-CN"/>
              </w:rPr>
            </w:pPr>
          </w:p>
        </w:tc>
        <w:tc>
          <w:tcPr>
            <w:tcW w:w="2836" w:type="dxa"/>
            <w:vMerge w:val="continue"/>
          </w:tcPr>
          <w:p>
            <w:pPr>
              <w:ind w:right="206" w:rightChars="98"/>
              <w:jc w:val="center"/>
              <w:rPr>
                <w:rStyle w:val="304"/>
                <w:b/>
                <w:color w:val="000000" w:themeColor="text1"/>
                <w:spacing w:val="10"/>
                <w:sz w:val="21"/>
                <w:szCs w:val="21"/>
                <w:highlight w:val="none"/>
                <w:lang w:val="zh-CN"/>
              </w:rPr>
            </w:pPr>
          </w:p>
        </w:tc>
        <w:tc>
          <w:tcPr>
            <w:tcW w:w="1498" w:type="dxa"/>
            <w:vMerge w:val="continue"/>
            <w:vAlign w:val="center"/>
          </w:tcPr>
          <w:p>
            <w:pPr>
              <w:ind w:right="206" w:rightChars="98"/>
              <w:rPr>
                <w:rStyle w:val="304"/>
                <w:color w:val="000000" w:themeColor="text1"/>
                <w:spacing w:val="10"/>
                <w:sz w:val="21"/>
                <w:szCs w:val="21"/>
                <w:highlight w:val="none"/>
                <w:lang w:val="zh-CN"/>
              </w:rPr>
            </w:pPr>
          </w:p>
        </w:tc>
        <w:tc>
          <w:tcPr>
            <w:tcW w:w="1481" w:type="dxa"/>
            <w:vAlign w:val="center"/>
          </w:tcPr>
          <w:p>
            <w:pPr>
              <w:ind w:right="206" w:rightChars="98"/>
              <w:jc w:val="center"/>
              <w:rPr>
                <w:rStyle w:val="304"/>
                <w:color w:val="000000" w:themeColor="text1"/>
                <w:spacing w:val="10"/>
                <w:sz w:val="21"/>
                <w:szCs w:val="21"/>
                <w:highlight w:val="none"/>
                <w:lang w:val="zh-CN"/>
              </w:rPr>
            </w:pPr>
            <w:r>
              <w:rPr>
                <w:rStyle w:val="304"/>
                <w:color w:val="000000" w:themeColor="text1"/>
                <w:spacing w:val="10"/>
                <w:sz w:val="21"/>
                <w:szCs w:val="21"/>
                <w:highlight w:val="none"/>
                <w:lang w:val="zh-CN"/>
              </w:rPr>
              <w:t>传真</w:t>
            </w:r>
          </w:p>
        </w:tc>
        <w:tc>
          <w:tcPr>
            <w:tcW w:w="3116" w:type="dxa"/>
            <w:vAlign w:val="center"/>
          </w:tcPr>
          <w:p>
            <w:pPr>
              <w:ind w:right="206" w:rightChars="98"/>
              <w:rPr>
                <w:rStyle w:val="304"/>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投标保证金凭证复印件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投标人名称（加盖公章）：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bookmarkStart w:id="2128" w:name="_Hlk534184791"/>
      <w:r>
        <w:rPr>
          <w:rFonts w:hint="eastAsia" w:ascii="宋体" w:hAnsi="宋体"/>
          <w:b/>
          <w:color w:val="000000" w:themeColor="text1"/>
          <w:szCs w:val="21"/>
          <w:highlight w:val="none"/>
        </w:rPr>
        <w:t>注：本退付书须放入唱标信封内，另附投标保证金凭证装订在投标文件内。</w:t>
      </w:r>
    </w:p>
    <w:p>
      <w:pPr>
        <w:jc w:val="center"/>
        <w:rPr>
          <w:b/>
          <w:bCs/>
          <w:color w:val="000000" w:themeColor="text1"/>
          <w:sz w:val="44"/>
          <w:szCs w:val="44"/>
          <w:highlight w:val="none"/>
        </w:rPr>
      </w:pPr>
      <w:r>
        <w:rPr>
          <w:rFonts w:hint="eastAsia"/>
          <w:b/>
          <w:bCs/>
          <w:color w:val="000000" w:themeColor="text1"/>
          <w:sz w:val="44"/>
          <w:szCs w:val="44"/>
          <w:highlight w:val="none"/>
        </w:rPr>
        <w:t>购买标书登记表</w:t>
      </w:r>
    </w:p>
    <w:p>
      <w:pPr>
        <w:rPr>
          <w:color w:val="000000" w:themeColor="text1"/>
          <w:highlight w:val="none"/>
        </w:rPr>
      </w:pPr>
    </w:p>
    <w:tbl>
      <w:tblPr>
        <w:tblStyle w:val="4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395"/>
        <w:gridCol w:w="1917"/>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项目名称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招标编号</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包组号</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购买时间</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地址</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电话</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传真</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联系人</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手机</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职务</w:t>
            </w:r>
          </w:p>
        </w:tc>
        <w:tc>
          <w:tcPr>
            <w:tcW w:w="2395" w:type="dxa"/>
          </w:tcPr>
          <w:p>
            <w:pPr>
              <w:rPr>
                <w:color w:val="000000" w:themeColor="text1"/>
                <w:sz w:val="28"/>
                <w:szCs w:val="28"/>
                <w:highlight w:val="none"/>
              </w:rPr>
            </w:pPr>
          </w:p>
        </w:tc>
        <w:tc>
          <w:tcPr>
            <w:tcW w:w="1917" w:type="dxa"/>
            <w:vAlign w:val="center"/>
          </w:tcPr>
          <w:p>
            <w:pPr>
              <w:jc w:val="center"/>
              <w:rPr>
                <w:color w:val="000000" w:themeColor="text1"/>
                <w:sz w:val="28"/>
                <w:szCs w:val="28"/>
                <w:highlight w:val="none"/>
              </w:rPr>
            </w:pPr>
            <w:r>
              <w:rPr>
                <w:rFonts w:hint="eastAsia"/>
                <w:color w:val="000000" w:themeColor="text1"/>
                <w:sz w:val="28"/>
                <w:szCs w:val="28"/>
                <w:highlight w:val="none"/>
              </w:rPr>
              <w:t>电子邮件</w:t>
            </w:r>
          </w:p>
        </w:tc>
        <w:tc>
          <w:tcPr>
            <w:tcW w:w="2463" w:type="dxa"/>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拟投设备</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制造厂商</w:t>
            </w:r>
          </w:p>
        </w:tc>
        <w:tc>
          <w:tcPr>
            <w:tcW w:w="6775" w:type="dxa"/>
            <w:gridSpan w:val="3"/>
          </w:tcPr>
          <w:p>
            <w:pPr>
              <w:rPr>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rPr>
            </w:pPr>
            <w:r>
              <w:rPr>
                <w:rFonts w:hint="eastAsia"/>
                <w:color w:val="000000" w:themeColor="text1"/>
                <w:sz w:val="28"/>
                <w:szCs w:val="28"/>
                <w:highlight w:val="none"/>
              </w:rPr>
              <w:t>经营范围</w:t>
            </w:r>
          </w:p>
        </w:tc>
        <w:tc>
          <w:tcPr>
            <w:tcW w:w="6775" w:type="dxa"/>
            <w:gridSpan w:val="3"/>
          </w:tcPr>
          <w:p>
            <w:pPr>
              <w:rPr>
                <w:color w:val="000000" w:themeColor="text1"/>
                <w:sz w:val="28"/>
                <w:szCs w:val="28"/>
                <w:highlight w:val="none"/>
              </w:rPr>
            </w:pPr>
          </w:p>
        </w:tc>
      </w:tr>
    </w:tbl>
    <w:p>
      <w:pPr>
        <w:jc w:val="center"/>
        <w:rPr>
          <w:color w:val="000000" w:themeColor="text1"/>
          <w:szCs w:val="21"/>
          <w:highlight w:val="none"/>
        </w:rPr>
      </w:pPr>
    </w:p>
    <w:p>
      <w:pPr>
        <w:rPr>
          <w:color w:val="000000" w:themeColor="text1"/>
          <w:highlight w:val="none"/>
        </w:rPr>
      </w:pPr>
    </w:p>
    <w:p>
      <w:pPr>
        <w:pStyle w:val="5"/>
        <w:spacing w:line="360" w:lineRule="auto"/>
        <w:ind w:firstLine="0"/>
        <w:rPr>
          <w:rFonts w:hAnsi="宋体"/>
          <w:color w:val="000000" w:themeColor="text1"/>
          <w:sz w:val="24"/>
          <w:szCs w:val="24"/>
          <w:highlight w:val="none"/>
        </w:rPr>
      </w:pPr>
    </w:p>
    <w:p>
      <w:pPr>
        <w:pStyle w:val="5"/>
        <w:spacing w:line="360" w:lineRule="auto"/>
        <w:ind w:firstLine="0"/>
        <w:rPr>
          <w:rFonts w:hAnsi="宋体"/>
          <w:color w:val="000000" w:themeColor="text1"/>
          <w:sz w:val="24"/>
          <w:szCs w:val="24"/>
          <w:highlight w:val="none"/>
        </w:rPr>
      </w:pPr>
    </w:p>
    <w:p>
      <w:pPr>
        <w:pStyle w:val="5"/>
        <w:spacing w:line="360" w:lineRule="auto"/>
        <w:ind w:firstLine="0"/>
        <w:rPr>
          <w:rFonts w:hAnsi="宋体"/>
          <w:color w:val="000000" w:themeColor="text1"/>
          <w:sz w:val="24"/>
          <w:szCs w:val="24"/>
          <w:highlight w:val="none"/>
        </w:rPr>
      </w:pPr>
    </w:p>
    <w:p>
      <w:pPr>
        <w:pStyle w:val="5"/>
        <w:spacing w:line="360" w:lineRule="auto"/>
        <w:ind w:firstLine="0"/>
        <w:rPr>
          <w:rFonts w:hAnsi="宋体"/>
          <w:color w:val="000000" w:themeColor="text1"/>
          <w:sz w:val="24"/>
          <w:szCs w:val="24"/>
          <w:highlight w:val="none"/>
        </w:rPr>
      </w:pPr>
    </w:p>
    <w:p>
      <w:pPr>
        <w:pStyle w:val="5"/>
        <w:spacing w:line="360" w:lineRule="auto"/>
        <w:ind w:firstLine="0"/>
        <w:rPr>
          <w:rFonts w:hAnsi="宋体"/>
          <w:color w:val="000000" w:themeColor="text1"/>
          <w:sz w:val="24"/>
          <w:szCs w:val="24"/>
          <w:highlight w:val="none"/>
        </w:rPr>
      </w:pPr>
    </w:p>
    <w:p>
      <w:pPr>
        <w:pStyle w:val="5"/>
        <w:spacing w:line="360" w:lineRule="auto"/>
        <w:ind w:firstLine="0"/>
        <w:rPr>
          <w:rFonts w:hAnsi="宋体"/>
          <w:color w:val="000000" w:themeColor="text1"/>
          <w:sz w:val="24"/>
          <w:szCs w:val="24"/>
          <w:highlight w:val="none"/>
        </w:rPr>
      </w:pPr>
      <w:r>
        <w:rPr>
          <w:rFonts w:hint="eastAsia" w:hAnsi="宋体"/>
          <w:color w:val="000000" w:themeColor="text1"/>
          <w:sz w:val="24"/>
          <w:szCs w:val="24"/>
          <w:highlight w:val="none"/>
        </w:rPr>
        <w:t>封装封面格式</w:t>
      </w:r>
    </w:p>
    <w:p>
      <w:pPr>
        <w:pStyle w:val="5"/>
        <w:spacing w:line="360" w:lineRule="auto"/>
        <w:ind w:firstLine="0"/>
        <w:rPr>
          <w:rFonts w:hAnsi="宋体"/>
          <w:color w:val="000000" w:themeColor="text1"/>
          <w:sz w:val="28"/>
          <w:szCs w:val="28"/>
          <w:highlight w:val="none"/>
        </w:rPr>
      </w:pPr>
    </w:p>
    <w:p>
      <w:pPr>
        <w:pStyle w:val="5"/>
        <w:spacing w:line="360" w:lineRule="auto"/>
        <w:ind w:firstLine="0"/>
        <w:rPr>
          <w:rFonts w:hAnsi="宋体"/>
          <w:color w:val="000000" w:themeColor="text1"/>
          <w:sz w:val="28"/>
          <w:szCs w:val="28"/>
          <w:highlight w:val="none"/>
        </w:rPr>
      </w:pPr>
    </w:p>
    <w:p>
      <w:pPr>
        <w:pStyle w:val="5"/>
        <w:spacing w:line="360" w:lineRule="auto"/>
        <w:ind w:firstLine="2168" w:firstLineChars="300"/>
        <w:rPr>
          <w:rFonts w:hAnsi="宋体"/>
          <w:b/>
          <w:bCs/>
          <w:color w:val="000000" w:themeColor="text1"/>
          <w:sz w:val="72"/>
          <w:szCs w:val="72"/>
          <w:highlight w:val="none"/>
        </w:rPr>
      </w:pPr>
      <w:r>
        <w:rPr>
          <w:rFonts w:hint="eastAsia" w:hAnsi="宋体"/>
          <w:b/>
          <w:bCs/>
          <w:color w:val="000000" w:themeColor="text1"/>
          <w:sz w:val="72"/>
          <w:szCs w:val="72"/>
          <w:highlight w:val="none"/>
        </w:rPr>
        <w:t>投  标  文  件</w:t>
      </w:r>
    </w:p>
    <w:p>
      <w:pPr>
        <w:pStyle w:val="5"/>
        <w:spacing w:line="360" w:lineRule="auto"/>
        <w:jc w:val="center"/>
        <w:rPr>
          <w:rFonts w:hAnsi="宋体"/>
          <w:b/>
          <w:color w:val="000000" w:themeColor="text1"/>
          <w:sz w:val="48"/>
          <w:szCs w:val="48"/>
          <w:highlight w:val="none"/>
        </w:rPr>
      </w:pPr>
      <w:r>
        <w:rPr>
          <w:rFonts w:hint="eastAsia" w:hAnsi="宋体"/>
          <w:b/>
          <w:color w:val="000000" w:themeColor="text1"/>
          <w:sz w:val="48"/>
          <w:szCs w:val="48"/>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项目编号：</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 xml:space="preserve">包 组 号：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项目名称：</w:t>
      </w:r>
      <w:r>
        <w:rPr>
          <w:rFonts w:hint="eastAsia" w:hAnsi="宋体"/>
          <w:b/>
          <w:bCs/>
          <w:color w:val="000000" w:themeColor="text1"/>
          <w:sz w:val="21"/>
          <w:szCs w:val="21"/>
          <w:highlight w:val="none"/>
          <w:u w:val="single"/>
        </w:rPr>
        <w:t xml:space="preserve">  </w:t>
      </w:r>
      <w:r>
        <w:rPr>
          <w:rFonts w:hint="eastAsia" w:hAnsi="宋体" w:cs="宋体"/>
          <w:b/>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投标人名称（加盖公章）：</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投标人地址：</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投标人法定代表人（负责人）或授权代理人（签字）：</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联系电话：</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Ansi="宋体"/>
          <w:b/>
          <w:bCs/>
          <w:color w:val="000000" w:themeColor="text1"/>
          <w:sz w:val="21"/>
          <w:szCs w:val="21"/>
          <w:highlight w:val="none"/>
        </w:rPr>
        <w:t xml:space="preserve"> </w:t>
      </w:r>
      <w:r>
        <w:rPr>
          <w:rFonts w:hint="eastAsia" w:hAnsi="宋体"/>
          <w:b/>
          <w:bCs/>
          <w:color w:val="000000" w:themeColor="text1"/>
          <w:sz w:val="21"/>
          <w:szCs w:val="21"/>
          <w:highlight w:val="none"/>
        </w:rPr>
        <w:t>传真：</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p>
    <w:p>
      <w:pPr>
        <w:pStyle w:val="5"/>
        <w:spacing w:line="480" w:lineRule="auto"/>
        <w:rPr>
          <w:rFonts w:hAnsi="宋体"/>
          <w:b/>
          <w:bCs/>
          <w:color w:val="000000" w:themeColor="text1"/>
          <w:sz w:val="21"/>
          <w:szCs w:val="21"/>
          <w:highlight w:val="none"/>
          <w:u w:val="single"/>
        </w:rPr>
      </w:pPr>
      <w:r>
        <w:rPr>
          <w:rFonts w:hAnsi="宋体"/>
          <w:b/>
          <w:bCs/>
          <w:color w:val="000000" w:themeColor="text1"/>
          <w:sz w:val="21"/>
          <w:szCs w:val="21"/>
          <w:highlight w:val="none"/>
        </w:rPr>
        <w:t>邮</w:t>
      </w:r>
      <w:r>
        <w:rPr>
          <w:rFonts w:hint="eastAsia" w:hAnsi="宋体"/>
          <w:b/>
          <w:bCs/>
          <w:color w:val="000000" w:themeColor="text1"/>
          <w:sz w:val="21"/>
          <w:szCs w:val="21"/>
          <w:highlight w:val="none"/>
        </w:rPr>
        <w:t xml:space="preserve">    </w:t>
      </w:r>
      <w:r>
        <w:rPr>
          <w:rFonts w:hAnsi="宋体"/>
          <w:b/>
          <w:bCs/>
          <w:color w:val="000000" w:themeColor="text1"/>
          <w:sz w:val="21"/>
          <w:szCs w:val="21"/>
          <w:highlight w:val="none"/>
        </w:rPr>
        <w:t>编：</w:t>
      </w:r>
      <w:r>
        <w:rPr>
          <w:rFonts w:hint="eastAsia" w:hAnsi="宋体"/>
          <w:b/>
          <w:bCs/>
          <w:color w:val="000000" w:themeColor="text1"/>
          <w:sz w:val="21"/>
          <w:szCs w:val="21"/>
          <w:highlight w:val="none"/>
          <w:u w:val="single"/>
        </w:rPr>
        <w:t xml:space="preserve">               </w:t>
      </w:r>
    </w:p>
    <w:p>
      <w:pPr>
        <w:pStyle w:val="55"/>
        <w:spacing w:line="480" w:lineRule="auto"/>
        <w:ind w:firstLine="422" w:firstLineChars="200"/>
        <w:rPr>
          <w:rFonts w:hAnsi="宋体"/>
          <w:b/>
          <w:bCs/>
          <w:color w:val="000000" w:themeColor="text1"/>
          <w:sz w:val="21"/>
          <w:szCs w:val="21"/>
          <w:highlight w:val="none"/>
        </w:rPr>
      </w:pPr>
      <w:r>
        <w:rPr>
          <w:rFonts w:hint="eastAsia" w:hAnsi="宋体"/>
          <w:b/>
          <w:bCs/>
          <w:color w:val="000000" w:themeColor="text1"/>
          <w:sz w:val="21"/>
          <w:szCs w:val="21"/>
          <w:highlight w:val="none"/>
        </w:rPr>
        <w:t>编制日期：</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年</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月</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日</w:t>
      </w:r>
    </w:p>
    <w:p>
      <w:pPr>
        <w:pStyle w:val="55"/>
        <w:ind w:firstLine="422" w:firstLineChars="150"/>
        <w:rPr>
          <w:rFonts w:hAnsi="宋体"/>
          <w:b/>
          <w:bCs/>
          <w:color w:val="000000" w:themeColor="text1"/>
          <w:sz w:val="28"/>
          <w:szCs w:val="28"/>
          <w:highlight w:val="none"/>
        </w:rPr>
      </w:pPr>
    </w:p>
    <w:p>
      <w:pPr>
        <w:pStyle w:val="55"/>
        <w:ind w:firstLine="422" w:firstLineChars="150"/>
        <w:rPr>
          <w:rFonts w:hAnsi="宋体"/>
          <w:b/>
          <w:bCs/>
          <w:color w:val="000000" w:themeColor="text1"/>
          <w:sz w:val="28"/>
          <w:szCs w:val="28"/>
          <w:highlight w:val="none"/>
        </w:rPr>
      </w:pPr>
    </w:p>
    <w:p>
      <w:pPr>
        <w:pStyle w:val="55"/>
        <w:ind w:firstLine="452" w:firstLineChars="150"/>
        <w:jc w:val="center"/>
        <w:rPr>
          <w:rFonts w:hAnsi="宋体"/>
          <w:b/>
          <w:bCs/>
          <w:color w:val="000000" w:themeColor="text1"/>
          <w:sz w:val="30"/>
          <w:szCs w:val="30"/>
          <w:highlight w:val="none"/>
        </w:rPr>
      </w:pPr>
      <w:r>
        <w:rPr>
          <w:rFonts w:hint="eastAsia" w:hAnsi="宋体"/>
          <w:b/>
          <w:bCs/>
          <w:color w:val="000000" w:themeColor="text1"/>
          <w:sz w:val="30"/>
          <w:szCs w:val="30"/>
          <w:highlight w:val="none"/>
        </w:rPr>
        <w:t>于</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年</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月</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日</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w:t>
      </w:r>
      <w:r>
        <w:rPr>
          <w:rFonts w:hint="eastAsia" w:hAnsi="宋体"/>
          <w:color w:val="000000" w:themeColor="text1"/>
          <w:sz w:val="30"/>
          <w:szCs w:val="30"/>
          <w:highlight w:val="none"/>
          <w:u w:val="single"/>
        </w:rPr>
        <w:t xml:space="preserve">   </w:t>
      </w:r>
      <w:r>
        <w:rPr>
          <w:rFonts w:hint="eastAsia" w:hAnsi="宋体"/>
          <w:b/>
          <w:bCs/>
          <w:color w:val="000000" w:themeColor="text1"/>
          <w:sz w:val="30"/>
          <w:szCs w:val="30"/>
          <w:highlight w:val="none"/>
        </w:rPr>
        <w:t>之前不准启封</w:t>
      </w:r>
    </w:p>
    <w:p>
      <w:pPr>
        <w:pStyle w:val="55"/>
        <w:ind w:firstLine="542" w:firstLineChars="150"/>
        <w:jc w:val="center"/>
        <w:rPr>
          <w:rFonts w:hAnsi="宋体"/>
          <w:b/>
          <w:bCs/>
          <w:color w:val="000000" w:themeColor="text1"/>
          <w:sz w:val="36"/>
          <w:szCs w:val="36"/>
          <w:highlight w:val="none"/>
        </w:rPr>
      </w:pPr>
    </w:p>
    <w:p>
      <w:pPr>
        <w:pStyle w:val="55"/>
        <w:ind w:firstLine="542" w:firstLineChars="150"/>
        <w:jc w:val="center"/>
        <w:rPr>
          <w:rFonts w:hAnsi="宋体"/>
          <w:b/>
          <w:bCs/>
          <w:color w:val="000000" w:themeColor="text1"/>
          <w:sz w:val="36"/>
          <w:szCs w:val="36"/>
          <w:highlight w:val="none"/>
        </w:rPr>
      </w:pPr>
    </w:p>
    <w:p>
      <w:pPr>
        <w:pStyle w:val="55"/>
        <w:ind w:firstLine="542" w:firstLineChars="150"/>
        <w:jc w:val="center"/>
        <w:rPr>
          <w:rFonts w:hAnsi="宋体"/>
          <w:b/>
          <w:bCs/>
          <w:color w:val="000000" w:themeColor="text1"/>
          <w:sz w:val="36"/>
          <w:szCs w:val="36"/>
          <w:highlight w:val="none"/>
        </w:rPr>
      </w:pPr>
    </w:p>
    <w:p>
      <w:pPr>
        <w:pStyle w:val="55"/>
        <w:ind w:firstLine="542" w:firstLineChars="150"/>
        <w:jc w:val="center"/>
        <w:rPr>
          <w:rFonts w:hAnsi="宋体"/>
          <w:b/>
          <w:bCs/>
          <w:color w:val="000000" w:themeColor="text1"/>
          <w:sz w:val="36"/>
          <w:szCs w:val="36"/>
          <w:highlight w:val="none"/>
        </w:rPr>
      </w:pPr>
    </w:p>
    <w:p>
      <w:pPr>
        <w:pStyle w:val="55"/>
        <w:rPr>
          <w:color w:val="000000" w:themeColor="text1"/>
          <w:highlight w:val="none"/>
        </w:rPr>
      </w:pPr>
    </w:p>
    <w:p>
      <w:pPr>
        <w:pStyle w:val="5"/>
        <w:spacing w:line="360" w:lineRule="auto"/>
        <w:ind w:firstLine="0"/>
        <w:jc w:val="both"/>
        <w:rPr>
          <w:rFonts w:hAnsi="宋体"/>
          <w:b/>
          <w:bCs/>
          <w:color w:val="000000" w:themeColor="text1"/>
          <w:sz w:val="52"/>
          <w:szCs w:val="52"/>
          <w:highlight w:val="none"/>
        </w:rPr>
      </w:pPr>
    </w:p>
    <w:p>
      <w:pPr>
        <w:pStyle w:val="5"/>
        <w:spacing w:line="360" w:lineRule="auto"/>
        <w:ind w:firstLine="2168" w:firstLineChars="300"/>
        <w:rPr>
          <w:rFonts w:hAnsi="宋体"/>
          <w:b/>
          <w:bCs/>
          <w:color w:val="000000" w:themeColor="text1"/>
          <w:sz w:val="72"/>
          <w:szCs w:val="72"/>
          <w:highlight w:val="none"/>
        </w:rPr>
      </w:pPr>
      <w:r>
        <w:rPr>
          <w:rFonts w:hint="eastAsia" w:hAnsi="宋体"/>
          <w:b/>
          <w:bCs/>
          <w:color w:val="000000" w:themeColor="text1"/>
          <w:sz w:val="72"/>
          <w:szCs w:val="72"/>
          <w:highlight w:val="none"/>
        </w:rPr>
        <w:t>投  标  文  件</w:t>
      </w:r>
    </w:p>
    <w:p>
      <w:pPr>
        <w:pStyle w:val="5"/>
        <w:spacing w:line="360" w:lineRule="auto"/>
        <w:jc w:val="center"/>
        <w:rPr>
          <w:rFonts w:hAnsi="宋体"/>
          <w:bCs/>
          <w:color w:val="000000" w:themeColor="text1"/>
          <w:sz w:val="48"/>
          <w:szCs w:val="48"/>
          <w:highlight w:val="none"/>
        </w:rPr>
      </w:pPr>
      <w:r>
        <w:rPr>
          <w:rFonts w:hint="eastAsia" w:hAnsi="宋体"/>
          <w:b/>
          <w:color w:val="000000" w:themeColor="text1"/>
          <w:sz w:val="48"/>
          <w:szCs w:val="48"/>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项目编号：</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 xml:space="preserve">包 组 号： </w:t>
      </w:r>
      <w:r>
        <w:rPr>
          <w:rFonts w:hint="eastAsia" w:hAnsi="宋体"/>
          <w:b/>
          <w:bCs/>
          <w:color w:val="000000" w:themeColor="text1"/>
          <w:sz w:val="21"/>
          <w:szCs w:val="21"/>
          <w:highlight w:val="none"/>
          <w:u w:val="single"/>
        </w:rPr>
        <w:t xml:space="preserve">                                                              </w:t>
      </w: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项目名称：</w:t>
      </w:r>
      <w:r>
        <w:rPr>
          <w:rFonts w:hint="eastAsia" w:hAnsi="宋体"/>
          <w:b/>
          <w:bCs/>
          <w:color w:val="000000" w:themeColor="text1"/>
          <w:sz w:val="21"/>
          <w:szCs w:val="21"/>
          <w:highlight w:val="none"/>
          <w:u w:val="single"/>
        </w:rPr>
        <w:t xml:space="preserve">  </w:t>
      </w:r>
      <w:r>
        <w:rPr>
          <w:rFonts w:hint="eastAsia" w:hAnsi="宋体" w:cs="宋体"/>
          <w:b/>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投标人名称（加盖公章）：</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投标人地址：</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投标人法定代表人（负责人）或授权代理人（签字）：</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联系电话：</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Ansi="宋体"/>
          <w:b/>
          <w:bCs/>
          <w:color w:val="000000" w:themeColor="text1"/>
          <w:sz w:val="21"/>
          <w:szCs w:val="21"/>
          <w:highlight w:val="none"/>
        </w:rPr>
        <w:t xml:space="preserve"> </w:t>
      </w:r>
      <w:r>
        <w:rPr>
          <w:rFonts w:hint="eastAsia" w:hAnsi="宋体"/>
          <w:b/>
          <w:bCs/>
          <w:color w:val="000000" w:themeColor="text1"/>
          <w:sz w:val="21"/>
          <w:szCs w:val="21"/>
          <w:highlight w:val="none"/>
        </w:rPr>
        <w:t>传真：</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p>
    <w:p>
      <w:pPr>
        <w:pStyle w:val="5"/>
        <w:spacing w:line="480" w:lineRule="auto"/>
        <w:rPr>
          <w:rFonts w:hAnsi="宋体"/>
          <w:b/>
          <w:bCs/>
          <w:color w:val="000000" w:themeColor="text1"/>
          <w:sz w:val="21"/>
          <w:szCs w:val="21"/>
          <w:highlight w:val="none"/>
          <w:u w:val="single"/>
        </w:rPr>
      </w:pPr>
      <w:r>
        <w:rPr>
          <w:rFonts w:hAnsi="宋体"/>
          <w:b/>
          <w:bCs/>
          <w:color w:val="000000" w:themeColor="text1"/>
          <w:sz w:val="21"/>
          <w:szCs w:val="21"/>
          <w:highlight w:val="none"/>
        </w:rPr>
        <w:t>邮</w:t>
      </w:r>
      <w:r>
        <w:rPr>
          <w:rFonts w:hint="eastAsia" w:hAnsi="宋体"/>
          <w:b/>
          <w:bCs/>
          <w:color w:val="000000" w:themeColor="text1"/>
          <w:sz w:val="21"/>
          <w:szCs w:val="21"/>
          <w:highlight w:val="none"/>
        </w:rPr>
        <w:t xml:space="preserve">    </w:t>
      </w:r>
      <w:r>
        <w:rPr>
          <w:rFonts w:hAnsi="宋体"/>
          <w:b/>
          <w:bCs/>
          <w:color w:val="000000" w:themeColor="text1"/>
          <w:sz w:val="21"/>
          <w:szCs w:val="21"/>
          <w:highlight w:val="none"/>
        </w:rPr>
        <w:t>编：</w:t>
      </w:r>
      <w:r>
        <w:rPr>
          <w:rFonts w:hint="eastAsia" w:hAnsi="宋体"/>
          <w:b/>
          <w:bCs/>
          <w:color w:val="000000" w:themeColor="text1"/>
          <w:sz w:val="21"/>
          <w:szCs w:val="21"/>
          <w:highlight w:val="none"/>
          <w:u w:val="single"/>
        </w:rPr>
        <w:t xml:space="preserve">               </w:t>
      </w:r>
    </w:p>
    <w:p>
      <w:pPr>
        <w:pStyle w:val="55"/>
        <w:spacing w:line="480" w:lineRule="auto"/>
        <w:ind w:firstLine="422" w:firstLineChars="200"/>
        <w:rPr>
          <w:rFonts w:hAnsi="宋体"/>
          <w:b/>
          <w:bCs/>
          <w:color w:val="000000" w:themeColor="text1"/>
          <w:sz w:val="21"/>
          <w:szCs w:val="21"/>
          <w:highlight w:val="none"/>
        </w:rPr>
      </w:pPr>
      <w:r>
        <w:rPr>
          <w:rFonts w:hint="eastAsia" w:hAnsi="宋体"/>
          <w:b/>
          <w:bCs/>
          <w:color w:val="000000" w:themeColor="text1"/>
          <w:sz w:val="21"/>
          <w:szCs w:val="21"/>
          <w:highlight w:val="none"/>
        </w:rPr>
        <w:t>编制日期：</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年</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月</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日</w:t>
      </w:r>
    </w:p>
    <w:p>
      <w:pPr>
        <w:pStyle w:val="55"/>
        <w:ind w:firstLine="422" w:firstLineChars="150"/>
        <w:rPr>
          <w:rFonts w:hAnsi="宋体"/>
          <w:b/>
          <w:bCs/>
          <w:color w:val="000000" w:themeColor="text1"/>
          <w:sz w:val="28"/>
          <w:szCs w:val="28"/>
          <w:highlight w:val="none"/>
        </w:rPr>
      </w:pPr>
    </w:p>
    <w:p>
      <w:pPr>
        <w:pStyle w:val="55"/>
        <w:ind w:firstLine="422" w:firstLineChars="150"/>
        <w:rPr>
          <w:rFonts w:hAnsi="宋体"/>
          <w:b/>
          <w:bCs/>
          <w:color w:val="000000" w:themeColor="text1"/>
          <w:sz w:val="28"/>
          <w:szCs w:val="28"/>
          <w:highlight w:val="none"/>
        </w:rPr>
      </w:pPr>
    </w:p>
    <w:p>
      <w:pPr>
        <w:pStyle w:val="55"/>
        <w:ind w:firstLine="452" w:firstLineChars="150"/>
        <w:jc w:val="center"/>
        <w:rPr>
          <w:rFonts w:hAnsi="宋体"/>
          <w:b/>
          <w:bCs/>
          <w:color w:val="000000" w:themeColor="text1"/>
          <w:sz w:val="30"/>
          <w:szCs w:val="30"/>
          <w:highlight w:val="none"/>
        </w:rPr>
      </w:pPr>
      <w:r>
        <w:rPr>
          <w:rFonts w:hint="eastAsia" w:hAnsi="宋体"/>
          <w:b/>
          <w:bCs/>
          <w:color w:val="000000" w:themeColor="text1"/>
          <w:sz w:val="30"/>
          <w:szCs w:val="30"/>
          <w:highlight w:val="none"/>
        </w:rPr>
        <w:t>于</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年</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月</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日</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w:t>
      </w:r>
      <w:r>
        <w:rPr>
          <w:rFonts w:hint="eastAsia" w:hAnsi="宋体"/>
          <w:color w:val="000000" w:themeColor="text1"/>
          <w:sz w:val="30"/>
          <w:szCs w:val="30"/>
          <w:highlight w:val="none"/>
          <w:u w:val="single"/>
        </w:rPr>
        <w:t xml:space="preserve">   </w:t>
      </w:r>
      <w:r>
        <w:rPr>
          <w:rFonts w:hint="eastAsia" w:hAnsi="宋体"/>
          <w:b/>
          <w:bCs/>
          <w:color w:val="000000" w:themeColor="text1"/>
          <w:sz w:val="30"/>
          <w:szCs w:val="30"/>
          <w:highlight w:val="none"/>
        </w:rPr>
        <w:t>之前不准启封</w:t>
      </w:r>
    </w:p>
    <w:p>
      <w:pPr>
        <w:pStyle w:val="55"/>
        <w:ind w:firstLine="542" w:firstLineChars="150"/>
        <w:jc w:val="center"/>
        <w:rPr>
          <w:rFonts w:hAnsi="宋体"/>
          <w:b/>
          <w:bCs/>
          <w:color w:val="000000" w:themeColor="text1"/>
          <w:sz w:val="36"/>
          <w:szCs w:val="36"/>
          <w:highlight w:val="none"/>
        </w:rPr>
      </w:pPr>
    </w:p>
    <w:p>
      <w:pPr>
        <w:pStyle w:val="5"/>
        <w:spacing w:line="360" w:lineRule="auto"/>
        <w:ind w:firstLine="0"/>
        <w:jc w:val="both"/>
        <w:rPr>
          <w:rFonts w:hAnsi="宋体"/>
          <w:b/>
          <w:bCs/>
          <w:color w:val="000000" w:themeColor="text1"/>
          <w:sz w:val="52"/>
          <w:szCs w:val="52"/>
          <w:highlight w:val="none"/>
        </w:rPr>
      </w:pPr>
    </w:p>
    <w:p>
      <w:pPr>
        <w:pStyle w:val="5"/>
        <w:spacing w:line="360" w:lineRule="auto"/>
        <w:jc w:val="center"/>
        <w:rPr>
          <w:rFonts w:hAnsi="宋体"/>
          <w:b/>
          <w:bCs/>
          <w:color w:val="000000" w:themeColor="text1"/>
          <w:sz w:val="72"/>
          <w:szCs w:val="72"/>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72"/>
          <w:szCs w:val="72"/>
          <w:highlight w:val="none"/>
        </w:rPr>
        <w:t>开 标 信 封</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项目编号：</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 xml:space="preserve">包 组 号： </w:t>
      </w:r>
      <w:r>
        <w:rPr>
          <w:rFonts w:hint="eastAsia" w:hAnsi="宋体"/>
          <w:b/>
          <w:bCs/>
          <w:color w:val="000000" w:themeColor="text1"/>
          <w:sz w:val="21"/>
          <w:szCs w:val="21"/>
          <w:highlight w:val="none"/>
          <w:u w:val="single"/>
        </w:rPr>
        <w:t xml:space="preserve">                                                              </w:t>
      </w: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项目名称：</w:t>
      </w:r>
      <w:r>
        <w:rPr>
          <w:rFonts w:hint="eastAsia" w:hAnsi="宋体"/>
          <w:b/>
          <w:bCs/>
          <w:color w:val="000000" w:themeColor="text1"/>
          <w:sz w:val="21"/>
          <w:szCs w:val="21"/>
          <w:highlight w:val="none"/>
          <w:u w:val="single"/>
        </w:rPr>
        <w:t xml:space="preserve">  </w:t>
      </w:r>
      <w:r>
        <w:rPr>
          <w:rFonts w:hint="eastAsia" w:hAnsi="宋体" w:cs="宋体"/>
          <w:b/>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投标人名称（加盖公章）：</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投标人地址：</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投标人法定代表人（负责人）或授权代理人（签字）：</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联系电话：</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Ansi="宋体"/>
          <w:b/>
          <w:bCs/>
          <w:color w:val="000000" w:themeColor="text1"/>
          <w:sz w:val="21"/>
          <w:szCs w:val="21"/>
          <w:highlight w:val="none"/>
        </w:rPr>
        <w:t xml:space="preserve"> </w:t>
      </w:r>
      <w:r>
        <w:rPr>
          <w:rFonts w:hint="eastAsia" w:hAnsi="宋体"/>
          <w:b/>
          <w:bCs/>
          <w:color w:val="000000" w:themeColor="text1"/>
          <w:sz w:val="21"/>
          <w:szCs w:val="21"/>
          <w:highlight w:val="none"/>
        </w:rPr>
        <w:t>传真：</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p>
    <w:p>
      <w:pPr>
        <w:pStyle w:val="5"/>
        <w:spacing w:line="480" w:lineRule="auto"/>
        <w:rPr>
          <w:rFonts w:hAnsi="宋体"/>
          <w:b/>
          <w:bCs/>
          <w:color w:val="000000" w:themeColor="text1"/>
          <w:sz w:val="21"/>
          <w:szCs w:val="21"/>
          <w:highlight w:val="none"/>
          <w:u w:val="single"/>
        </w:rPr>
      </w:pPr>
      <w:r>
        <w:rPr>
          <w:rFonts w:hAnsi="宋体"/>
          <w:b/>
          <w:bCs/>
          <w:color w:val="000000" w:themeColor="text1"/>
          <w:sz w:val="21"/>
          <w:szCs w:val="21"/>
          <w:highlight w:val="none"/>
        </w:rPr>
        <w:t>邮</w:t>
      </w:r>
      <w:r>
        <w:rPr>
          <w:rFonts w:hint="eastAsia" w:hAnsi="宋体"/>
          <w:b/>
          <w:bCs/>
          <w:color w:val="000000" w:themeColor="text1"/>
          <w:sz w:val="21"/>
          <w:szCs w:val="21"/>
          <w:highlight w:val="none"/>
        </w:rPr>
        <w:t xml:space="preserve">    </w:t>
      </w:r>
      <w:r>
        <w:rPr>
          <w:rFonts w:hAnsi="宋体"/>
          <w:b/>
          <w:bCs/>
          <w:color w:val="000000" w:themeColor="text1"/>
          <w:sz w:val="21"/>
          <w:szCs w:val="21"/>
          <w:highlight w:val="none"/>
        </w:rPr>
        <w:t>编：</w:t>
      </w:r>
      <w:r>
        <w:rPr>
          <w:rFonts w:hint="eastAsia" w:hAnsi="宋体"/>
          <w:b/>
          <w:bCs/>
          <w:color w:val="000000" w:themeColor="text1"/>
          <w:sz w:val="21"/>
          <w:szCs w:val="21"/>
          <w:highlight w:val="none"/>
          <w:u w:val="single"/>
        </w:rPr>
        <w:t xml:space="preserve">               </w:t>
      </w:r>
    </w:p>
    <w:p>
      <w:pPr>
        <w:pStyle w:val="55"/>
        <w:spacing w:line="480" w:lineRule="auto"/>
        <w:ind w:firstLine="422" w:firstLineChars="200"/>
        <w:rPr>
          <w:rFonts w:hAnsi="宋体"/>
          <w:b/>
          <w:bCs/>
          <w:color w:val="000000" w:themeColor="text1"/>
          <w:sz w:val="21"/>
          <w:szCs w:val="21"/>
          <w:highlight w:val="none"/>
        </w:rPr>
      </w:pPr>
      <w:r>
        <w:rPr>
          <w:rFonts w:hint="eastAsia" w:hAnsi="宋体"/>
          <w:b/>
          <w:bCs/>
          <w:color w:val="000000" w:themeColor="text1"/>
          <w:sz w:val="21"/>
          <w:szCs w:val="21"/>
          <w:highlight w:val="none"/>
        </w:rPr>
        <w:t>编制日期：</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年</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月</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日</w:t>
      </w:r>
    </w:p>
    <w:p>
      <w:pPr>
        <w:pStyle w:val="55"/>
        <w:ind w:firstLine="422" w:firstLineChars="150"/>
        <w:rPr>
          <w:rFonts w:hAnsi="宋体"/>
          <w:b/>
          <w:bCs/>
          <w:color w:val="000000" w:themeColor="text1"/>
          <w:sz w:val="28"/>
          <w:szCs w:val="28"/>
          <w:highlight w:val="none"/>
        </w:rPr>
      </w:pPr>
    </w:p>
    <w:p>
      <w:pPr>
        <w:pStyle w:val="55"/>
        <w:ind w:firstLine="422" w:firstLineChars="150"/>
        <w:rPr>
          <w:rFonts w:hAnsi="宋体"/>
          <w:b/>
          <w:bCs/>
          <w:color w:val="000000" w:themeColor="text1"/>
          <w:sz w:val="28"/>
          <w:szCs w:val="28"/>
          <w:highlight w:val="none"/>
        </w:rPr>
      </w:pPr>
    </w:p>
    <w:p>
      <w:pPr>
        <w:pStyle w:val="55"/>
        <w:ind w:firstLine="452" w:firstLineChars="150"/>
        <w:jc w:val="center"/>
        <w:rPr>
          <w:rFonts w:hAnsi="宋体"/>
          <w:b/>
          <w:bCs/>
          <w:color w:val="000000" w:themeColor="text1"/>
          <w:sz w:val="30"/>
          <w:szCs w:val="30"/>
          <w:highlight w:val="none"/>
        </w:rPr>
      </w:pPr>
      <w:r>
        <w:rPr>
          <w:rFonts w:hint="eastAsia" w:hAnsi="宋体"/>
          <w:b/>
          <w:bCs/>
          <w:color w:val="000000" w:themeColor="text1"/>
          <w:sz w:val="30"/>
          <w:szCs w:val="30"/>
          <w:highlight w:val="none"/>
        </w:rPr>
        <w:t>于</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年</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月</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日</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w:t>
      </w:r>
      <w:r>
        <w:rPr>
          <w:rFonts w:hint="eastAsia" w:hAnsi="宋体"/>
          <w:color w:val="000000" w:themeColor="text1"/>
          <w:sz w:val="30"/>
          <w:szCs w:val="30"/>
          <w:highlight w:val="none"/>
          <w:u w:val="single"/>
        </w:rPr>
        <w:t xml:space="preserve">   </w:t>
      </w:r>
      <w:r>
        <w:rPr>
          <w:rFonts w:hint="eastAsia" w:hAnsi="宋体"/>
          <w:b/>
          <w:bCs/>
          <w:color w:val="000000" w:themeColor="text1"/>
          <w:sz w:val="30"/>
          <w:szCs w:val="30"/>
          <w:highlight w:val="none"/>
        </w:rPr>
        <w:t>之前不准启封</w:t>
      </w:r>
    </w:p>
    <w:p>
      <w:pPr>
        <w:pStyle w:val="55"/>
        <w:ind w:firstLine="542" w:firstLineChars="150"/>
        <w:jc w:val="center"/>
        <w:rPr>
          <w:rFonts w:hAnsi="宋体"/>
          <w:b/>
          <w:bCs/>
          <w:color w:val="000000" w:themeColor="text1"/>
          <w:sz w:val="36"/>
          <w:szCs w:val="36"/>
          <w:highlight w:val="none"/>
        </w:rPr>
      </w:pPr>
    </w:p>
    <w:p>
      <w:pPr>
        <w:pStyle w:val="55"/>
        <w:ind w:firstLine="542" w:firstLineChars="150"/>
        <w:jc w:val="center"/>
        <w:rPr>
          <w:rFonts w:hAnsi="宋体"/>
          <w:b/>
          <w:bCs/>
          <w:color w:val="000000" w:themeColor="text1"/>
          <w:sz w:val="36"/>
          <w:szCs w:val="36"/>
          <w:highlight w:val="none"/>
        </w:rPr>
      </w:pPr>
    </w:p>
    <w:p>
      <w:pPr>
        <w:pStyle w:val="55"/>
        <w:ind w:firstLine="542" w:firstLineChars="150"/>
        <w:jc w:val="center"/>
        <w:rPr>
          <w:rFonts w:hAnsi="宋体"/>
          <w:b/>
          <w:bCs/>
          <w:color w:val="000000" w:themeColor="text1"/>
          <w:sz w:val="36"/>
          <w:szCs w:val="36"/>
          <w:highlight w:val="none"/>
        </w:rPr>
      </w:pPr>
    </w:p>
    <w:p>
      <w:pPr>
        <w:pStyle w:val="55"/>
        <w:jc w:val="both"/>
        <w:rPr>
          <w:rFonts w:ascii="宋体" w:hAnsi="宋体" w:eastAsia="宋体" w:cs="Times New Roman"/>
          <w:b/>
          <w:bCs/>
          <w:color w:val="000000" w:themeColor="text1"/>
          <w:sz w:val="48"/>
          <w:szCs w:val="48"/>
          <w:highlight w:val="none"/>
        </w:rPr>
      </w:pPr>
    </w:p>
    <w:p>
      <w:pPr>
        <w:pStyle w:val="55"/>
        <w:jc w:val="both"/>
        <w:rPr>
          <w:rFonts w:ascii="宋体" w:hAnsi="宋体" w:eastAsia="宋体" w:cs="Times New Roman"/>
          <w:b/>
          <w:bCs/>
          <w:color w:val="000000" w:themeColor="text1"/>
          <w:sz w:val="48"/>
          <w:szCs w:val="48"/>
          <w:highlight w:val="none"/>
        </w:rPr>
      </w:pPr>
    </w:p>
    <w:p>
      <w:pPr>
        <w:pStyle w:val="55"/>
        <w:jc w:val="both"/>
        <w:rPr>
          <w:rFonts w:ascii="宋体" w:hAnsi="宋体" w:eastAsia="宋体" w:cs="Times New Roman"/>
          <w:b/>
          <w:bCs/>
          <w:color w:val="000000" w:themeColor="text1"/>
          <w:sz w:val="48"/>
          <w:szCs w:val="48"/>
          <w:highlight w:val="none"/>
        </w:rPr>
      </w:pPr>
    </w:p>
    <w:p>
      <w:pPr>
        <w:pStyle w:val="55"/>
        <w:jc w:val="both"/>
        <w:rPr>
          <w:rFonts w:ascii="宋体" w:hAnsi="宋体" w:eastAsia="宋体" w:cs="Times New Roman"/>
          <w:b/>
          <w:bCs/>
          <w:color w:val="000000" w:themeColor="text1"/>
          <w:sz w:val="48"/>
          <w:szCs w:val="48"/>
          <w:highlight w:val="none"/>
        </w:rPr>
      </w:pPr>
    </w:p>
    <w:p>
      <w:pPr>
        <w:pStyle w:val="55"/>
        <w:ind w:firstLine="1084" w:firstLineChars="150"/>
        <w:jc w:val="center"/>
        <w:rPr>
          <w:rFonts w:ascii="宋体" w:hAnsi="宋体" w:eastAsia="宋体" w:cs="Times New Roman"/>
          <w:b/>
          <w:bCs/>
          <w:color w:val="000000" w:themeColor="text1"/>
          <w:sz w:val="72"/>
          <w:szCs w:val="72"/>
          <w:highlight w:val="none"/>
        </w:rPr>
      </w:pPr>
      <w:r>
        <w:rPr>
          <w:rFonts w:hint="eastAsia" w:ascii="宋体" w:hAnsi="宋体" w:eastAsia="宋体" w:cs="Times New Roman"/>
          <w:b/>
          <w:bCs/>
          <w:color w:val="000000" w:themeColor="text1"/>
          <w:sz w:val="72"/>
          <w:szCs w:val="72"/>
          <w:highlight w:val="none"/>
        </w:rPr>
        <w:t>投 标 文 件 电 子 版</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项目编号：</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 xml:space="preserve">包 组 号： </w:t>
      </w:r>
      <w:r>
        <w:rPr>
          <w:rFonts w:hint="eastAsia" w:hAnsi="宋体"/>
          <w:b/>
          <w:bCs/>
          <w:color w:val="000000" w:themeColor="text1"/>
          <w:sz w:val="21"/>
          <w:szCs w:val="21"/>
          <w:highlight w:val="none"/>
          <w:u w:val="single"/>
        </w:rPr>
        <w:t xml:space="preserve">                                                              </w:t>
      </w:r>
    </w:p>
    <w:p>
      <w:pPr>
        <w:pStyle w:val="5"/>
        <w:spacing w:line="480" w:lineRule="auto"/>
        <w:rPr>
          <w:rFonts w:hAnsi="宋体"/>
          <w:b/>
          <w:bCs/>
          <w:color w:val="000000" w:themeColor="text1"/>
          <w:sz w:val="21"/>
          <w:szCs w:val="21"/>
          <w:highlight w:val="none"/>
        </w:rPr>
      </w:pPr>
      <w:r>
        <w:rPr>
          <w:rFonts w:hint="eastAsia" w:hAnsi="宋体"/>
          <w:b/>
          <w:bCs/>
          <w:color w:val="000000" w:themeColor="text1"/>
          <w:sz w:val="21"/>
          <w:szCs w:val="21"/>
          <w:highlight w:val="none"/>
        </w:rPr>
        <w:t>项目名称：</w:t>
      </w:r>
      <w:r>
        <w:rPr>
          <w:rFonts w:hint="eastAsia" w:hAnsi="宋体"/>
          <w:b/>
          <w:bCs/>
          <w:color w:val="000000" w:themeColor="text1"/>
          <w:sz w:val="21"/>
          <w:szCs w:val="21"/>
          <w:highlight w:val="none"/>
          <w:u w:val="single"/>
        </w:rPr>
        <w:t xml:space="preserve">  </w:t>
      </w:r>
      <w:r>
        <w:rPr>
          <w:rFonts w:hint="eastAsia" w:hAnsi="宋体" w:cs="宋体"/>
          <w:b/>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投标人名称（加盖公章）：</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投标人地址：</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投标人法定代表人（负责人）或授权代理人（签字）：</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 xml:space="preserve">    </w:t>
      </w:r>
    </w:p>
    <w:p>
      <w:pPr>
        <w:pStyle w:val="5"/>
        <w:spacing w:line="480" w:lineRule="auto"/>
        <w:rPr>
          <w:rFonts w:hAnsi="宋体"/>
          <w:b/>
          <w:bCs/>
          <w:color w:val="000000" w:themeColor="text1"/>
          <w:sz w:val="21"/>
          <w:szCs w:val="21"/>
          <w:highlight w:val="none"/>
          <w:u w:val="single"/>
        </w:rPr>
      </w:pPr>
      <w:r>
        <w:rPr>
          <w:rFonts w:hint="eastAsia" w:hAnsi="宋体"/>
          <w:b/>
          <w:bCs/>
          <w:color w:val="000000" w:themeColor="text1"/>
          <w:sz w:val="21"/>
          <w:szCs w:val="21"/>
          <w:highlight w:val="none"/>
        </w:rPr>
        <w:t>联系电话：</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Ansi="宋体"/>
          <w:b/>
          <w:bCs/>
          <w:color w:val="000000" w:themeColor="text1"/>
          <w:sz w:val="21"/>
          <w:szCs w:val="21"/>
          <w:highlight w:val="none"/>
        </w:rPr>
        <w:t xml:space="preserve"> </w:t>
      </w:r>
      <w:r>
        <w:rPr>
          <w:rFonts w:hint="eastAsia" w:hAnsi="宋体"/>
          <w:b/>
          <w:bCs/>
          <w:color w:val="000000" w:themeColor="text1"/>
          <w:sz w:val="21"/>
          <w:szCs w:val="21"/>
          <w:highlight w:val="none"/>
        </w:rPr>
        <w:t>传真：</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r>
        <w:rPr>
          <w:rFonts w:hAnsi="宋体"/>
          <w:b/>
          <w:bCs/>
          <w:color w:val="000000" w:themeColor="text1"/>
          <w:sz w:val="21"/>
          <w:szCs w:val="21"/>
          <w:highlight w:val="none"/>
          <w:u w:val="single"/>
        </w:rPr>
        <w:t xml:space="preserve">  </w:t>
      </w:r>
      <w:r>
        <w:rPr>
          <w:rFonts w:hint="eastAsia" w:hAnsi="宋体"/>
          <w:b/>
          <w:bCs/>
          <w:color w:val="000000" w:themeColor="text1"/>
          <w:sz w:val="21"/>
          <w:szCs w:val="21"/>
          <w:highlight w:val="none"/>
          <w:u w:val="single"/>
        </w:rPr>
        <w:t xml:space="preserve">    </w:t>
      </w:r>
    </w:p>
    <w:p>
      <w:pPr>
        <w:pStyle w:val="5"/>
        <w:spacing w:line="480" w:lineRule="auto"/>
        <w:rPr>
          <w:rFonts w:hAnsi="宋体"/>
          <w:b/>
          <w:bCs/>
          <w:color w:val="000000" w:themeColor="text1"/>
          <w:sz w:val="21"/>
          <w:szCs w:val="21"/>
          <w:highlight w:val="none"/>
          <w:u w:val="single"/>
        </w:rPr>
      </w:pPr>
      <w:r>
        <w:rPr>
          <w:rFonts w:hAnsi="宋体"/>
          <w:b/>
          <w:bCs/>
          <w:color w:val="000000" w:themeColor="text1"/>
          <w:sz w:val="21"/>
          <w:szCs w:val="21"/>
          <w:highlight w:val="none"/>
        </w:rPr>
        <w:t>邮</w:t>
      </w:r>
      <w:r>
        <w:rPr>
          <w:rFonts w:hint="eastAsia" w:hAnsi="宋体"/>
          <w:b/>
          <w:bCs/>
          <w:color w:val="000000" w:themeColor="text1"/>
          <w:sz w:val="21"/>
          <w:szCs w:val="21"/>
          <w:highlight w:val="none"/>
        </w:rPr>
        <w:t xml:space="preserve">    </w:t>
      </w:r>
      <w:r>
        <w:rPr>
          <w:rFonts w:hAnsi="宋体"/>
          <w:b/>
          <w:bCs/>
          <w:color w:val="000000" w:themeColor="text1"/>
          <w:sz w:val="21"/>
          <w:szCs w:val="21"/>
          <w:highlight w:val="none"/>
        </w:rPr>
        <w:t>编：</w:t>
      </w:r>
      <w:r>
        <w:rPr>
          <w:rFonts w:hint="eastAsia" w:hAnsi="宋体"/>
          <w:b/>
          <w:bCs/>
          <w:color w:val="000000" w:themeColor="text1"/>
          <w:sz w:val="21"/>
          <w:szCs w:val="21"/>
          <w:highlight w:val="none"/>
          <w:u w:val="single"/>
        </w:rPr>
        <w:t xml:space="preserve">               </w:t>
      </w:r>
    </w:p>
    <w:p>
      <w:pPr>
        <w:pStyle w:val="55"/>
        <w:spacing w:line="480" w:lineRule="auto"/>
        <w:ind w:firstLine="422" w:firstLineChars="200"/>
        <w:rPr>
          <w:rFonts w:hAnsi="宋体"/>
          <w:b/>
          <w:bCs/>
          <w:color w:val="000000" w:themeColor="text1"/>
          <w:sz w:val="21"/>
          <w:szCs w:val="21"/>
          <w:highlight w:val="none"/>
        </w:rPr>
      </w:pPr>
      <w:r>
        <w:rPr>
          <w:rFonts w:hint="eastAsia" w:hAnsi="宋体"/>
          <w:b/>
          <w:bCs/>
          <w:color w:val="000000" w:themeColor="text1"/>
          <w:sz w:val="21"/>
          <w:szCs w:val="21"/>
          <w:highlight w:val="none"/>
        </w:rPr>
        <w:t>编制日期：</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年</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月</w:t>
      </w:r>
      <w:r>
        <w:rPr>
          <w:rFonts w:hint="eastAsia" w:hAnsi="宋体"/>
          <w:b/>
          <w:bCs/>
          <w:color w:val="000000" w:themeColor="text1"/>
          <w:sz w:val="21"/>
          <w:szCs w:val="21"/>
          <w:highlight w:val="none"/>
          <w:u w:val="single"/>
        </w:rPr>
        <w:t xml:space="preserve">   </w:t>
      </w:r>
      <w:r>
        <w:rPr>
          <w:rFonts w:hint="eastAsia" w:hAnsi="宋体"/>
          <w:b/>
          <w:bCs/>
          <w:color w:val="000000" w:themeColor="text1"/>
          <w:sz w:val="21"/>
          <w:szCs w:val="21"/>
          <w:highlight w:val="none"/>
        </w:rPr>
        <w:t>日</w:t>
      </w:r>
    </w:p>
    <w:p>
      <w:pPr>
        <w:pStyle w:val="55"/>
        <w:ind w:firstLine="422" w:firstLineChars="150"/>
        <w:rPr>
          <w:rFonts w:hAnsi="宋体"/>
          <w:b/>
          <w:bCs/>
          <w:color w:val="000000" w:themeColor="text1"/>
          <w:sz w:val="28"/>
          <w:szCs w:val="28"/>
          <w:highlight w:val="none"/>
        </w:rPr>
      </w:pPr>
    </w:p>
    <w:p>
      <w:pPr>
        <w:pStyle w:val="55"/>
        <w:ind w:firstLine="422" w:firstLineChars="150"/>
        <w:rPr>
          <w:rFonts w:hAnsi="宋体"/>
          <w:b/>
          <w:bCs/>
          <w:color w:val="000000" w:themeColor="text1"/>
          <w:sz w:val="28"/>
          <w:szCs w:val="28"/>
          <w:highlight w:val="none"/>
        </w:rPr>
      </w:pPr>
    </w:p>
    <w:p>
      <w:pPr>
        <w:pStyle w:val="55"/>
        <w:ind w:firstLine="452" w:firstLineChars="150"/>
        <w:jc w:val="center"/>
        <w:rPr>
          <w:rFonts w:hAnsi="宋体"/>
          <w:b/>
          <w:bCs/>
          <w:color w:val="000000" w:themeColor="text1"/>
          <w:sz w:val="30"/>
          <w:szCs w:val="30"/>
          <w:highlight w:val="none"/>
        </w:rPr>
      </w:pPr>
      <w:r>
        <w:rPr>
          <w:rFonts w:hint="eastAsia" w:hAnsi="宋体"/>
          <w:b/>
          <w:bCs/>
          <w:color w:val="000000" w:themeColor="text1"/>
          <w:sz w:val="30"/>
          <w:szCs w:val="30"/>
          <w:highlight w:val="none"/>
        </w:rPr>
        <w:t>于</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年</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月</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日</w:t>
      </w:r>
      <w:r>
        <w:rPr>
          <w:rFonts w:hint="eastAsia" w:hAnsi="宋体"/>
          <w:b/>
          <w:bCs/>
          <w:color w:val="000000" w:themeColor="text1"/>
          <w:sz w:val="30"/>
          <w:szCs w:val="30"/>
          <w:highlight w:val="none"/>
          <w:u w:val="single"/>
        </w:rPr>
        <w:t xml:space="preserve">   </w:t>
      </w:r>
      <w:r>
        <w:rPr>
          <w:rFonts w:hint="eastAsia" w:hAnsi="宋体"/>
          <w:b/>
          <w:bCs/>
          <w:color w:val="000000" w:themeColor="text1"/>
          <w:sz w:val="30"/>
          <w:szCs w:val="30"/>
          <w:highlight w:val="none"/>
        </w:rPr>
        <w:t>:</w:t>
      </w:r>
      <w:r>
        <w:rPr>
          <w:rFonts w:hint="eastAsia" w:hAnsi="宋体"/>
          <w:color w:val="000000" w:themeColor="text1"/>
          <w:sz w:val="30"/>
          <w:szCs w:val="30"/>
          <w:highlight w:val="none"/>
          <w:u w:val="single"/>
        </w:rPr>
        <w:t xml:space="preserve">   </w:t>
      </w:r>
      <w:r>
        <w:rPr>
          <w:rFonts w:hint="eastAsia" w:hAnsi="宋体"/>
          <w:b/>
          <w:bCs/>
          <w:color w:val="000000" w:themeColor="text1"/>
          <w:sz w:val="30"/>
          <w:szCs w:val="30"/>
          <w:highlight w:val="none"/>
        </w:rPr>
        <w:t>之前不准启封</w:t>
      </w:r>
    </w:p>
    <w:p>
      <w:pPr>
        <w:spacing w:line="360" w:lineRule="auto"/>
        <w:jc w:val="center"/>
        <w:rPr>
          <w:rFonts w:ascii="宋体" w:hAnsi="宋体"/>
          <w:b/>
          <w:color w:val="000000" w:themeColor="text1"/>
          <w:sz w:val="24"/>
          <w:highlight w:val="none"/>
        </w:rPr>
      </w:pPr>
    </w:p>
    <w:p>
      <w:pPr>
        <w:pStyle w:val="55"/>
        <w:rPr>
          <w:rFonts w:ascii="宋体" w:hAnsi="宋体"/>
          <w:b/>
          <w:color w:val="000000" w:themeColor="text1"/>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3"/>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rPr>
      </w:pPr>
    </w:p>
    <w:p>
      <w:pPr>
        <w:pStyle w:val="4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28"/>
    <w:p>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74</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0"/>
      </w:rPr>
    </w:pPr>
    <w:r>
      <w:fldChar w:fldCharType="begin"/>
    </w:r>
    <w:r>
      <w:rPr>
        <w:rStyle w:val="50"/>
      </w:rPr>
      <w:instrText xml:space="preserve">PAGE  </w:instrText>
    </w:r>
    <w:r>
      <w:fldChar w:fldCharType="end"/>
    </w:r>
  </w:p>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74</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64</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53</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74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74</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AB31DD7B"/>
    <w:multiLevelType w:val="singleLevel"/>
    <w:tmpl w:val="AB31DD7B"/>
    <w:lvl w:ilvl="0" w:tentative="0">
      <w:start w:val="3"/>
      <w:numFmt w:val="decimal"/>
      <w:suff w:val="nothing"/>
      <w:lvlText w:val="%1、"/>
      <w:lvlJc w:val="left"/>
    </w:lvl>
  </w:abstractNum>
  <w:abstractNum w:abstractNumId="3">
    <w:nsid w:val="B19E681B"/>
    <w:multiLevelType w:val="singleLevel"/>
    <w:tmpl w:val="B19E681B"/>
    <w:lvl w:ilvl="0" w:tentative="0">
      <w:start w:val="1"/>
      <w:numFmt w:val="decimal"/>
      <w:lvlText w:val="%1."/>
      <w:lvlJc w:val="left"/>
      <w:pPr>
        <w:ind w:left="425" w:hanging="425"/>
      </w:pPr>
      <w:rPr>
        <w:rFonts w:hint="default"/>
      </w:rPr>
    </w:lvl>
  </w:abstractNum>
  <w:abstractNum w:abstractNumId="4">
    <w:nsid w:val="D4299752"/>
    <w:multiLevelType w:val="singleLevel"/>
    <w:tmpl w:val="D4299752"/>
    <w:lvl w:ilvl="0" w:tentative="0">
      <w:start w:val="2"/>
      <w:numFmt w:val="chineseCounting"/>
      <w:suff w:val="nothing"/>
      <w:lvlText w:val="%1、"/>
      <w:lvlJc w:val="left"/>
      <w:rPr>
        <w:rFonts w:hint="eastAsia"/>
      </w:rPr>
    </w:lvl>
  </w:abstractNum>
  <w:abstractNum w:abstractNumId="5">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6">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8">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9">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11">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12">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4">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7">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20">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21">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23">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4">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5">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6">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2"/>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7">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9">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30">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2">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28FCD01"/>
    <w:multiLevelType w:val="singleLevel"/>
    <w:tmpl w:val="328FCD01"/>
    <w:lvl w:ilvl="0" w:tentative="0">
      <w:start w:val="1"/>
      <w:numFmt w:val="decimal"/>
      <w:suff w:val="space"/>
      <w:lvlText w:val="%1、"/>
      <w:lvlJc w:val="left"/>
      <w:pPr>
        <w:ind w:left="105" w:firstLine="0"/>
      </w:pPr>
    </w:lvl>
  </w:abstractNum>
  <w:abstractNum w:abstractNumId="35">
    <w:nsid w:val="42CD84B7"/>
    <w:multiLevelType w:val="singleLevel"/>
    <w:tmpl w:val="42CD84B7"/>
    <w:lvl w:ilvl="0" w:tentative="0">
      <w:start w:val="1"/>
      <w:numFmt w:val="decimal"/>
      <w:lvlText w:val="%1."/>
      <w:lvlJc w:val="left"/>
      <w:pPr>
        <w:ind w:left="425" w:hanging="425"/>
      </w:pPr>
      <w:rPr>
        <w:rFonts w:hint="default"/>
      </w:rPr>
    </w:lvl>
  </w:abstractNum>
  <w:abstractNum w:abstractNumId="36">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6"/>
  </w:num>
  <w:num w:numId="2">
    <w:abstractNumId w:val="20"/>
  </w:num>
  <w:num w:numId="3">
    <w:abstractNumId w:val="21"/>
  </w:num>
  <w:num w:numId="4">
    <w:abstractNumId w:val="16"/>
  </w:num>
  <w:num w:numId="5">
    <w:abstractNumId w:val="17"/>
  </w:num>
  <w:num w:numId="6">
    <w:abstractNumId w:val="31"/>
  </w:num>
  <w:num w:numId="7">
    <w:abstractNumId w:val="5"/>
  </w:num>
  <w:num w:numId="8">
    <w:abstractNumId w:val="9"/>
  </w:num>
  <w:num w:numId="9">
    <w:abstractNumId w:val="27"/>
  </w:num>
  <w:num w:numId="10">
    <w:abstractNumId w:val="15"/>
  </w:num>
  <w:num w:numId="11">
    <w:abstractNumId w:val="11"/>
  </w:num>
  <w:num w:numId="12">
    <w:abstractNumId w:val="29"/>
  </w:num>
  <w:num w:numId="13">
    <w:abstractNumId w:val="22"/>
  </w:num>
  <w:num w:numId="14">
    <w:abstractNumId w:val="28"/>
  </w:num>
  <w:num w:numId="15">
    <w:abstractNumId w:val="14"/>
  </w:num>
  <w:num w:numId="16">
    <w:abstractNumId w:val="13"/>
  </w:num>
  <w:num w:numId="17">
    <w:abstractNumId w:val="19"/>
  </w:num>
  <w:num w:numId="18">
    <w:abstractNumId w:val="6"/>
  </w:num>
  <w:num w:numId="19">
    <w:abstractNumId w:val="10"/>
  </w:num>
  <w:num w:numId="20">
    <w:abstractNumId w:val="8"/>
  </w:num>
  <w:num w:numId="21">
    <w:abstractNumId w:val="33"/>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
  </w:num>
  <w:num w:numId="25">
    <w:abstractNumId w:val="2"/>
  </w:num>
  <w:num w:numId="26">
    <w:abstractNumId w:val="18"/>
  </w:num>
  <w:num w:numId="27">
    <w:abstractNumId w:val="23"/>
  </w:num>
  <w:num w:numId="28">
    <w:abstractNumId w:val="24"/>
  </w:num>
  <w:num w:numId="29">
    <w:abstractNumId w:val="7"/>
  </w:num>
  <w:num w:numId="30">
    <w:abstractNumId w:val="12"/>
  </w:num>
  <w:num w:numId="31">
    <w:abstractNumId w:val="25"/>
    <w:lvlOverride w:ilvl="0">
      <w:startOverride w:val="1"/>
    </w:lvlOverride>
  </w:num>
  <w:num w:numId="32">
    <w:abstractNumId w:val="34"/>
  </w:num>
  <w:num w:numId="33">
    <w:abstractNumId w:val="3"/>
  </w:num>
  <w:num w:numId="34">
    <w:abstractNumId w:val="1"/>
  </w:num>
  <w:num w:numId="35">
    <w:abstractNumId w:val="35"/>
  </w:num>
  <w:num w:numId="36">
    <w:abstractNumId w:val="30"/>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2067C"/>
    <w:rsid w:val="00222E14"/>
    <w:rsid w:val="00224528"/>
    <w:rsid w:val="0022617F"/>
    <w:rsid w:val="00231E86"/>
    <w:rsid w:val="002343C6"/>
    <w:rsid w:val="00241309"/>
    <w:rsid w:val="00242B1A"/>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657D"/>
    <w:rsid w:val="0035749B"/>
    <w:rsid w:val="00357A26"/>
    <w:rsid w:val="00360D70"/>
    <w:rsid w:val="003618EC"/>
    <w:rsid w:val="003626ED"/>
    <w:rsid w:val="0036653C"/>
    <w:rsid w:val="00367278"/>
    <w:rsid w:val="003674C0"/>
    <w:rsid w:val="00367BFA"/>
    <w:rsid w:val="00371E5B"/>
    <w:rsid w:val="00372573"/>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51C6B"/>
    <w:rsid w:val="0047226C"/>
    <w:rsid w:val="0048094A"/>
    <w:rsid w:val="004824CF"/>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46E5C"/>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A511C"/>
    <w:rsid w:val="005A545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06BA"/>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2349"/>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1F06"/>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3510B"/>
    <w:rsid w:val="00D41911"/>
    <w:rsid w:val="00D44BD8"/>
    <w:rsid w:val="00D459DE"/>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0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1406B2C"/>
    <w:rsid w:val="02513AD3"/>
    <w:rsid w:val="038C6259"/>
    <w:rsid w:val="04D92AF1"/>
    <w:rsid w:val="05574FDC"/>
    <w:rsid w:val="055D0517"/>
    <w:rsid w:val="058A1AA8"/>
    <w:rsid w:val="05F61781"/>
    <w:rsid w:val="08996562"/>
    <w:rsid w:val="09553F34"/>
    <w:rsid w:val="097F381D"/>
    <w:rsid w:val="09A55D05"/>
    <w:rsid w:val="09FF0074"/>
    <w:rsid w:val="0B27418B"/>
    <w:rsid w:val="0B841A12"/>
    <w:rsid w:val="0CB801A7"/>
    <w:rsid w:val="0CE02165"/>
    <w:rsid w:val="0D766897"/>
    <w:rsid w:val="0E2E5AB0"/>
    <w:rsid w:val="0E30321A"/>
    <w:rsid w:val="0EB20708"/>
    <w:rsid w:val="0EB82544"/>
    <w:rsid w:val="0F4253B7"/>
    <w:rsid w:val="0FE63C57"/>
    <w:rsid w:val="114E7FF8"/>
    <w:rsid w:val="116B64C6"/>
    <w:rsid w:val="11EE38A5"/>
    <w:rsid w:val="124C3674"/>
    <w:rsid w:val="125A0A53"/>
    <w:rsid w:val="136E5CCB"/>
    <w:rsid w:val="13B96CCE"/>
    <w:rsid w:val="13D458B7"/>
    <w:rsid w:val="13F27D03"/>
    <w:rsid w:val="14043D75"/>
    <w:rsid w:val="14DA7B8E"/>
    <w:rsid w:val="16EF0ADE"/>
    <w:rsid w:val="178161A3"/>
    <w:rsid w:val="17963407"/>
    <w:rsid w:val="17D20F51"/>
    <w:rsid w:val="191C0474"/>
    <w:rsid w:val="19CA28B1"/>
    <w:rsid w:val="1A6B1B62"/>
    <w:rsid w:val="1CAA7EB3"/>
    <w:rsid w:val="1CB37548"/>
    <w:rsid w:val="1CB42D8F"/>
    <w:rsid w:val="1F1C6314"/>
    <w:rsid w:val="1F211EEF"/>
    <w:rsid w:val="1FA8778B"/>
    <w:rsid w:val="204F7E4F"/>
    <w:rsid w:val="20792D47"/>
    <w:rsid w:val="21F0084A"/>
    <w:rsid w:val="22427039"/>
    <w:rsid w:val="22AB7731"/>
    <w:rsid w:val="22C50850"/>
    <w:rsid w:val="23C52E4B"/>
    <w:rsid w:val="24032DBE"/>
    <w:rsid w:val="259A0E9C"/>
    <w:rsid w:val="25CE231B"/>
    <w:rsid w:val="263D4371"/>
    <w:rsid w:val="27481BC6"/>
    <w:rsid w:val="28F462CE"/>
    <w:rsid w:val="28F650E0"/>
    <w:rsid w:val="2A307DF4"/>
    <w:rsid w:val="2A515672"/>
    <w:rsid w:val="2AAA31E8"/>
    <w:rsid w:val="2AD42AB8"/>
    <w:rsid w:val="2BC16D67"/>
    <w:rsid w:val="2CC85CE7"/>
    <w:rsid w:val="2F7A16FB"/>
    <w:rsid w:val="2F7E62E3"/>
    <w:rsid w:val="2FB76B6E"/>
    <w:rsid w:val="30940CE5"/>
    <w:rsid w:val="30F36D0F"/>
    <w:rsid w:val="31083E49"/>
    <w:rsid w:val="313165BA"/>
    <w:rsid w:val="323D5A0C"/>
    <w:rsid w:val="338C409E"/>
    <w:rsid w:val="342C193B"/>
    <w:rsid w:val="34890DF0"/>
    <w:rsid w:val="35262FD6"/>
    <w:rsid w:val="354F4384"/>
    <w:rsid w:val="36125F38"/>
    <w:rsid w:val="383A1CE0"/>
    <w:rsid w:val="38593838"/>
    <w:rsid w:val="3A1537E8"/>
    <w:rsid w:val="3ADA74AF"/>
    <w:rsid w:val="3C0B5CCF"/>
    <w:rsid w:val="3C4B567C"/>
    <w:rsid w:val="3D677F15"/>
    <w:rsid w:val="3EAA0E12"/>
    <w:rsid w:val="3F6351CF"/>
    <w:rsid w:val="424714EF"/>
    <w:rsid w:val="425D7CE0"/>
    <w:rsid w:val="42BD5FF7"/>
    <w:rsid w:val="43475875"/>
    <w:rsid w:val="43537423"/>
    <w:rsid w:val="437E6A32"/>
    <w:rsid w:val="45CD7101"/>
    <w:rsid w:val="45F0646A"/>
    <w:rsid w:val="46224A02"/>
    <w:rsid w:val="463F324B"/>
    <w:rsid w:val="46E03361"/>
    <w:rsid w:val="47B03BA9"/>
    <w:rsid w:val="487C2A50"/>
    <w:rsid w:val="49B54F13"/>
    <w:rsid w:val="4C1460A4"/>
    <w:rsid w:val="4C972B3A"/>
    <w:rsid w:val="4D8E0B75"/>
    <w:rsid w:val="4E04493F"/>
    <w:rsid w:val="4EAA1EE0"/>
    <w:rsid w:val="4FBD17C8"/>
    <w:rsid w:val="50CA1C1D"/>
    <w:rsid w:val="50E83014"/>
    <w:rsid w:val="511968B3"/>
    <w:rsid w:val="517852DB"/>
    <w:rsid w:val="53607807"/>
    <w:rsid w:val="53892DB3"/>
    <w:rsid w:val="54956BA5"/>
    <w:rsid w:val="563729E8"/>
    <w:rsid w:val="563E34E0"/>
    <w:rsid w:val="56B869F2"/>
    <w:rsid w:val="576E0066"/>
    <w:rsid w:val="58005F43"/>
    <w:rsid w:val="59231632"/>
    <w:rsid w:val="59432F3B"/>
    <w:rsid w:val="59A81EAC"/>
    <w:rsid w:val="5A6C09D0"/>
    <w:rsid w:val="5BAF7E0A"/>
    <w:rsid w:val="5D2E47F1"/>
    <w:rsid w:val="5D935CCC"/>
    <w:rsid w:val="5E020F45"/>
    <w:rsid w:val="5FAB2A8E"/>
    <w:rsid w:val="60266473"/>
    <w:rsid w:val="60760A2E"/>
    <w:rsid w:val="60BF73B5"/>
    <w:rsid w:val="60D36C2D"/>
    <w:rsid w:val="62454C1F"/>
    <w:rsid w:val="630D11DC"/>
    <w:rsid w:val="63AB4419"/>
    <w:rsid w:val="63E91153"/>
    <w:rsid w:val="64E05BDE"/>
    <w:rsid w:val="65146EEC"/>
    <w:rsid w:val="65D25419"/>
    <w:rsid w:val="65E6432F"/>
    <w:rsid w:val="6681294C"/>
    <w:rsid w:val="66EA66CB"/>
    <w:rsid w:val="67340937"/>
    <w:rsid w:val="678712DE"/>
    <w:rsid w:val="68A65B30"/>
    <w:rsid w:val="69B075FF"/>
    <w:rsid w:val="69B852BB"/>
    <w:rsid w:val="6A8B3BD0"/>
    <w:rsid w:val="6AEE606F"/>
    <w:rsid w:val="6C9402E1"/>
    <w:rsid w:val="6CCA6ABB"/>
    <w:rsid w:val="6E192FD8"/>
    <w:rsid w:val="70141AC6"/>
    <w:rsid w:val="70194B6E"/>
    <w:rsid w:val="70941B5C"/>
    <w:rsid w:val="72547CCC"/>
    <w:rsid w:val="72765E33"/>
    <w:rsid w:val="73F04C0A"/>
    <w:rsid w:val="756F7750"/>
    <w:rsid w:val="765D6DB1"/>
    <w:rsid w:val="7855175E"/>
    <w:rsid w:val="7A230AC3"/>
    <w:rsid w:val="7A6135B7"/>
    <w:rsid w:val="7AA80E99"/>
    <w:rsid w:val="7B987AFF"/>
    <w:rsid w:val="7CE55CD3"/>
    <w:rsid w:val="7D2A67CD"/>
    <w:rsid w:val="7D636C60"/>
    <w:rsid w:val="7DA95011"/>
    <w:rsid w:val="7E1507D5"/>
    <w:rsid w:val="7E433BB6"/>
    <w:rsid w:val="7E4E60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2">
    <w:name w:val="heading 3"/>
    <w:basedOn w:val="1"/>
    <w:next w:val="1"/>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7"/>
    <w:next w:val="1"/>
    <w:link w:val="94"/>
    <w:qFormat/>
    <w:uiPriority w:val="0"/>
    <w:pPr>
      <w:keepNext/>
      <w:keepLines/>
      <w:spacing w:before="280" w:after="290" w:line="376" w:lineRule="auto"/>
      <w:outlineLvl w:val="3"/>
    </w:pPr>
    <w:rPr>
      <w:rFonts w:ascii="Arial" w:hAnsi="Arial" w:eastAsia="黑体"/>
      <w:sz w:val="28"/>
      <w:szCs w:val="20"/>
    </w:rPr>
  </w:style>
  <w:style w:type="paragraph" w:styleId="8">
    <w:name w:val="heading 5"/>
    <w:basedOn w:val="1"/>
    <w:next w:val="5"/>
    <w:link w:val="107"/>
    <w:qFormat/>
    <w:uiPriority w:val="0"/>
    <w:pPr>
      <w:keepNext/>
      <w:keepLines/>
      <w:spacing w:before="280" w:after="290" w:line="376" w:lineRule="auto"/>
      <w:outlineLvl w:val="4"/>
    </w:pPr>
    <w:rPr>
      <w:b/>
      <w:sz w:val="28"/>
      <w:szCs w:val="20"/>
    </w:rPr>
  </w:style>
  <w:style w:type="paragraph" w:styleId="9">
    <w:name w:val="heading 6"/>
    <w:basedOn w:val="1"/>
    <w:next w:val="5"/>
    <w:link w:val="9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2"/>
    <w:qFormat/>
    <w:uiPriority w:val="0"/>
    <w:pPr>
      <w:keepNext/>
      <w:keepLines/>
      <w:spacing w:before="240" w:after="64" w:line="320" w:lineRule="auto"/>
      <w:outlineLvl w:val="6"/>
    </w:pPr>
    <w:rPr>
      <w:b/>
      <w:sz w:val="24"/>
      <w:szCs w:val="20"/>
    </w:rPr>
  </w:style>
  <w:style w:type="paragraph" w:styleId="11">
    <w:name w:val="heading 8"/>
    <w:basedOn w:val="1"/>
    <w:next w:val="5"/>
    <w:link w:val="99"/>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1"/>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4"/>
    <w:qFormat/>
    <w:uiPriority w:val="0"/>
    <w:pPr>
      <w:autoSpaceDE w:val="0"/>
      <w:autoSpaceDN w:val="0"/>
      <w:adjustRightInd w:val="0"/>
      <w:ind w:firstLine="420"/>
      <w:jc w:val="left"/>
      <w:textAlignment w:val="baseline"/>
    </w:pPr>
    <w:rPr>
      <w:rFonts w:ascii="宋体"/>
      <w:kern w:val="0"/>
      <w:sz w:val="34"/>
      <w:szCs w:val="20"/>
    </w:rPr>
  </w:style>
  <w:style w:type="paragraph" w:styleId="7">
    <w:name w:val="Title"/>
    <w:basedOn w:val="1"/>
    <w:next w:val="1"/>
    <w:link w:val="126"/>
    <w:qFormat/>
    <w:uiPriority w:val="0"/>
    <w:pPr>
      <w:spacing w:before="240" w:after="60"/>
      <w:jc w:val="center"/>
      <w:outlineLvl w:val="0"/>
    </w:pPr>
    <w:rPr>
      <w:rFonts w:ascii="Cambria" w:hAnsi="Cambria"/>
      <w:b/>
      <w:bCs/>
      <w:sz w:val="32"/>
      <w:szCs w:val="32"/>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2"/>
    <w:qFormat/>
    <w:uiPriority w:val="0"/>
    <w:pPr>
      <w:spacing w:line="360" w:lineRule="auto"/>
      <w:jc w:val="left"/>
    </w:pPr>
    <w:rPr>
      <w:sz w:val="24"/>
    </w:rPr>
  </w:style>
  <w:style w:type="paragraph" w:styleId="18">
    <w:name w:val="Body Text 3"/>
    <w:basedOn w:val="1"/>
    <w:link w:val="308"/>
    <w:qFormat/>
    <w:uiPriority w:val="0"/>
    <w:pPr>
      <w:widowControl/>
      <w:spacing w:after="120"/>
      <w:jc w:val="left"/>
    </w:pPr>
    <w:rPr>
      <w:kern w:val="0"/>
      <w:sz w:val="16"/>
      <w:szCs w:val="16"/>
    </w:rPr>
  </w:style>
  <w:style w:type="paragraph" w:styleId="19">
    <w:name w:val="Body Text"/>
    <w:basedOn w:val="1"/>
    <w:next w:val="6"/>
    <w:link w:val="77"/>
    <w:qFormat/>
    <w:uiPriority w:val="0"/>
    <w:pPr>
      <w:spacing w:after="120"/>
    </w:pPr>
  </w:style>
  <w:style w:type="paragraph" w:styleId="20">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qFormat/>
    <w:uiPriority w:val="0"/>
    <w:pPr>
      <w:numPr>
        <w:ilvl w:val="0"/>
        <w:numId w:val="2"/>
      </w:numPr>
    </w:pPr>
  </w:style>
  <w:style w:type="paragraph" w:styleId="22">
    <w:name w:val="HTML Address"/>
    <w:basedOn w:val="1"/>
    <w:link w:val="130"/>
    <w:qFormat/>
    <w:uiPriority w:val="0"/>
    <w:pPr>
      <w:numPr>
        <w:ilvl w:val="0"/>
        <w:numId w:val="3"/>
      </w:numPr>
      <w:tabs>
        <w:tab w:val="clear" w:pos="432"/>
      </w:tabs>
      <w:ind w:left="0" w:firstLine="0"/>
    </w:pPr>
    <w:rPr>
      <w:i/>
    </w:rPr>
  </w:style>
  <w:style w:type="paragraph" w:styleId="23">
    <w:name w:val="toc 5"/>
    <w:basedOn w:val="1"/>
    <w:next w:val="1"/>
    <w:qFormat/>
    <w:uiPriority w:val="0"/>
    <w:pPr>
      <w:ind w:left="800" w:leftChars="800"/>
    </w:pPr>
    <w:rPr>
      <w:rFonts w:ascii="Calibri" w:hAnsi="Calibri"/>
      <w:szCs w:val="22"/>
    </w:rPr>
  </w:style>
  <w:style w:type="paragraph" w:styleId="24">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75"/>
    <w:qFormat/>
    <w:uiPriority w:val="0"/>
    <w:rPr>
      <w:rFonts w:ascii="宋体" w:hAnsi="Courier New"/>
      <w:szCs w:val="20"/>
    </w:rPr>
  </w:style>
  <w:style w:type="paragraph" w:styleId="26">
    <w:name w:val="toc 8"/>
    <w:basedOn w:val="1"/>
    <w:next w:val="1"/>
    <w:qFormat/>
    <w:uiPriority w:val="0"/>
    <w:pPr>
      <w:ind w:left="1400" w:leftChars="1400"/>
    </w:pPr>
    <w:rPr>
      <w:rFonts w:ascii="Calibri" w:hAnsi="Calibri"/>
      <w:szCs w:val="22"/>
    </w:rPr>
  </w:style>
  <w:style w:type="paragraph" w:styleId="27">
    <w:name w:val="Date"/>
    <w:basedOn w:val="1"/>
    <w:next w:val="1"/>
    <w:link w:val="64"/>
    <w:qFormat/>
    <w:uiPriority w:val="0"/>
    <w:pPr>
      <w:numPr>
        <w:ilvl w:val="0"/>
        <w:numId w:val="4"/>
      </w:numPr>
      <w:ind w:left="100" w:leftChars="2500"/>
    </w:pPr>
  </w:style>
  <w:style w:type="paragraph" w:styleId="28">
    <w:name w:val="Body Text Indent 2"/>
    <w:basedOn w:val="1"/>
    <w:link w:val="72"/>
    <w:qFormat/>
    <w:uiPriority w:val="0"/>
    <w:pPr>
      <w:spacing w:line="480" w:lineRule="exact"/>
      <w:ind w:left="810" w:firstLine="675"/>
    </w:pPr>
    <w:rPr>
      <w:rFonts w:eastAsia="仿宋_GB2312"/>
      <w:sz w:val="30"/>
      <w:szCs w:val="20"/>
    </w:rPr>
  </w:style>
  <w:style w:type="paragraph" w:styleId="29">
    <w:name w:val="Balloon Text"/>
    <w:basedOn w:val="1"/>
    <w:link w:val="87"/>
    <w:qFormat/>
    <w:uiPriority w:val="0"/>
    <w:rPr>
      <w:sz w:val="18"/>
      <w:szCs w:val="18"/>
    </w:rPr>
  </w:style>
  <w:style w:type="paragraph" w:styleId="30">
    <w:name w:val="footer"/>
    <w:basedOn w:val="1"/>
    <w:link w:val="133"/>
    <w:qFormat/>
    <w:uiPriority w:val="0"/>
    <w:pPr>
      <w:tabs>
        <w:tab w:val="center" w:pos="4153"/>
        <w:tab w:val="right" w:pos="8306"/>
      </w:tabs>
      <w:snapToGrid w:val="0"/>
      <w:jc w:val="left"/>
    </w:pPr>
    <w:rPr>
      <w:sz w:val="18"/>
      <w:szCs w:val="20"/>
    </w:rPr>
  </w:style>
  <w:style w:type="paragraph" w:styleId="31">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2">
    <w:name w:val="toc 1"/>
    <w:basedOn w:val="1"/>
    <w:next w:val="1"/>
    <w:qFormat/>
    <w:uiPriority w:val="39"/>
    <w:pPr>
      <w:tabs>
        <w:tab w:val="right" w:leader="dot" w:pos="8949"/>
      </w:tabs>
      <w:spacing w:before="120" w:after="120"/>
      <w:jc w:val="left"/>
    </w:pPr>
    <w:rPr>
      <w:b/>
      <w:bCs/>
      <w:caps/>
      <w:szCs w:val="21"/>
    </w:rPr>
  </w:style>
  <w:style w:type="paragraph" w:styleId="33">
    <w:name w:val="toc 4"/>
    <w:basedOn w:val="1"/>
    <w:next w:val="1"/>
    <w:qFormat/>
    <w:uiPriority w:val="0"/>
    <w:pPr>
      <w:ind w:left="600" w:leftChars="600"/>
    </w:pPr>
    <w:rPr>
      <w:rFonts w:ascii="Calibri" w:hAnsi="Calibri"/>
      <w:szCs w:val="22"/>
    </w:rPr>
  </w:style>
  <w:style w:type="paragraph" w:styleId="34">
    <w:name w:val="index heading"/>
    <w:basedOn w:val="1"/>
    <w:next w:val="35"/>
    <w:qFormat/>
    <w:uiPriority w:val="0"/>
    <w:rPr>
      <w:szCs w:val="20"/>
    </w:rPr>
  </w:style>
  <w:style w:type="paragraph" w:styleId="35">
    <w:name w:val="index 1"/>
    <w:basedOn w:val="1"/>
    <w:next w:val="1"/>
    <w:qFormat/>
    <w:uiPriority w:val="0"/>
  </w:style>
  <w:style w:type="paragraph" w:styleId="36">
    <w:name w:val="List"/>
    <w:basedOn w:val="1"/>
    <w:qFormat/>
    <w:uiPriority w:val="0"/>
    <w:pPr>
      <w:ind w:left="200" w:hanging="200" w:hangingChars="200"/>
    </w:pPr>
  </w:style>
  <w:style w:type="paragraph" w:styleId="37">
    <w:name w:val="toc 6"/>
    <w:basedOn w:val="1"/>
    <w:next w:val="1"/>
    <w:qFormat/>
    <w:uiPriority w:val="0"/>
    <w:pPr>
      <w:ind w:left="1000" w:leftChars="1000"/>
    </w:pPr>
    <w:rPr>
      <w:rFonts w:ascii="Calibri" w:hAnsi="Calibri"/>
      <w:szCs w:val="22"/>
    </w:rPr>
  </w:style>
  <w:style w:type="paragraph" w:styleId="38">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qFormat/>
    <w:uiPriority w:val="0"/>
    <w:pPr>
      <w:ind w:left="1600" w:leftChars="1600"/>
    </w:pPr>
    <w:rPr>
      <w:rFonts w:ascii="Calibri" w:hAnsi="Calibri"/>
      <w:szCs w:val="22"/>
    </w:rPr>
  </w:style>
  <w:style w:type="paragraph" w:styleId="41">
    <w:name w:val="Body Text 2"/>
    <w:basedOn w:val="1"/>
    <w:link w:val="102"/>
    <w:qFormat/>
    <w:uiPriority w:val="0"/>
    <w:pPr>
      <w:spacing w:line="360" w:lineRule="auto"/>
    </w:pPr>
    <w:rPr>
      <w:rFonts w:ascii="仿宋_GB2312" w:eastAsia="仿宋_GB2312"/>
      <w:sz w:val="32"/>
    </w:rPr>
  </w:style>
  <w:style w:type="paragraph" w:styleId="42">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qFormat/>
    <w:uiPriority w:val="0"/>
    <w:pPr>
      <w:ind w:left="420" w:hanging="210"/>
      <w:jc w:val="left"/>
    </w:pPr>
    <w:rPr>
      <w:sz w:val="20"/>
      <w:szCs w:val="20"/>
    </w:rPr>
  </w:style>
  <w:style w:type="paragraph" w:styleId="45">
    <w:name w:val="Body Text First Indent"/>
    <w:basedOn w:val="19"/>
    <w:link w:val="134"/>
    <w:qFormat/>
    <w:uiPriority w:val="0"/>
    <w:pPr>
      <w:ind w:firstLine="100" w:firstLineChars="100"/>
    </w:pPr>
    <w:rPr>
      <w:rFonts w:ascii="Calibri" w:hAnsi="Calibri"/>
      <w:szCs w:val="22"/>
    </w:rPr>
  </w:style>
  <w:style w:type="paragraph" w:styleId="46">
    <w:name w:val="Body Text First Indent 2"/>
    <w:basedOn w:val="20"/>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首行缩进"/>
    <w:basedOn w:val="1"/>
    <w:qFormat/>
    <w:uiPriority w:val="0"/>
    <w:pPr>
      <w:spacing w:line="360" w:lineRule="auto"/>
      <w:ind w:firstLine="480" w:firstLineChars="200"/>
    </w:pPr>
    <w:rPr>
      <w:rFonts w:ascii="宋体" w:hAnsi="宋体" w:cs="宋体"/>
      <w:kern w:val="0"/>
      <w:sz w:val="24"/>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48"/>
    <w:qFormat/>
    <w:uiPriority w:val="0"/>
  </w:style>
  <w:style w:type="character" w:customStyle="1" w:styleId="61">
    <w:name w:val="正文首行缩进 2 Char"/>
    <w:link w:val="46"/>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7"/>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6"/>
    <w:link w:val="69"/>
    <w:qFormat/>
    <w:uiPriority w:val="0"/>
  </w:style>
  <w:style w:type="character" w:customStyle="1" w:styleId="71">
    <w:name w:val="style71"/>
    <w:qFormat/>
    <w:uiPriority w:val="0"/>
    <w:rPr>
      <w:sz w:val="21"/>
      <w:szCs w:val="21"/>
    </w:rPr>
  </w:style>
  <w:style w:type="character" w:customStyle="1" w:styleId="72">
    <w:name w:val="正文文本缩进 2 Char"/>
    <w:link w:val="28"/>
    <w:qFormat/>
    <w:uiPriority w:val="0"/>
    <w:rPr>
      <w:rFonts w:eastAsia="仿宋_GB2312"/>
      <w:kern w:val="2"/>
      <w:sz w:val="30"/>
      <w:lang w:val="en-US" w:eastAsia="zh-CN" w:bidi="ar-SA"/>
    </w:rPr>
  </w:style>
  <w:style w:type="character" w:customStyle="1" w:styleId="73">
    <w:name w:val="正文文本缩进 3 Char"/>
    <w:link w:val="38"/>
    <w:qFormat/>
    <w:uiPriority w:val="0"/>
    <w:rPr>
      <w:rFonts w:ascii="宋体" w:hAnsi="宋体" w:eastAsia="宋体"/>
      <w:kern w:val="2"/>
      <w:sz w:val="21"/>
      <w:szCs w:val="24"/>
      <w:lang w:val="en-US" w:eastAsia="zh-CN" w:bidi="ar-SA"/>
    </w:rPr>
  </w:style>
  <w:style w:type="character" w:customStyle="1" w:styleId="74">
    <w:name w:val="ca-9"/>
    <w:basedOn w:val="48"/>
    <w:qFormat/>
    <w:uiPriority w:val="0"/>
  </w:style>
  <w:style w:type="character" w:customStyle="1" w:styleId="75">
    <w:name w:val="纯文本 Char"/>
    <w:link w:val="25"/>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19"/>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48"/>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29"/>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48"/>
    <w:qFormat/>
    <w:uiPriority w:val="0"/>
  </w:style>
  <w:style w:type="character" w:customStyle="1" w:styleId="90">
    <w:name w:val="不明显参考1"/>
    <w:qFormat/>
    <w:uiPriority w:val="0"/>
    <w:rPr>
      <w:smallCaps/>
      <w:color w:val="C0504D"/>
      <w:u w:val="single"/>
    </w:rPr>
  </w:style>
  <w:style w:type="character" w:customStyle="1" w:styleId="91">
    <w:name w:val="标题 9 Char"/>
    <w:link w:val="12"/>
    <w:qFormat/>
    <w:uiPriority w:val="0"/>
    <w:rPr>
      <w:rFonts w:ascii="Arial" w:hAnsi="Arial" w:eastAsia="黑体"/>
      <w:kern w:val="2"/>
      <w:sz w:val="21"/>
      <w:lang w:val="en-US" w:eastAsia="zh-CN" w:bidi="ar-SA"/>
    </w:rPr>
  </w:style>
  <w:style w:type="character" w:customStyle="1" w:styleId="92">
    <w:name w:val="标题 6 Char"/>
    <w:link w:val="9"/>
    <w:qFormat/>
    <w:uiPriority w:val="0"/>
    <w:rPr>
      <w:rFonts w:ascii="Arial" w:hAnsi="Arial" w:eastAsia="黑体"/>
      <w:b/>
      <w:kern w:val="2"/>
      <w:sz w:val="24"/>
      <w:lang w:val="en-US" w:eastAsia="zh-CN" w:bidi="ar-SA"/>
    </w:rPr>
  </w:style>
  <w:style w:type="character" w:customStyle="1" w:styleId="93">
    <w:name w:val="ca-10"/>
    <w:basedOn w:val="48"/>
    <w:qFormat/>
    <w:uiPriority w:val="0"/>
  </w:style>
  <w:style w:type="character" w:customStyle="1" w:styleId="94">
    <w:name w:val="标题 4 Char"/>
    <w:link w:val="6"/>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48"/>
    <w:qFormat/>
    <w:uiPriority w:val="0"/>
  </w:style>
  <w:style w:type="character" w:customStyle="1" w:styleId="99">
    <w:name w:val="标题 8 Char"/>
    <w:link w:val="11"/>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1"/>
    <w:qFormat/>
    <w:uiPriority w:val="0"/>
    <w:rPr>
      <w:rFonts w:ascii="仿宋_GB2312" w:eastAsia="仿宋_GB2312"/>
      <w:kern w:val="2"/>
      <w:sz w:val="32"/>
      <w:szCs w:val="24"/>
      <w:lang w:val="en-US" w:eastAsia="zh-CN" w:bidi="ar-SA"/>
    </w:rPr>
  </w:style>
  <w:style w:type="character" w:customStyle="1" w:styleId="103">
    <w:name w:val="标题 2 Char1"/>
    <w:link w:val="4"/>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8"/>
    <w:qFormat/>
    <w:uiPriority w:val="0"/>
    <w:rPr>
      <w:rFonts w:eastAsia="宋体"/>
      <w:b/>
      <w:kern w:val="2"/>
      <w:sz w:val="28"/>
      <w:lang w:val="en-US" w:eastAsia="zh-CN" w:bidi="ar-SA"/>
    </w:rPr>
  </w:style>
  <w:style w:type="character" w:customStyle="1" w:styleId="108">
    <w:name w:val="p12"/>
    <w:basedOn w:val="48"/>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0"/>
    <w:qFormat/>
    <w:uiPriority w:val="0"/>
    <w:rPr>
      <w:rFonts w:eastAsia="宋体"/>
      <w:b/>
      <w:kern w:val="2"/>
      <w:sz w:val="24"/>
      <w:lang w:val="en-US" w:eastAsia="zh-CN" w:bidi="ar-SA"/>
    </w:rPr>
  </w:style>
  <w:style w:type="character" w:customStyle="1" w:styleId="113">
    <w:name w:val="flname7"/>
    <w:basedOn w:val="48"/>
    <w:qFormat/>
    <w:uiPriority w:val="0"/>
  </w:style>
  <w:style w:type="character" w:customStyle="1" w:styleId="114">
    <w:name w:val="正文缩进 Char"/>
    <w:link w:val="5"/>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2"/>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20"/>
    <w:qFormat/>
    <w:uiPriority w:val="0"/>
    <w:rPr>
      <w:rFonts w:ascii="仿宋_GB2312" w:eastAsia="仿宋_GB2312"/>
      <w:sz w:val="28"/>
      <w:lang w:val="en-US" w:eastAsia="zh-CN" w:bidi="ar-SA"/>
    </w:rPr>
  </w:style>
  <w:style w:type="character" w:customStyle="1" w:styleId="125">
    <w:name w:val="页眉 Char"/>
    <w:link w:val="31"/>
    <w:qFormat/>
    <w:uiPriority w:val="99"/>
    <w:rPr>
      <w:rFonts w:eastAsia="宋体"/>
      <w:kern w:val="2"/>
      <w:sz w:val="18"/>
      <w:lang w:val="en-US" w:eastAsia="zh-CN" w:bidi="ar-SA"/>
    </w:rPr>
  </w:style>
  <w:style w:type="character" w:customStyle="1" w:styleId="126">
    <w:name w:val="标题 Char"/>
    <w:link w:val="7"/>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2"/>
    <w:qFormat/>
    <w:uiPriority w:val="0"/>
    <w:rPr>
      <w:i/>
      <w:kern w:val="2"/>
      <w:sz w:val="21"/>
      <w:szCs w:val="24"/>
    </w:rPr>
  </w:style>
  <w:style w:type="character" w:customStyle="1" w:styleId="131">
    <w:name w:val="标题 1 Char"/>
    <w:link w:val="3"/>
    <w:qFormat/>
    <w:uiPriority w:val="0"/>
    <w:rPr>
      <w:rFonts w:ascii="黑体" w:eastAsia="黑体"/>
      <w:bCs/>
      <w:kern w:val="44"/>
      <w:sz w:val="24"/>
      <w:szCs w:val="24"/>
    </w:rPr>
  </w:style>
  <w:style w:type="character" w:customStyle="1" w:styleId="132">
    <w:name w:val="批注文字 Char"/>
    <w:link w:val="17"/>
    <w:qFormat/>
    <w:uiPriority w:val="0"/>
    <w:rPr>
      <w:kern w:val="2"/>
      <w:sz w:val="24"/>
      <w:szCs w:val="24"/>
    </w:rPr>
  </w:style>
  <w:style w:type="character" w:customStyle="1" w:styleId="133">
    <w:name w:val="页脚 Char"/>
    <w:link w:val="30"/>
    <w:qFormat/>
    <w:uiPriority w:val="0"/>
    <w:rPr>
      <w:rFonts w:eastAsia="宋体"/>
      <w:kern w:val="2"/>
      <w:sz w:val="18"/>
      <w:lang w:val="en-US" w:eastAsia="zh-CN" w:bidi="ar-SA"/>
    </w:rPr>
  </w:style>
  <w:style w:type="character" w:customStyle="1" w:styleId="134">
    <w:name w:val="正文首行缩进 Char"/>
    <w:link w:val="45"/>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6"/>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6"/>
    <w:qFormat/>
    <w:uiPriority w:val="0"/>
    <w:pPr>
      <w:tabs>
        <w:tab w:val="left" w:pos="1914"/>
      </w:tabs>
      <w:spacing w:before="120" w:after="120"/>
      <w:ind w:left="1914" w:hanging="864"/>
    </w:pPr>
    <w:rPr>
      <w:rFonts w:ascii="宋体" w:hAnsi="宋体"/>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8"/>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2"/>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5"/>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2"/>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8"/>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6"/>
    <w:qFormat/>
    <w:uiPriority w:val="0"/>
    <w:pPr>
      <w:numPr>
        <w:ilvl w:val="3"/>
        <w:numId w:val="10"/>
      </w:numPr>
      <w:tabs>
        <w:tab w:val="left" w:pos="425"/>
        <w:tab w:val="clear" w:pos="1984"/>
      </w:tabs>
    </w:pPr>
    <w:rPr>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48"/>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48"/>
    <w:link w:val="18"/>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Table Paragraph"/>
    <w:basedOn w:val="1"/>
    <w:qFormat/>
    <w:uiPriority w:val="1"/>
    <w:rPr>
      <w:rFonts w:ascii="宋体" w:hAnsi="宋体" w:cs="宋体"/>
      <w:lang w:val="zh-CN" w:bidi="zh-CN"/>
    </w:rPr>
  </w:style>
  <w:style w:type="character" w:customStyle="1" w:styleId="311">
    <w:name w:val="weby11"/>
    <w:basedOn w:val="48"/>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27BD"/>
    <w:rsid w:val="000C3A0F"/>
    <w:rsid w:val="000E51F3"/>
    <w:rsid w:val="001103B0"/>
    <w:rsid w:val="001B3F57"/>
    <w:rsid w:val="00201C8D"/>
    <w:rsid w:val="00231C42"/>
    <w:rsid w:val="00294E78"/>
    <w:rsid w:val="002B3139"/>
    <w:rsid w:val="002C233F"/>
    <w:rsid w:val="00377AE3"/>
    <w:rsid w:val="003A1DB1"/>
    <w:rsid w:val="004024A0"/>
    <w:rsid w:val="005627B7"/>
    <w:rsid w:val="00596956"/>
    <w:rsid w:val="005B37C5"/>
    <w:rsid w:val="006452B2"/>
    <w:rsid w:val="00720E93"/>
    <w:rsid w:val="00730AB4"/>
    <w:rsid w:val="0074518B"/>
    <w:rsid w:val="007B18BA"/>
    <w:rsid w:val="007D2D95"/>
    <w:rsid w:val="008A1BA2"/>
    <w:rsid w:val="008E038D"/>
    <w:rsid w:val="009222E7"/>
    <w:rsid w:val="00974C20"/>
    <w:rsid w:val="00975BC4"/>
    <w:rsid w:val="009F1D17"/>
    <w:rsid w:val="00A520D0"/>
    <w:rsid w:val="00A62048"/>
    <w:rsid w:val="00B64CAE"/>
    <w:rsid w:val="00B72406"/>
    <w:rsid w:val="00C14AD7"/>
    <w:rsid w:val="00C57406"/>
    <w:rsid w:val="00D80BB6"/>
    <w:rsid w:val="00DD3956"/>
    <w:rsid w:val="00DD6105"/>
    <w:rsid w:val="00DD65DB"/>
    <w:rsid w:val="00DD7E7C"/>
    <w:rsid w:val="00E7527D"/>
    <w:rsid w:val="00EA39B5"/>
    <w:rsid w:val="00EA623C"/>
    <w:rsid w:val="00EF2421"/>
    <w:rsid w:val="00EF43C4"/>
    <w:rsid w:val="00FB4696"/>
    <w:rsid w:val="00FC445E"/>
    <w:rsid w:val="00FD1E0D"/>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7381</Words>
  <Characters>42074</Characters>
  <Lines>350</Lines>
  <Paragraphs>98</Paragraphs>
  <TotalTime>0</TotalTime>
  <ScaleCrop>false</ScaleCrop>
  <LinksUpToDate>false</LinksUpToDate>
  <CharactersWithSpaces>49357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710S</cp:lastModifiedBy>
  <cp:lastPrinted>2021-11-12T02:47:00Z</cp:lastPrinted>
  <dcterms:modified xsi:type="dcterms:W3CDTF">2021-11-18T10:03:36Z</dcterms:modified>
  <dc:title>货物公开招标</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E146189FBCA1459391C6C2FEC0D16837</vt:lpwstr>
  </property>
</Properties>
</file>