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360" w:lineRule="auto"/>
        <w:ind w:firstLine="420"/>
        <w:jc w:val="center"/>
        <w:rPr>
          <w:rFonts w:hint="eastAsia" w:ascii="宋体" w:hAnsi="宋体" w:eastAsia="宋体"/>
          <w:bCs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阳江市江城区教育局</w:t>
      </w:r>
      <w:r>
        <w:rPr>
          <w:rFonts w:hint="eastAsia"/>
          <w:color w:val="000000"/>
          <w:sz w:val="28"/>
          <w:szCs w:val="28"/>
          <w:lang w:eastAsia="zh-CN"/>
        </w:rPr>
        <w:t>高清音视频解码器采购</w:t>
      </w:r>
      <w:r>
        <w:rPr>
          <w:rFonts w:hint="eastAsia"/>
          <w:color w:val="000000"/>
          <w:sz w:val="28"/>
          <w:szCs w:val="28"/>
        </w:rPr>
        <w:t>清单</w:t>
      </w:r>
      <w:r>
        <w:rPr>
          <w:rFonts w:hint="eastAsia"/>
          <w:color w:val="000000"/>
          <w:sz w:val="28"/>
          <w:szCs w:val="28"/>
          <w:lang w:eastAsia="zh-CN"/>
        </w:rPr>
        <w:t>参数</w:t>
      </w:r>
    </w:p>
    <w:tbl>
      <w:tblPr>
        <w:tblStyle w:val="2"/>
        <w:tblpPr w:leftFromText="180" w:rightFromText="180" w:vertAnchor="text" w:horzAnchor="page" w:tblpX="1560" w:tblpY="196"/>
        <w:tblW w:w="92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804"/>
        <w:gridCol w:w="70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产品描述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9路高清音视频解码器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 应支持标准SIP2.0，支持SIP地址解析、信令转发，支持SIP URI统一命名规则、分级命名。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 应支持H.264视频编码，支持 G.711 和 AAC 音频编码，并支持 Program Stream 系统流和 Transition Stream 传输流的封装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，应兼容符合 2007 规范规定的MPEG4 视频编码格式（ Advanced Simple Profile 不带 B 帧，不带 GMC）。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 应支持大屏拼接功能，支持对电视墙的增加、删除，最多支持9个显示屏拼接。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 应支持1080P/720P/XGA/UXGA/SXGA电视墙分辨率显示，单屏支持1/4/9/16分屏输出。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 应具有2个10/100/1000M自适应网口、9路DVI-I视频输出接口、9路音频输出接口、1个RS232接口、1个RS485接口、1对LINE IN/OUT接口、4路报警输入/输出接口、2个USB3.0接口、1个WIFI口。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 应支持12路1200W、12路4K、48路1080P、108路720P及以下分辨率实时解码。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 应支持H.264、H.265、MPEG4编码格式视频解码上墙，PS、TS封装格式解码上墙，G.711、AAC音频格式解码。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 应支持TCP、UDP解码上墙，GB/T 28181、ONVIF协议传输视频解码上墙，1080P/720P/D1/4CIF/2CIF/CIF解码上墙。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 应支持报警联动视频切换对应视频通道。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 应支持回放上墙，可以快进、快退、暂停、拖动播放进度条跳转、快放、慢放操作。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 应支持轮切上墙功能，按照预案进行轮切上墙，支持独立轮巡和组合轮巡、定时间点轮巡和定时长轮巡。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12. 设备应支持新建窗口、缩放，支持窗口自动对齐。支持开窗、漫游、画中画、大屏拼接。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13. 应支持独立运行模式、巡查管理平台运行模式。以公安部检测报告为准。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14. 应支持修改通道分辨率及分屏数，支持解码、拼接功能。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15. 应支持使用web在线升级系统，支持设备配置文件导入导出功能，支持使用web远程重启设备，支持设备配置恢复出厂设置功能，支持日志导出功能。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16. 应支持查看设备的运行状态，CPU使用率、温度等信息。支持系统启动异常及运行异常时自动重启。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17. 应支持将多网口设置同一IP地址，实现数据链路冗余，当其中一条链路失效，不影响数据传输。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18. 应支持TCP/IP协议；SIP、RTP、RTCP等网络协议。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7013D"/>
    <w:rsid w:val="367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2021-11-02T08:35:00Z</dcterms:created>
  <dc:creator>业信</dc:creator>
  <cp:lastModifiedBy>业信</cp:lastModifiedBy>
  <dcterms:modified xsi:type="dcterms:W3CDTF">2021-11-02T08:36:03Z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B314CB9D0CB6489591032A4AE574B0C2</vt:lpwstr>
  </property>
</Properties>
</file>