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bookmarkStart w:id="0" w:name="_Toc491658631"/>
      <w:r>
        <w:rPr>
          <w:rFonts w:hint="eastAsia" w:hAnsi="宋体"/>
          <w:bCs/>
          <w:color w:val="000000" w:themeColor="text1"/>
          <w:sz w:val="32"/>
          <w:highlight w:val="none"/>
          <w14:textFill>
            <w14:solidFill>
              <w14:schemeClr w14:val="tx1"/>
            </w14:solidFill>
          </w14:textFill>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jc w:val="center"/>
        <w:rPr>
          <w:rFonts w:hAnsi="宋体" w:cs="宋体"/>
          <w:b/>
          <w:color w:val="000000" w:themeColor="text1"/>
          <w:kern w:val="0"/>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竞争性磋商</w:t>
      </w:r>
    </w:p>
    <w:p>
      <w:pPr>
        <w:pStyle w:val="26"/>
        <w:widowControl/>
        <w:adjustRightInd w:val="0"/>
        <w:snapToGrid w:val="0"/>
        <w:spacing w:line="360" w:lineRule="auto"/>
        <w:jc w:val="center"/>
        <w:rPr>
          <w:rFonts w:hAnsi="宋体"/>
          <w:b/>
          <w:bCs/>
          <w:color w:val="000000" w:themeColor="text1"/>
          <w:sz w:val="84"/>
          <w:szCs w:val="84"/>
          <w:highlight w:val="none"/>
          <w14:textFill>
            <w14:solidFill>
              <w14:schemeClr w14:val="tx1"/>
            </w14:solidFill>
          </w14:textFill>
        </w:rPr>
      </w:pPr>
    </w:p>
    <w:p>
      <w:pPr>
        <w:pStyle w:val="26"/>
        <w:widowControl/>
        <w:adjustRightInd w:val="0"/>
        <w:snapToGrid w:val="0"/>
        <w:spacing w:line="360" w:lineRule="auto"/>
        <w:jc w:val="center"/>
        <w:rPr>
          <w:rFonts w:hint="eastAsia" w:hAnsi="宋体"/>
          <w:b/>
          <w:bCs/>
          <w:color w:val="000000" w:themeColor="text1"/>
          <w:sz w:val="84"/>
          <w:szCs w:val="84"/>
          <w:highlight w:val="none"/>
          <w14:textFill>
            <w14:solidFill>
              <w14:schemeClr w14:val="tx1"/>
            </w14:solidFill>
          </w14:textFill>
        </w:rPr>
      </w:pPr>
      <w:r>
        <w:rPr>
          <w:rFonts w:hint="eastAsia" w:hAnsi="宋体" w:cs="宋体"/>
          <w:b/>
          <w:color w:val="000000" w:themeColor="text1"/>
          <w:kern w:val="0"/>
          <w:sz w:val="84"/>
          <w:szCs w:val="84"/>
          <w:highlight w:val="none"/>
          <w14:textFill>
            <w14:solidFill>
              <w14:schemeClr w14:val="tx1"/>
            </w14:solidFill>
          </w14:textFill>
        </w:rPr>
        <w:t>磋  商</w:t>
      </w:r>
      <w:r>
        <w:rPr>
          <w:rFonts w:hint="eastAsia" w:hAnsi="宋体"/>
          <w:b/>
          <w:bCs/>
          <w:color w:val="000000" w:themeColor="text1"/>
          <w:sz w:val="84"/>
          <w:szCs w:val="84"/>
          <w:highlight w:val="none"/>
          <w14:textFill>
            <w14:solidFill>
              <w14:schemeClr w14:val="tx1"/>
            </w14:solidFill>
          </w14:textFill>
        </w:rPr>
        <w:t xml:space="preserve">  文  件</w:t>
      </w:r>
    </w:p>
    <w:p>
      <w:pPr>
        <w:pStyle w:val="26"/>
        <w:widowControl/>
        <w:adjustRightInd w:val="0"/>
        <w:snapToGrid w:val="0"/>
        <w:spacing w:line="360" w:lineRule="auto"/>
        <w:jc w:val="center"/>
        <w:rPr>
          <w:rFonts w:hint="eastAsia" w:hAnsi="宋体" w:eastAsia="宋体"/>
          <w:b/>
          <w:bCs/>
          <w:color w:val="000000" w:themeColor="text1"/>
          <w:sz w:val="52"/>
          <w:szCs w:val="52"/>
          <w:highlight w:val="none"/>
          <w:lang w:eastAsia="zh-CN"/>
          <w14:textFill>
            <w14:solidFill>
              <w14:schemeClr w14:val="tx1"/>
            </w14:solidFill>
          </w14:textFill>
        </w:rPr>
      </w:pPr>
      <w:r>
        <w:rPr>
          <w:rFonts w:hint="eastAsia" w:hAnsi="宋体"/>
          <w:b/>
          <w:bCs/>
          <w:color w:val="000000" w:themeColor="text1"/>
          <w:sz w:val="52"/>
          <w:szCs w:val="52"/>
          <w:highlight w:val="none"/>
          <w:lang w:eastAsia="zh-CN"/>
          <w14:textFill>
            <w14:solidFill>
              <w14:schemeClr w14:val="tx1"/>
            </w14:solidFill>
          </w14:textFill>
        </w:rPr>
        <w:t>（</w:t>
      </w:r>
      <w:r>
        <w:rPr>
          <w:rFonts w:hint="eastAsia" w:hAnsi="宋体"/>
          <w:b/>
          <w:bCs/>
          <w:color w:val="000000" w:themeColor="text1"/>
          <w:sz w:val="52"/>
          <w:szCs w:val="52"/>
          <w:highlight w:val="none"/>
          <w:lang w:val="en-US" w:eastAsia="zh-CN"/>
          <w14:textFill>
            <w14:solidFill>
              <w14:schemeClr w14:val="tx1"/>
            </w14:solidFill>
          </w14:textFill>
        </w:rPr>
        <w:t>论证版</w:t>
      </w:r>
      <w:r>
        <w:rPr>
          <w:rFonts w:hint="eastAsia" w:hAnsi="宋体"/>
          <w:b/>
          <w:bCs/>
          <w:color w:val="000000" w:themeColor="text1"/>
          <w:sz w:val="52"/>
          <w:szCs w:val="52"/>
          <w:highlight w:val="none"/>
          <w:lang w:eastAsia="zh-CN"/>
          <w14:textFill>
            <w14:solidFill>
              <w14:schemeClr w14:val="tx1"/>
            </w14:solidFill>
          </w14:textFill>
        </w:rPr>
        <w:t>）</w:t>
      </w:r>
    </w:p>
    <w:p>
      <w:pPr>
        <w:pStyle w:val="26"/>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32"/>
          <w:szCs w:val="32"/>
          <w:highlight w:val="none"/>
          <w14:textFill>
            <w14:solidFill>
              <w14:schemeClr w14:val="tx1"/>
            </w14:solidFill>
          </w14:textFill>
        </w:rPr>
      </w:pPr>
    </w:p>
    <w:p>
      <w:pPr>
        <w:pStyle w:val="26"/>
        <w:widowControl/>
        <w:adjustRightInd w:val="0"/>
        <w:snapToGrid w:val="0"/>
        <w:spacing w:line="360" w:lineRule="auto"/>
        <w:rPr>
          <w:rFonts w:hAnsi="宋体"/>
          <w:bCs/>
          <w:color w:val="000000" w:themeColor="text1"/>
          <w:sz w:val="36"/>
          <w:szCs w:val="36"/>
          <w:highlight w:val="none"/>
          <w14:textFill>
            <w14:solidFill>
              <w14:schemeClr w14:val="tx1"/>
            </w14:solidFill>
          </w14:textFill>
        </w:rPr>
      </w:pPr>
    </w:p>
    <w:tbl>
      <w:tblPr>
        <w:tblStyle w:val="51"/>
        <w:tblW w:w="9752" w:type="dxa"/>
        <w:tblInd w:w="0" w:type="dxa"/>
        <w:tblLayout w:type="fixed"/>
        <w:tblCellMar>
          <w:top w:w="0" w:type="dxa"/>
          <w:left w:w="108" w:type="dxa"/>
          <w:bottom w:w="0" w:type="dxa"/>
          <w:right w:w="108" w:type="dxa"/>
        </w:tblCellMar>
      </w:tblPr>
      <w:tblGrid>
        <w:gridCol w:w="1951"/>
        <w:gridCol w:w="284"/>
        <w:gridCol w:w="7517"/>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YXCG-20210812</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阳江市公安局阳东分局交通违法及事故车辆拖车、保管项目（二次招标）</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517"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hAnsi="宋体"/>
          <w:b/>
          <w:bCs/>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二○</w:t>
      </w:r>
      <w:r>
        <w:rPr>
          <w:rFonts w:hint="eastAsia" w:hAnsi="宋体"/>
          <w:b/>
          <w:bCs/>
          <w:color w:val="000000" w:themeColor="text1"/>
          <w:sz w:val="24"/>
          <w:highlight w:val="none"/>
          <w:lang w:eastAsia="zh-CN"/>
          <w14:textFill>
            <w14:solidFill>
              <w14:schemeClr w14:val="tx1"/>
            </w14:solidFill>
          </w14:textFill>
        </w:rPr>
        <w:t>二一</w:t>
      </w:r>
      <w:r>
        <w:rPr>
          <w:rFonts w:hint="eastAsia" w:hAnsi="宋体"/>
          <w:b/>
          <w:bCs/>
          <w:color w:val="000000" w:themeColor="text1"/>
          <w:sz w:val="24"/>
          <w:highlight w:val="none"/>
          <w14:textFill>
            <w14:solidFill>
              <w14:schemeClr w14:val="tx1"/>
            </w14:solidFill>
          </w14:textFill>
        </w:rPr>
        <w:t>年</w:t>
      </w:r>
      <w:r>
        <w:rPr>
          <w:rFonts w:hint="eastAsia" w:hAnsi="宋体"/>
          <w:b/>
          <w:bCs/>
          <w:color w:val="000000" w:themeColor="text1"/>
          <w:sz w:val="24"/>
          <w:highlight w:val="none"/>
          <w:lang w:eastAsia="zh-CN"/>
          <w14:textFill>
            <w14:solidFill>
              <w14:schemeClr w14:val="tx1"/>
            </w14:solidFill>
          </w14:textFill>
        </w:rPr>
        <w:t>九</w:t>
      </w:r>
      <w:r>
        <w:rPr>
          <w:rFonts w:hint="eastAsia" w:hAnsi="宋体"/>
          <w:b/>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请供应商特别留意磋商文件上注明的投标截止和开标时间，逾期送达或邮寄送达的磋商</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709" w:hanging="709"/>
        <w:rPr>
          <w:rFonts w:ascii="宋体" w:hAnsi="宋体"/>
          <w:b/>
          <w:color w:val="000000" w:themeColor="text1"/>
          <w:szCs w:val="21"/>
          <w:highlight w:val="none"/>
          <w:u w:val="singl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磋商文件中标有“★”的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请仔细检查《磋商邀请函》、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磋商响应文件</w:t>
      </w:r>
      <w:r>
        <w:rPr>
          <w:rFonts w:ascii="宋体" w:hAnsi="宋体"/>
          <w:color w:val="000000" w:themeColor="text1"/>
          <w:szCs w:val="21"/>
          <w:highlight w:val="none"/>
          <w14:textFill>
            <w14:solidFill>
              <w14:schemeClr w14:val="tx1"/>
            </w14:solidFill>
          </w14:textFill>
        </w:rPr>
        <w:t>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磋商小组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6"/>
        <w:widowControl/>
        <w:adjustRightInd w:val="0"/>
        <w:snapToGrid w:val="0"/>
        <w:spacing w:line="440" w:lineRule="exact"/>
        <w:ind w:firstLine="413" w:firstLineChars="196"/>
        <w:rPr>
          <w:rFonts w:hAnsi="宋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（本提示内容非磋商文件的组成部分，仅为善意提醒。如有不一致，以磋商文件为准。）</w:t>
      </w:r>
    </w:p>
    <w:p>
      <w:pPr>
        <w:pStyle w:val="26"/>
        <w:widowControl/>
        <w:adjustRightInd w:val="0"/>
        <w:snapToGrid w:val="0"/>
        <w:spacing w:line="360" w:lineRule="auto"/>
        <w:jc w:val="center"/>
        <w:rPr>
          <w:rFonts w:hAnsi="宋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 w:val="0"/>
          <w:bCs w:val="0"/>
          <w:caps w:val="0"/>
          <w:color w:val="000000" w:themeColor="text1"/>
          <w:highlight w:val="none"/>
          <w14:textFill>
            <w14:solidFill>
              <w14:schemeClr w14:val="tx1"/>
            </w14:solidFill>
          </w14:textFill>
        </w:rPr>
        <w:fldChar w:fldCharType="begin"/>
      </w:r>
      <w:r>
        <w:rPr>
          <w:rFonts w:ascii="宋体" w:hAnsi="宋体"/>
          <w:b w:val="0"/>
          <w:bCs w:val="0"/>
          <w:caps w:val="0"/>
          <w:color w:val="000000" w:themeColor="text1"/>
          <w:highlight w:val="none"/>
          <w14:textFill>
            <w14:solidFill>
              <w14:schemeClr w14:val="tx1"/>
            </w14:solidFill>
          </w14:textFill>
        </w:rPr>
        <w:instrText xml:space="preserve"> TOC \o "1-3" \h \z \u </w:instrText>
      </w:r>
      <w:r>
        <w:rPr>
          <w:rFonts w:ascii="宋体" w:hAnsi="宋体"/>
          <w:b w:val="0"/>
          <w:bCs w:val="0"/>
          <w:caps w:val="0"/>
          <w:color w:val="000000" w:themeColor="text1"/>
          <w:highlight w:val="none"/>
          <w14:textFill>
            <w14:solidFill>
              <w14:schemeClr w14:val="tx1"/>
            </w14:solidFill>
          </w14:textFill>
        </w:rPr>
        <w:fldChar w:fldCharType="separate"/>
      </w:r>
      <w:r>
        <w:rPr>
          <w:rFonts w:ascii="宋体" w:hAnsi="宋体"/>
          <w:bCs w:val="0"/>
          <w:caps w:val="0"/>
          <w:color w:val="000000" w:themeColor="text1"/>
          <w:highlight w:val="none"/>
          <w14:textFill>
            <w14:solidFill>
              <w14:schemeClr w14:val="tx1"/>
            </w14:solidFill>
          </w14:textFill>
        </w:rPr>
        <w:fldChar w:fldCharType="begin"/>
      </w:r>
      <w:r>
        <w:rPr>
          <w:rFonts w:ascii="宋体" w:hAnsi="宋体"/>
          <w:bCs w:val="0"/>
          <w:caps w:val="0"/>
          <w:color w:val="000000" w:themeColor="text1"/>
          <w:highlight w:val="none"/>
          <w14:textFill>
            <w14:solidFill>
              <w14:schemeClr w14:val="tx1"/>
            </w14:solidFill>
          </w14:textFill>
        </w:rPr>
        <w:instrText xml:space="preserve"> HYPERLINK \l _Toc14921 </w:instrText>
      </w:r>
      <w:r>
        <w:rPr>
          <w:rFonts w:ascii="宋体" w:hAnsi="宋体"/>
          <w:bCs w:val="0"/>
          <w:caps w:val="0"/>
          <w:color w:val="000000" w:themeColor="text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第一部分 竞争性磋商邀请书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rFonts w:ascii="宋体" w:hAnsi="宋体"/>
          <w:bCs w:val="0"/>
          <w:caps w:val="0"/>
          <w:color w:val="000000" w:themeColor="text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_Toc6855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_Toc29084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lang w:eastAsia="zh-CN"/>
          <w14:textFill>
            <w14:solidFill>
              <w14:schemeClr w14:val="tx1"/>
            </w14:solidFill>
          </w14:textFill>
        </w:rPr>
        <w:t>YXCG-20210812</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_Toc12065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color w:val="000000" w:themeColor="text1"/>
          <w:szCs w:val="21"/>
          <w:highlight w:val="none"/>
          <w:lang w:eastAsia="zh-CN"/>
          <w14:textFill>
            <w14:solidFill>
              <w14:schemeClr w14:val="tx1"/>
            </w14:solidFill>
          </w14:textFill>
        </w:rPr>
        <w:t>阳江市公安局阳东分局交通违法及事故车辆拖车、保管项目（二次招标）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_Toc28593 </w:instrText>
      </w:r>
      <w:r>
        <w:rPr>
          <w:rFonts w:ascii="宋体" w:hAnsi="宋体"/>
          <w:bCs/>
          <w:caps/>
          <w:color w:val="000000" w:themeColor="text1"/>
          <w:szCs w:val="21"/>
          <w:highlight w:val="none"/>
          <w14:textFill>
            <w14:solidFill>
              <w14:schemeClr w14:val="tx1"/>
            </w14:solidFill>
          </w14:textFill>
        </w:rPr>
        <w:fldChar w:fldCharType="separate"/>
      </w:r>
      <w:r>
        <w:rPr>
          <w:rFonts w:ascii="宋体" w:hAnsi="宋体"/>
          <w:color w:val="000000" w:themeColor="text1"/>
          <w:kern w:val="0"/>
          <w:highlight w:val="none"/>
          <w14:textFill>
            <w14:solidFill>
              <w14:schemeClr w14:val="tx1"/>
            </w14:solidFill>
          </w14:textFill>
        </w:rPr>
        <w:t xml:space="preserve">A  </w:t>
      </w:r>
      <w:r>
        <w:rPr>
          <w:rFonts w:hint="eastAsia" w:ascii="宋体" w:hAnsi="宋体"/>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_Toc17687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_Toc14418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en-US" w:eastAsia="zh-CN"/>
          <w14:textFill>
            <w14:solidFill>
              <w14:schemeClr w14:val="tx1"/>
            </w14:solidFill>
          </w14:textFill>
        </w:rPr>
        <w:t>一、项目</w:t>
      </w:r>
      <w:r>
        <w:rPr>
          <w:rFonts w:hint="eastAsia" w:ascii="宋体" w:hAnsi="宋体" w:eastAsia="宋体" w:cs="宋体"/>
          <w:color w:val="000000" w:themeColor="text1"/>
          <w:szCs w:val="2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_Toc6732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第三部分 磋商须知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_Toc16271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_Toc13215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一、说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_Toc7063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二、磋商文件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_Toc2086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三、响应文件的编制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_Toc16957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四、磋商报价要求和供应商资格证明文件的要求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_Toc3360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五、保证金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_Toc6069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六、响应文件的份数、封装和递交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_Toc29226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七、磋商的步骤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hAnsi="宋体"/>
          <w:color w:val="000000" w:themeColor="text1"/>
          <w:highlight w:val="none"/>
          <w14:textFill>
            <w14:solidFill>
              <w14:schemeClr w14:val="tx1"/>
            </w14:solidFill>
          </w14:textFill>
        </w:rPr>
        <w:t>八、确定成交供应商办法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九、质疑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_Toc30077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十、成交服务费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_Toc25906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十一、合同的订立和履行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_Toc23916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十二、适用法律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_Toc19747 </w:instrText>
      </w:r>
      <w:r>
        <w:rPr>
          <w:rFonts w:ascii="宋体" w:hAnsi="宋体"/>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第四部分磋商、评审、成交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_Toc10621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_Toc13278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 xml:space="preserve">第五部分  </w:t>
      </w:r>
      <w:r>
        <w:rPr>
          <w:rFonts w:hint="eastAsia" w:ascii="宋体" w:hAnsi="宋体"/>
          <w:color w:val="000000" w:themeColor="text1"/>
          <w:szCs w:val="21"/>
          <w:highlight w:val="none"/>
          <w14:textFill>
            <w14:solidFill>
              <w14:schemeClr w14:val="tx1"/>
            </w14:solidFill>
          </w14:textFill>
        </w:rPr>
        <w:t>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34"/>
        <w:tabs>
          <w:tab w:val="right" w:leader="dot" w:pos="8959"/>
          <w:tab w:val="clear" w:pos="8949"/>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_Toc4250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第六部分磋商响应文件格式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_Toc14399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_Toc13178 </w:instrText>
      </w:r>
      <w:r>
        <w:rPr>
          <w:rFonts w:ascii="宋体" w:hAnsi="宋体"/>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第一章 </w:t>
      </w:r>
      <w:r>
        <w:rPr>
          <w:rFonts w:hint="eastAsia" w:ascii="宋体" w:hAnsi="宋体"/>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_Toc10297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1.1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_Toc8152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_Toc23504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kern w:val="0"/>
          <w:szCs w:val="28"/>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_Toc4634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_Toc30874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（四） 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_Toc4403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第二章  磋商响应文件商务及技术部分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_Toc27271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附件一：磋商邀请函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_Toc7904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_Toc969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附件三：磋商分项报价</w:t>
      </w:r>
      <w:r>
        <w:rPr>
          <w:rFonts w:ascii="宋体" w:hAnsi="宋体"/>
          <w:color w:val="000000" w:themeColor="text1"/>
          <w:szCs w:val="28"/>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_Toc18017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_Toc1293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_Toc26205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_Toc6243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附件七：</w:t>
      </w:r>
      <w:r>
        <w:rPr>
          <w:rFonts w:hint="eastAsia" w:hAnsi="黑体" w:cs="黑体"/>
          <w:color w:val="000000" w:themeColor="text1"/>
          <w:szCs w:val="28"/>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_Toc13978 </w:instrText>
      </w:r>
      <w:r>
        <w:rPr>
          <w:rFonts w:ascii="宋体" w:hAnsi="宋体"/>
          <w:bCs/>
          <w:caps/>
          <w:color w:val="000000" w:themeColor="text1"/>
          <w:szCs w:val="21"/>
          <w:highlight w:val="none"/>
          <w14:textFill>
            <w14:solidFill>
              <w14:schemeClr w14:val="tx1"/>
            </w14:solidFill>
          </w14:textFill>
        </w:rPr>
        <w:fldChar w:fldCharType="separate"/>
      </w:r>
      <w:r>
        <w:rPr>
          <w:rFonts w:hint="eastAsia"/>
          <w:color w:val="000000" w:themeColor="text1"/>
          <w:szCs w:val="28"/>
          <w:highlight w:val="none"/>
          <w14:textFill>
            <w14:solidFill>
              <w14:schemeClr w14:val="tx1"/>
            </w14:solidFill>
          </w14:textFill>
        </w:rPr>
        <w:t>附件八：</w:t>
      </w:r>
      <w:r>
        <w:rPr>
          <w:rFonts w:hint="eastAsia" w:hAnsi="黑体" w:cs="黑体"/>
          <w:color w:val="000000" w:themeColor="text1"/>
          <w:szCs w:val="28"/>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_Toc23692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_Toc20645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28"/>
          <w:highlight w:val="none"/>
          <w14:textFill>
            <w14:solidFill>
              <w14:schemeClr w14:val="tx1"/>
            </w14:solidFill>
          </w14:textFill>
        </w:rPr>
        <w:t>附件十：磋商供应商提交的其他资料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42"/>
        <w:tabs>
          <w:tab w:val="right" w:leader="dot" w:pos="8959"/>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_Toc19328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pStyle w:val="25"/>
        <w:tabs>
          <w:tab w:val="right" w:leader="dot" w:pos="8959"/>
          <w:tab w:val="clear" w:pos="840"/>
          <w:tab w:val="clear" w:pos="1004"/>
          <w:tab w:val="clear" w:pos="8948"/>
        </w:tabs>
        <w:rPr>
          <w:color w:val="000000" w:themeColor="text1"/>
          <w:highlight w:val="none"/>
          <w14:textFill>
            <w14:solidFill>
              <w14:schemeClr w14:val="tx1"/>
            </w14:solidFill>
          </w14:textFill>
        </w:rPr>
      </w:pPr>
      <w:r>
        <w:rPr>
          <w:rFonts w:ascii="宋体" w:hAnsi="宋体"/>
          <w:bCs/>
          <w:caps/>
          <w:color w:val="000000" w:themeColor="text1"/>
          <w:szCs w:val="21"/>
          <w:highlight w:val="none"/>
          <w14:textFill>
            <w14:solidFill>
              <w14:schemeClr w14:val="tx1"/>
            </w14:solidFill>
          </w14:textFill>
        </w:rPr>
        <w:fldChar w:fldCharType="begin"/>
      </w:r>
      <w:r>
        <w:rPr>
          <w:rFonts w:ascii="宋体" w:hAnsi="宋体"/>
          <w:bCs/>
          <w:caps/>
          <w:color w:val="000000" w:themeColor="text1"/>
          <w:szCs w:val="21"/>
          <w:highlight w:val="none"/>
          <w14:textFill>
            <w14:solidFill>
              <w14:schemeClr w14:val="tx1"/>
            </w14:solidFill>
          </w14:textFill>
        </w:rPr>
        <w:instrText xml:space="preserve"> HYPERLINK \l _Toc31402 </w:instrText>
      </w:r>
      <w:r>
        <w:rPr>
          <w:rFonts w:ascii="宋体" w:hAnsi="宋体"/>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ascii="宋体" w:hAnsi="宋体"/>
          <w:bCs/>
          <w:caps/>
          <w:color w:val="000000" w:themeColor="text1"/>
          <w:szCs w:val="21"/>
          <w:highlight w:val="none"/>
          <w14:textFill>
            <w14:solidFill>
              <w14:schemeClr w14:val="tx1"/>
            </w14:solidFill>
          </w14:textFill>
        </w:rPr>
        <w:fldChar w:fldCharType="end"/>
      </w:r>
    </w:p>
    <w:p>
      <w:pPr>
        <w:rPr>
          <w:rFonts w:ascii="宋体" w:hAnsi="宋体"/>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 w:name="_Toc339020186"/>
      <w:bookmarkStart w:id="2" w:name="_Toc349127583"/>
      <w:bookmarkStart w:id="3" w:name="_Toc339441044"/>
      <w:bookmarkStart w:id="4" w:name="_Toc339020048"/>
      <w:bookmarkStart w:id="5" w:name="_Toc331683994"/>
      <w:bookmarkStart w:id="6" w:name="_Toc340507403"/>
      <w:bookmarkStart w:id="7" w:name="_Toc342060322"/>
      <w:bookmarkStart w:id="8" w:name="_Toc365967002"/>
      <w:bookmarkStart w:id="9" w:name="_Toc330459945"/>
      <w:bookmarkStart w:id="10" w:name="_Toc331512856"/>
      <w:bookmarkStart w:id="11" w:name="_Toc350438702"/>
      <w:bookmarkStart w:id="12" w:name="_Toc333237723"/>
      <w:bookmarkStart w:id="13" w:name="_Toc333935278"/>
      <w:bookmarkStart w:id="14" w:name="_Toc336681537"/>
      <w:bookmarkStart w:id="15" w:name="_Toc332206657"/>
      <w:bookmarkStart w:id="16" w:name="_Toc340672830"/>
      <w:bookmarkStart w:id="17" w:name="_Toc349143546"/>
      <w:bookmarkStart w:id="18" w:name="_Toc340677031"/>
      <w:bookmarkStart w:id="19" w:name="_Toc14921"/>
      <w:bookmarkStart w:id="20" w:name="_Toc345513762"/>
      <w:bookmarkStart w:id="21" w:name="_Toc337632315"/>
      <w:bookmarkStart w:id="22" w:name="_Toc333238571"/>
      <w:bookmarkStart w:id="23" w:name="_Toc339019954"/>
      <w:bookmarkStart w:id="24" w:name="_Toc333935619"/>
      <w:bookmarkStart w:id="25" w:name="_Toc365985108"/>
      <w:bookmarkStart w:id="26" w:name="_Toc339362257"/>
      <w:bookmarkStart w:id="27" w:name="_Toc366072457"/>
      <w:bookmarkStart w:id="28" w:name="_Toc333237612"/>
      <w:bookmarkStart w:id="29" w:name="_Toc350756403"/>
      <w:bookmarkStart w:id="30" w:name="_Toc336681892"/>
      <w:bookmarkStart w:id="31" w:name="_Toc341348291"/>
      <w:bookmarkStart w:id="32" w:name="_Toc342296708"/>
      <w:bookmarkStart w:id="33" w:name="_Toc332270305"/>
      <w:bookmarkStart w:id="34" w:name="_Toc339019828"/>
      <w:bookmarkStart w:id="35" w:name="_Toc500860978"/>
      <w:r>
        <w:rPr>
          <w:rFonts w:hint="eastAsia" w:ascii="宋体" w:hAnsi="宋体" w:eastAsia="宋体"/>
          <w:b/>
          <w:color w:val="000000" w:themeColor="text1"/>
          <w:highlight w:val="none"/>
          <w14:textFill>
            <w14:solidFill>
              <w14:schemeClr w14:val="tx1"/>
            </w14:solidFill>
          </w14:textFill>
        </w:rPr>
        <w:t>第一</w:t>
      </w:r>
      <w:bookmarkStart w:id="36" w:name="_Hlt23321731"/>
      <w:bookmarkEnd w:id="36"/>
      <w:r>
        <w:rPr>
          <w:rFonts w:hint="eastAsia" w:ascii="宋体" w:hAnsi="宋体" w:eastAsia="宋体"/>
          <w:b/>
          <w:color w:val="000000" w:themeColor="text1"/>
          <w:highlight w:val="none"/>
          <w14:textFill>
            <w14:solidFill>
              <w14:schemeClr w14:val="tx1"/>
            </w14:solidFill>
          </w14:textFill>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阳江市公安局阳东分局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阳江市公安局阳东分局交通违法及事故车辆拖车、保管项目（二次招标）</w:t>
      </w:r>
      <w:r>
        <w:rPr>
          <w:rFonts w:hint="eastAsia" w:ascii="宋体" w:hAnsi="宋体"/>
          <w:bCs/>
          <w:color w:val="000000" w:themeColor="text1"/>
          <w:highlight w:val="none"/>
          <w14:textFill>
            <w14:solidFill>
              <w14:schemeClr w14:val="tx1"/>
            </w14:solidFill>
          </w14:textFill>
        </w:rPr>
        <w:t>进行竞争性磋商 (项目编号:</w:t>
      </w:r>
      <w:r>
        <w:rPr>
          <w:rFonts w:hint="eastAsia" w:ascii="宋体" w:hAnsi="宋体"/>
          <w:bCs/>
          <w:color w:val="000000" w:themeColor="text1"/>
          <w:highlight w:val="none"/>
          <w:lang w:eastAsia="zh-CN"/>
          <w14:textFill>
            <w14:solidFill>
              <w14:schemeClr w14:val="tx1"/>
            </w14:solidFill>
          </w14:textFill>
        </w:rPr>
        <w:t>YXCG-20210812</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宋体" w:hAnsi="宋体" w:cs="Tahoma"/>
          <w:b/>
          <w:bCs/>
          <w:color w:val="000000" w:themeColor="text1"/>
          <w:szCs w:val="21"/>
          <w:highlight w:val="none"/>
          <w14:textFill>
            <w14:solidFill>
              <w14:schemeClr w14:val="tx1"/>
            </w14:solidFill>
          </w14:textFill>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1.项目名称：</w:t>
      </w:r>
      <w:r>
        <w:rPr>
          <w:rFonts w:hint="eastAsia" w:ascii="宋体" w:hAnsi="宋体"/>
          <w:bCs/>
          <w:color w:val="000000" w:themeColor="text1"/>
          <w:highlight w:val="none"/>
          <w:lang w:eastAsia="zh-CN"/>
          <w14:textFill>
            <w14:solidFill>
              <w14:schemeClr w14:val="tx1"/>
            </w14:solidFill>
          </w14:textFill>
        </w:rPr>
        <w:t>阳江市公安局阳东分局交通违法及事故车辆拖车、保管项目（二次招标）</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2.项目编号: </w:t>
      </w:r>
      <w:r>
        <w:rPr>
          <w:rFonts w:hint="eastAsia" w:ascii="宋体" w:hAnsi="宋体"/>
          <w:bCs/>
          <w:color w:val="000000" w:themeColor="text1"/>
          <w:highlight w:val="none"/>
          <w:lang w:eastAsia="zh-CN"/>
          <w14:textFill>
            <w14:solidFill>
              <w14:schemeClr w14:val="tx1"/>
            </w14:solidFill>
          </w14:textFill>
        </w:rPr>
        <w:t>YXCG-20210812</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3.投标报价上限：人</w:t>
      </w:r>
      <w:r>
        <w:rPr>
          <w:rFonts w:hint="eastAsia" w:ascii="宋体" w:hAnsi="宋体"/>
          <w:bCs/>
          <w:color w:val="000000" w:themeColor="text1"/>
          <w:szCs w:val="21"/>
          <w:highlight w:val="none"/>
          <w14:textFill>
            <w14:solidFill>
              <w14:schemeClr w14:val="tx1"/>
            </w14:solidFill>
          </w14:textFill>
        </w:rPr>
        <w:t>民币</w:t>
      </w:r>
      <w:r>
        <w:rPr>
          <w:rFonts w:hint="eastAsia" w:ascii="宋体" w:hAnsi="宋体"/>
          <w:color w:val="000000" w:themeColor="text1"/>
          <w:szCs w:val="21"/>
          <w:highlight w:val="none"/>
          <w:lang w:val="en-US" w:eastAsia="zh-CN"/>
          <w14:textFill>
            <w14:solidFill>
              <w14:schemeClr w14:val="tx1"/>
            </w14:solidFill>
          </w14:textFill>
        </w:rPr>
        <w:t>3900000.00元，每年1300000.00元，共3年。</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超出该上限的投标报价将作为无效投标处理）</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4.数  量：一项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5.服务期：自合同签订之日起3年</w:t>
      </w:r>
      <w:r>
        <w:rPr>
          <w:rFonts w:hint="eastAsia" w:ascii="宋体" w:hAnsi="宋体"/>
          <w:bCs/>
          <w:color w:val="000000" w:themeColor="text1"/>
          <w:szCs w:val="21"/>
          <w:highlight w:val="none"/>
          <w:lang w:eastAsia="zh-CN"/>
          <w14:textFill>
            <w14:solidFill>
              <w14:schemeClr w14:val="tx1"/>
            </w14:solidFill>
          </w14:textFill>
        </w:rPr>
        <w:t>，20</w:t>
      </w:r>
      <w:r>
        <w:rPr>
          <w:rFonts w:hint="eastAsia" w:ascii="宋体" w:hAnsi="宋体"/>
          <w:bCs/>
          <w:color w:val="000000" w:themeColor="text1"/>
          <w:szCs w:val="21"/>
          <w:highlight w:val="none"/>
          <w:lang w:val="en-US" w:eastAsia="zh-CN"/>
          <w14:textFill>
            <w14:solidFill>
              <w14:schemeClr w14:val="tx1"/>
            </w14:solidFill>
          </w14:textFill>
        </w:rPr>
        <w:t>21</w:t>
      </w:r>
      <w:r>
        <w:rPr>
          <w:rFonts w:hint="eastAsia" w:ascii="宋体" w:hAnsi="宋体"/>
          <w:bCs/>
          <w:color w:val="000000" w:themeColor="text1"/>
          <w:szCs w:val="21"/>
          <w:highlight w:val="none"/>
          <w:lang w:eastAsia="zh-CN"/>
          <w14:textFill>
            <w14:solidFill>
              <w14:schemeClr w14:val="tx1"/>
            </w14:solidFill>
          </w14:textFill>
        </w:rPr>
        <w:t>-202</w:t>
      </w:r>
      <w:r>
        <w:rPr>
          <w:rFonts w:hint="eastAsia" w:ascii="宋体" w:hAnsi="宋体"/>
          <w:bCs/>
          <w:color w:val="000000" w:themeColor="text1"/>
          <w:szCs w:val="21"/>
          <w:highlight w:val="none"/>
          <w:lang w:val="en-US" w:eastAsia="zh-CN"/>
          <w14:textFill>
            <w14:solidFill>
              <w14:schemeClr w14:val="tx1"/>
            </w14:solidFill>
          </w14:textFill>
        </w:rPr>
        <w:t>4</w:t>
      </w:r>
      <w:r>
        <w:rPr>
          <w:rFonts w:hint="eastAsia" w:ascii="宋体" w:hAnsi="宋体"/>
          <w:bCs/>
          <w:color w:val="000000" w:themeColor="text1"/>
          <w:szCs w:val="21"/>
          <w:highlight w:val="none"/>
          <w:lang w:eastAsia="zh-CN"/>
          <w14:textFill>
            <w14:solidFill>
              <w14:schemeClr w14:val="tx1"/>
            </w14:solidFill>
          </w14:textFill>
        </w:rPr>
        <w:t>年三个年度。在此轮服务期限内，</w:t>
      </w:r>
      <w:r>
        <w:rPr>
          <w:rFonts w:hint="eastAsia" w:ascii="宋体" w:hAnsi="宋体"/>
          <w:bCs/>
          <w:color w:val="000000" w:themeColor="text1"/>
          <w:szCs w:val="21"/>
          <w:highlight w:val="none"/>
          <w:lang w:val="en-US" w:eastAsia="zh-CN"/>
          <w14:textFill>
            <w14:solidFill>
              <w14:schemeClr w14:val="tx1"/>
            </w14:solidFill>
          </w14:textFill>
        </w:rPr>
        <w:t>成交</w:t>
      </w:r>
      <w:r>
        <w:rPr>
          <w:rFonts w:hint="eastAsia" w:ascii="宋体" w:hAnsi="宋体"/>
          <w:bCs/>
          <w:color w:val="000000" w:themeColor="text1"/>
          <w:szCs w:val="21"/>
          <w:highlight w:val="none"/>
          <w:lang w:eastAsia="zh-CN"/>
          <w14:textFill>
            <w14:solidFill>
              <w14:schemeClr w14:val="tx1"/>
            </w14:solidFill>
          </w14:textFill>
        </w:rPr>
        <w:t>供应商须根据要求，做好相应的安排。</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少于</w:t>
      </w:r>
      <w:r>
        <w:rPr>
          <w:rFonts w:hint="eastAsia" w:ascii="宋体" w:hAnsi="宋体"/>
          <w:bCs/>
          <w:color w:val="000000" w:themeColor="text1"/>
          <w:szCs w:val="21"/>
          <w:highlight w:val="none"/>
          <w14:textFill>
            <w14:solidFill>
              <w14:schemeClr w14:val="tx1"/>
            </w14:solidFill>
          </w14:textFill>
        </w:rPr>
        <w:t>该服务期将作为无效投标处理）。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6.项目采购方式：竞争性磋商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spacing w:line="360" w:lineRule="auto"/>
        <w:ind w:left="420" w:leftChars="200"/>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4）有依法缴纳税收和社会保障资金的良好记录；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5）参加政府采购活动前三年内，在经营活动中没有重大违法记录；</w:t>
      </w:r>
      <w:r>
        <w:rPr>
          <w:rFonts w:ascii="宋体" w:hAnsi="宋体"/>
          <w:color w:val="000000" w:themeColor="text1"/>
          <w:szCs w:val="21"/>
          <w:highlight w:val="none"/>
          <w14:textFill>
            <w14:solidFill>
              <w14:schemeClr w14:val="tx1"/>
            </w14:solidFill>
          </w14:textFill>
        </w:rPr>
        <w:br w:type="textWrapping"/>
      </w:r>
      <w:r>
        <w:rPr>
          <w:rFonts w:ascii="宋体" w:hAnsi="宋体"/>
          <w:color w:val="000000" w:themeColor="text1"/>
          <w:szCs w:val="2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lang w:val="en-US" w:eastAsia="zh-CN"/>
          <w14:textFill>
            <w14:solidFill>
              <w14:schemeClr w14:val="tx1"/>
            </w14:solidFill>
          </w14:textFill>
        </w:rPr>
        <w:t>投标人须是中华人民共和国境内合法注册，能独立承担民事责任并具有相关经营范围（包括拖车，吊车，停车保管服务等）的法人或其他组织；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三、</w:t>
      </w:r>
      <w:r>
        <w:rPr>
          <w:rFonts w:ascii="宋体" w:hAnsi="宋体" w:cs="Tahoma"/>
          <w:b/>
          <w:bCs/>
          <w:color w:val="000000" w:themeColor="text1"/>
          <w:szCs w:val="21"/>
          <w:highlight w:val="none"/>
          <w14:textFill>
            <w14:solidFill>
              <w14:schemeClr w14:val="tx1"/>
            </w14:solidFill>
          </w14:textFill>
        </w:rPr>
        <w:t>磋商文件的公示</w:t>
      </w:r>
    </w:p>
    <w:p>
      <w:pPr>
        <w:widowControl/>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1．</w:t>
      </w:r>
      <w:r>
        <w:rPr>
          <w:rFonts w:hint="eastAsia" w:ascii="宋体" w:hAnsi="宋体" w:cs="Arial"/>
          <w:color w:val="000000" w:themeColor="text1"/>
          <w:highlight w:val="none"/>
          <w14:textFill>
            <w14:solidFill>
              <w14:schemeClr w14:val="tx1"/>
            </w14:solidFill>
          </w14:textFill>
        </w:rPr>
        <w:t>磋商文件公示时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w:t>
      </w:r>
    </w:p>
    <w:p>
      <w:pPr>
        <w:widowControl/>
        <w:adjustRightInd w:val="0"/>
        <w:snapToGrid w:val="0"/>
        <w:spacing w:line="360" w:lineRule="auto"/>
        <w:ind w:left="105" w:leftChars="50"/>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1.购买磋商文件</w:t>
      </w:r>
      <w:r>
        <w:rPr>
          <w:rFonts w:hint="eastAsia" w:ascii="宋体" w:hAnsi="宋体"/>
          <w:bCs/>
          <w:color w:val="000000" w:themeColor="text1"/>
          <w:highlight w:val="none"/>
          <w14:textFill>
            <w14:solidFill>
              <w14:schemeClr w14:val="tx1"/>
            </w14:solidFill>
          </w14:textFill>
        </w:rPr>
        <w:t>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bCs/>
          <w:color w:val="000000" w:themeColor="text1"/>
          <w:highlight w:val="none"/>
          <w14:textFill>
            <w14:solidFill>
              <w14:schemeClr w14:val="tx1"/>
            </w14:solidFill>
          </w14:textFill>
        </w:rPr>
        <w:t>，上午9:00～12:00，下午2:30～5:30（节假日除外）（北</w:t>
      </w:r>
      <w:r>
        <w:rPr>
          <w:rFonts w:hint="eastAsia" w:ascii="宋体" w:hAnsi="宋体" w:cs="Arial"/>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2.购买磋商文件地点：</w:t>
      </w:r>
      <w:r>
        <w:rPr>
          <w:rFonts w:hint="eastAsia" w:ascii="宋体" w:hAnsi="宋体"/>
          <w:color w:val="000000" w:themeColor="text1"/>
          <w:szCs w:val="21"/>
          <w:highlight w:val="none"/>
          <w14:textFill>
            <w14:solidFill>
              <w14:schemeClr w14:val="tx1"/>
            </w14:solidFill>
          </w14:textFill>
        </w:rPr>
        <w:t>阳江市江城区康泰路60号四楼405室。</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3.磋商文件售价：</w:t>
      </w:r>
      <w:r>
        <w:rPr>
          <w:rFonts w:hint="eastAsia" w:ascii="宋体" w:hAnsi="宋体"/>
          <w:bCs/>
          <w:color w:val="000000" w:themeColor="text1"/>
          <w:szCs w:val="21"/>
          <w:highlight w:val="none"/>
          <w14:textFill>
            <w14:solidFill>
              <w14:schemeClr w14:val="tx1"/>
            </w14:solidFill>
          </w14:textFill>
        </w:rPr>
        <w:t>磋商文件每套人民币200元，售后不退</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8"/>
          <w:rFonts w:hint="eastAsia" w:ascii="宋体" w:hAnsi="宋体"/>
          <w:bCs/>
          <w:color w:val="000000" w:themeColor="text1"/>
          <w:szCs w:val="21"/>
          <w:highlight w:val="none"/>
          <w14:textFill>
            <w14:solidFill>
              <w14:schemeClr w14:val="tx1"/>
            </w14:solidFill>
          </w14:textFill>
        </w:rPr>
        <w:t>http://www.yjcg.cc</w:t>
      </w:r>
      <w:r>
        <w:rPr>
          <w:rStyle w:val="58"/>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ascii="宋体" w:hAnsi="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供应商须提供未被列入“信用中国”网站(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58"/>
          <w:rFonts w:hint="eastAsia" w:ascii="宋体" w:hAnsi="宋体"/>
          <w:b/>
          <w:bCs/>
          <w:color w:val="000000" w:themeColor="text1"/>
          <w:highlight w:val="none"/>
          <w14:textFill>
            <w14:solidFill>
              <w14:schemeClr w14:val="tx1"/>
            </w14:solidFill>
          </w14:textFill>
        </w:rPr>
        <w:t>www.creditchina.gov.cn)“记录失信被执行人或重大</w:t>
      </w:r>
      <w:r>
        <w:rPr>
          <w:rStyle w:val="58"/>
          <w:rFonts w:hint="eastAsia" w:ascii="宋体" w:hAnsi="宋体"/>
          <w:b/>
          <w:bCs/>
          <w:color w:val="000000" w:themeColor="text1"/>
          <w:highlight w:val="none"/>
          <w14:textFill>
            <w14:solidFill>
              <w14:schemeClr w14:val="tx1"/>
            </w14:solidFill>
          </w14:textFill>
        </w:rPr>
        <w:fldChar w:fldCharType="end"/>
      </w:r>
      <w:r>
        <w:rPr>
          <w:rFonts w:hint="eastAsia" w:ascii="宋体" w:hAnsi="宋体"/>
          <w:b/>
          <w:bCs/>
          <w:color w:val="000000" w:themeColor="text1"/>
          <w:highlight w:val="none"/>
          <w14:textFill>
            <w14:solidFill>
              <w14:schemeClr w14:val="tx1"/>
            </w14:solidFill>
          </w14:textFill>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1.递交磋商响应文件时间：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9</w:t>
      </w:r>
      <w:r>
        <w:rPr>
          <w:rFonts w:hint="eastAsia"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 2.投标截止时间、开标时间：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:00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3.递交磋商响应文件地点、开标地点：阳江市江城区康泰路60号四楼开标室。</w:t>
      </w:r>
    </w:p>
    <w:p>
      <w:pPr>
        <w:widowControl/>
        <w:tabs>
          <w:tab w:val="left" w:pos="735"/>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阳江市公安局阳东分局</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lang w:val="en-US" w:eastAsia="zh-CN"/>
          <w14:textFill>
            <w14:solidFill>
              <w14:schemeClr w14:val="tx1"/>
            </w14:solidFill>
          </w14:textFill>
        </w:rPr>
        <w:t>地    址：阳江市阳东区始兴北路22号</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黄敏纳</w:t>
      </w:r>
    </w:p>
    <w:p>
      <w:pPr>
        <w:tabs>
          <w:tab w:val="left" w:pos="735"/>
          <w:tab w:val="left" w:pos="4680"/>
        </w:tabs>
        <w:adjustRightInd w:val="0"/>
        <w:snapToGrid w:val="0"/>
        <w:spacing w:line="360" w:lineRule="auto"/>
        <w:ind w:firstLine="420" w:firstLineChars="2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0662-6635985</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bookmarkStart w:id="383" w:name="_GoBack"/>
      <w:bookmarkEnd w:id="383"/>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58"/>
          <w:rFonts w:ascii="宋体" w:hAnsi="宋体"/>
          <w:bCs/>
          <w:color w:val="000000" w:themeColor="text1"/>
          <w:highlight w:val="none"/>
          <w14:textFill>
            <w14:solidFill>
              <w14:schemeClr w14:val="tx1"/>
            </w14:solidFill>
          </w14:textFill>
        </w:rPr>
        <w:t>http://www.</w:t>
      </w:r>
      <w:r>
        <w:rPr>
          <w:rStyle w:val="58"/>
          <w:rFonts w:hint="eastAsia" w:ascii="宋体" w:hAnsi="宋体"/>
          <w:bCs/>
          <w:color w:val="000000" w:themeColor="text1"/>
          <w:highlight w:val="none"/>
          <w14:textFill>
            <w14:solidFill>
              <w14:schemeClr w14:val="tx1"/>
            </w14:solidFill>
          </w14:textFill>
        </w:rPr>
        <w:t>yjcg</w:t>
      </w:r>
      <w:r>
        <w:rPr>
          <w:rStyle w:val="58"/>
          <w:rFonts w:ascii="宋体" w:hAnsi="宋体"/>
          <w:bCs/>
          <w:color w:val="000000" w:themeColor="text1"/>
          <w:highlight w:val="none"/>
          <w14:textFill>
            <w14:solidFill>
              <w14:schemeClr w14:val="tx1"/>
            </w14:solidFill>
          </w14:textFill>
        </w:rPr>
        <w:t>.</w:t>
      </w:r>
      <w:r>
        <w:rPr>
          <w:rStyle w:val="58"/>
          <w:rFonts w:hint="eastAsia" w:ascii="宋体" w:hAnsi="宋体"/>
          <w:bCs/>
          <w:color w:val="000000" w:themeColor="text1"/>
          <w:highlight w:val="none"/>
          <w14:textFill>
            <w14:solidFill>
              <w14:schemeClr w14:val="tx1"/>
            </w14:solidFill>
          </w14:textFill>
        </w:rPr>
        <w:t>cc</w:t>
      </w:r>
      <w:r>
        <w:rPr>
          <w:rStyle w:val="58"/>
          <w:rFonts w:hint="eastAsia" w:ascii="宋体" w:hAnsi="宋体"/>
          <w:bCs/>
          <w:color w:val="000000" w:themeColor="text1"/>
          <w:highlight w:val="none"/>
          <w14:textFill>
            <w14:solidFill>
              <w14:schemeClr w14:val="tx1"/>
            </w14:solidFill>
          </w14:textFill>
        </w:rPr>
        <w:fldChar w:fldCharType="end"/>
      </w:r>
    </w:p>
    <w:p>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b/>
          <w:color w:val="000000" w:themeColor="text1"/>
          <w:highlight w:val="none"/>
          <w14:textFill>
            <w14:solidFill>
              <w14:schemeClr w14:val="tx1"/>
            </w14:solidFill>
          </w14:textFill>
        </w:rPr>
      </w:pPr>
      <w:bookmarkStart w:id="37" w:name="_Toc365985109"/>
      <w:bookmarkStart w:id="38" w:name="_Toc336681893"/>
      <w:bookmarkStart w:id="39" w:name="_Toc336681538"/>
      <w:bookmarkStart w:id="40" w:name="_Toc345513763"/>
      <w:bookmarkStart w:id="41" w:name="_Toc349127584"/>
      <w:bookmarkStart w:id="42" w:name="_Toc339362258"/>
      <w:bookmarkStart w:id="43" w:name="_Toc342060323"/>
      <w:bookmarkStart w:id="44" w:name="_Toc350756404"/>
      <w:bookmarkStart w:id="45" w:name="_Toc342296709"/>
      <w:bookmarkStart w:id="46" w:name="_Toc333238572"/>
      <w:bookmarkStart w:id="47" w:name="_Toc333935279"/>
      <w:bookmarkStart w:id="48" w:name="_Toc332206658"/>
      <w:bookmarkStart w:id="49" w:name="_Toc340507404"/>
      <w:bookmarkStart w:id="50" w:name="_Toc339020049"/>
      <w:bookmarkStart w:id="51" w:name="_Toc366072458"/>
      <w:bookmarkStart w:id="52" w:name="_Toc349143547"/>
      <w:bookmarkStart w:id="53" w:name="_Toc333237724"/>
      <w:bookmarkStart w:id="54" w:name="_Toc341348292"/>
      <w:bookmarkStart w:id="55" w:name="_Toc337632316"/>
      <w:bookmarkStart w:id="56" w:name="_Toc333237613"/>
      <w:bookmarkStart w:id="57" w:name="_Toc339020187"/>
      <w:bookmarkStart w:id="58" w:name="_Toc339019829"/>
      <w:bookmarkStart w:id="59" w:name="_Toc365967003"/>
      <w:bookmarkStart w:id="60" w:name="_Toc339441045"/>
      <w:bookmarkStart w:id="61" w:name="_Toc339019955"/>
      <w:bookmarkStart w:id="62" w:name="_Toc331512857"/>
      <w:bookmarkStart w:id="63" w:name="_Toc340677032"/>
      <w:bookmarkStart w:id="64" w:name="_Toc332270306"/>
      <w:bookmarkStart w:id="65" w:name="_Toc350438703"/>
      <w:bookmarkStart w:id="66" w:name="_Toc331683995"/>
      <w:bookmarkStart w:id="67" w:name="_Toc330459946"/>
      <w:bookmarkStart w:id="68" w:name="_Toc333935620"/>
      <w:bookmarkStart w:id="69" w:name="_Toc340672831"/>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 xml:space="preserve"> 2021</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年</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月</w:t>
      </w:r>
      <w:r>
        <w:rPr>
          <w:rFonts w:hint="eastAsia" w:ascii="宋体" w:hAnsi="宋体" w:cs="Times New Roman"/>
          <w:bCs/>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Times New Roman"/>
          <w:bCs/>
          <w:color w:val="000000" w:themeColor="text1"/>
          <w:kern w:val="2"/>
          <w:sz w:val="21"/>
          <w:szCs w:val="24"/>
          <w:highlight w:val="none"/>
          <w:lang w:val="en-US" w:eastAsia="zh-CN" w:bidi="ar-SA"/>
          <w14:textFill>
            <w14:solidFill>
              <w14:schemeClr w14:val="tx1"/>
            </w14:solidFill>
          </w14:textFill>
        </w:rPr>
        <w:t>日</w:t>
      </w:r>
    </w:p>
    <w:p>
      <w:pPr>
        <w:pStyle w:val="4"/>
        <w:numPr>
          <w:ilvl w:val="0"/>
          <w:numId w:val="0"/>
        </w:numPr>
        <w:spacing w:beforeLines="0" w:afterLines="50" w:line="390" w:lineRule="exact"/>
        <w:ind w:left="105" w:leftChars="50" w:firstLine="482" w:firstLineChars="200"/>
        <w:rPr>
          <w:rFonts w:ascii="宋体" w:hAnsi="宋体" w:eastAsia="宋体"/>
          <w:b/>
          <w:color w:val="000000" w:themeColor="text1"/>
          <w:highlight w:val="none"/>
          <w14:textFill>
            <w14:solidFill>
              <w14:schemeClr w14:val="tx1"/>
            </w14:solidFill>
          </w14:textFill>
        </w:rPr>
      </w:pPr>
      <w:bookmarkStart w:id="70" w:name="_Toc6855"/>
      <w:r>
        <w:rPr>
          <w:rFonts w:hint="eastAsia" w:ascii="宋体" w:hAnsi="宋体" w:eastAsia="宋体"/>
          <w:b/>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935280"/>
      <w:bookmarkStart w:id="75" w:name="_Toc75570886"/>
      <w:bookmarkStart w:id="76" w:name="_Toc333935621"/>
      <w:bookmarkStart w:id="77" w:name="_Toc333237725"/>
      <w:bookmarkStart w:id="78" w:name="_Toc333237614"/>
      <w:r>
        <w:rPr>
          <w:rFonts w:hint="eastAsia" w:ascii="宋体" w:hAnsi="宋体" w:eastAsia="宋体"/>
          <w:b/>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1"/>
          <w:numId w:val="0"/>
        </w:numPr>
        <w:spacing w:beforeLines="150" w:after="0" w:line="360" w:lineRule="auto"/>
        <w:jc w:val="left"/>
        <w:rPr>
          <w:rFonts w:hint="eastAsia" w:ascii="宋体" w:hAnsi="宋体" w:eastAsia="宋体"/>
          <w:color w:val="000000" w:themeColor="text1"/>
          <w:sz w:val="21"/>
          <w:szCs w:val="21"/>
          <w:highlight w:val="none"/>
          <w:lang w:eastAsia="zh-CN"/>
          <w14:textFill>
            <w14:solidFill>
              <w14:schemeClr w14:val="tx1"/>
            </w14:solidFill>
          </w14:textFill>
        </w:rPr>
      </w:pPr>
      <w:bookmarkStart w:id="79" w:name="_Toc29084"/>
      <w:bookmarkStart w:id="80" w:name="_Toc340672836"/>
      <w:bookmarkStart w:id="81" w:name="_Toc341348305"/>
      <w:bookmarkStart w:id="82" w:name="_Toc331684005"/>
      <w:bookmarkStart w:id="83" w:name="_Toc333935654"/>
      <w:bookmarkStart w:id="84" w:name="_Toc339020200"/>
      <w:bookmarkStart w:id="85" w:name="_Toc330459952"/>
      <w:bookmarkStart w:id="86" w:name="_Toc340507409"/>
      <w:bookmarkStart w:id="87" w:name="_Toc333935313"/>
      <w:bookmarkStart w:id="88" w:name="_Toc350438716"/>
      <w:bookmarkStart w:id="89" w:name="_Toc366072495"/>
      <w:bookmarkStart w:id="90" w:name="_Toc365985146"/>
      <w:bookmarkStart w:id="91" w:name="_Toc340677037"/>
      <w:bookmarkStart w:id="92" w:name="_Toc350756417"/>
      <w:bookmarkStart w:id="93" w:name="_Toc336681902"/>
      <w:bookmarkStart w:id="94" w:name="_Toc342060341"/>
      <w:bookmarkStart w:id="95" w:name="_Toc336681547"/>
      <w:bookmarkStart w:id="96" w:name="_Toc339020062"/>
      <w:bookmarkStart w:id="97" w:name="_Toc349127593"/>
      <w:bookmarkStart w:id="98" w:name="_Toc337632325"/>
      <w:bookmarkStart w:id="99" w:name="_Toc345513834"/>
      <w:bookmarkStart w:id="100" w:name="_Toc339441054"/>
      <w:bookmarkStart w:id="101" w:name="_Toc349143556"/>
      <w:bookmarkStart w:id="102" w:name="_Toc332270313"/>
      <w:bookmarkStart w:id="103" w:name="_Toc365967040"/>
      <w:bookmarkStart w:id="104" w:name="_Toc339019982"/>
      <w:bookmarkStart w:id="105" w:name="_Toc339362267"/>
      <w:bookmarkStart w:id="106" w:name="_Toc333237755"/>
      <w:bookmarkStart w:id="107" w:name="_Toc333238600"/>
      <w:bookmarkStart w:id="108" w:name="_Toc333237644"/>
      <w:bookmarkStart w:id="109" w:name="_Toc332206675"/>
      <w:bookmarkStart w:id="110" w:name="_Toc342296727"/>
      <w:bookmarkStart w:id="111" w:name="_Toc331512865"/>
      <w:bookmarkStart w:id="112" w:name="_Toc339019856"/>
      <w:r>
        <w:rPr>
          <w:rFonts w:hint="eastAsia" w:ascii="宋体" w:hAnsi="宋体"/>
          <w:color w:val="000000" w:themeColor="text1"/>
          <w:sz w:val="21"/>
          <w:szCs w:val="21"/>
          <w:highlight w:val="none"/>
          <w14:textFill>
            <w14:solidFill>
              <w14:schemeClr w14:val="tx1"/>
            </w14:solidFill>
          </w14:textFill>
        </w:rPr>
        <w:t>项目编号：</w:t>
      </w:r>
      <w:r>
        <w:rPr>
          <w:rFonts w:hint="eastAsia" w:ascii="宋体" w:hAnsi="宋体"/>
          <w:color w:val="000000" w:themeColor="text1"/>
          <w:sz w:val="21"/>
          <w:szCs w:val="21"/>
          <w:highlight w:val="none"/>
          <w:u w:val="single"/>
          <w:lang w:eastAsia="zh-CN"/>
          <w14:textFill>
            <w14:solidFill>
              <w14:schemeClr w14:val="tx1"/>
            </w14:solidFill>
          </w14:textFill>
        </w:rPr>
        <w:t>YXCG-20210812</w:t>
      </w:r>
      <w:bookmarkEnd w:id="79"/>
    </w:p>
    <w:p>
      <w:pPr>
        <w:pStyle w:val="5"/>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14:textFill>
            <w14:solidFill>
              <w14:schemeClr w14:val="tx1"/>
            </w14:solidFill>
          </w14:textFill>
        </w:rPr>
      </w:pPr>
      <w:bookmarkStart w:id="113" w:name="_Toc12065"/>
      <w:r>
        <w:rPr>
          <w:rFonts w:hint="eastAsia" w:ascii="宋体" w:hAnsi="宋体"/>
          <w:color w:val="000000" w:themeColor="text1"/>
          <w:sz w:val="21"/>
          <w:szCs w:val="21"/>
          <w:highlight w:val="none"/>
          <w14:textFill>
            <w14:solidFill>
              <w14:schemeClr w14:val="tx1"/>
            </w14:solidFill>
          </w14:textFill>
        </w:rPr>
        <w:t>项目名称：</w:t>
      </w:r>
      <w:r>
        <w:rPr>
          <w:rFonts w:hint="eastAsia" w:ascii="宋体" w:hAnsi="宋体"/>
          <w:color w:val="000000" w:themeColor="text1"/>
          <w:sz w:val="21"/>
          <w:szCs w:val="21"/>
          <w:highlight w:val="none"/>
          <w:u w:val="single"/>
          <w:lang w:eastAsia="zh-CN"/>
          <w14:textFill>
            <w14:solidFill>
              <w14:schemeClr w14:val="tx1"/>
            </w14:solidFill>
          </w14:textFill>
        </w:rPr>
        <w:t>阳江市公安局阳东分局交通违法及事故车辆拖车、保管项目（二次招标）</w:t>
      </w:r>
      <w:bookmarkEnd w:id="113"/>
    </w:p>
    <w:p>
      <w:pPr>
        <w:pStyle w:val="5"/>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4" w:name="_Toc28593"/>
      <w:r>
        <w:rPr>
          <w:rFonts w:ascii="宋体" w:hAnsi="宋体"/>
          <w:color w:val="000000" w:themeColor="text1"/>
          <w:kern w:val="0"/>
          <w:sz w:val="24"/>
          <w:highlight w:val="none"/>
          <w14:textFill>
            <w14:solidFill>
              <w14:schemeClr w14:val="tx1"/>
            </w14:solidFill>
          </w14:textFill>
        </w:rPr>
        <w:t xml:space="preserve">A  </w:t>
      </w:r>
      <w:r>
        <w:rPr>
          <w:rFonts w:hint="eastAsia" w:ascii="宋体" w:hAnsi="宋体"/>
          <w:color w:val="000000" w:themeColor="text1"/>
          <w:kern w:val="0"/>
          <w:sz w:val="24"/>
          <w:highlight w:val="none"/>
          <w14:textFill>
            <w14:solidFill>
              <w14:schemeClr w14:val="tx1"/>
            </w14:solidFill>
          </w14:textFill>
        </w:rPr>
        <w:t>商务要求</w:t>
      </w:r>
      <w:bookmarkEnd w:id="114"/>
    </w:p>
    <w:tbl>
      <w:tblPr>
        <w:tblStyle w:val="51"/>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报价应为人民币含税全包价，包括所有的费用。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采购合同由成交供应商与采购人双方签订，签订时间为《成交通知书》发出之日起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项目费用结算方式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合同签订生效后，按年度中标价格的1/4，每季度结算一次。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验收标准</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以国家现行相关规范为验收标准。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中标供应商</w:t>
            </w:r>
            <w:r>
              <w:rPr>
                <w:rFonts w:hint="eastAsia"/>
                <w:b/>
                <w:color w:val="000000" w:themeColor="text1"/>
                <w:highlight w:val="none"/>
                <w14:textFill>
                  <w14:solidFill>
                    <w14:schemeClr w14:val="tx1"/>
                  </w14:solidFill>
                </w14:textFill>
              </w:rPr>
              <w:t>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接到中标通知书后10天内向采购人提供</w:t>
            </w:r>
            <w:r>
              <w:rPr>
                <w:rFonts w:hint="eastAsia" w:ascii="宋体" w:hAnsi="宋体" w:eastAsia="宋体" w:cs="宋体"/>
                <w:color w:val="000000" w:themeColor="text1"/>
                <w:highlight w:val="none"/>
                <w:lang w:eastAsia="zh-CN"/>
                <w14:textFill>
                  <w14:solidFill>
                    <w14:schemeClr w14:val="tx1"/>
                  </w14:solidFill>
                </w14:textFill>
              </w:rPr>
              <w:t>拖</w:t>
            </w:r>
            <w:r>
              <w:rPr>
                <w:rFonts w:hint="eastAsia" w:ascii="宋体" w:hAnsi="宋体" w:eastAsia="宋体" w:cs="宋体"/>
                <w:color w:val="000000" w:themeColor="text1"/>
                <w:highlight w:val="none"/>
                <w14:textFill>
                  <w14:solidFill>
                    <w14:schemeClr w14:val="tx1"/>
                  </w14:solidFill>
                </w14:textFill>
              </w:rPr>
              <w:t>车服务的拯救车辆的行驶证复印件。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车辆为租赁的，</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须承诺于接到中标通知书10天内提交期限为覆盖合同服务期的车辆租赁合同原件及车辆行驶证复印件。</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提供失效或不真实证件的，视为</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自动放弃中标资格，采购人有权向该</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追讨因此造成的一切损失和依法追究其法律责任。</w:t>
            </w:r>
          </w:p>
          <w:p>
            <w:pPr>
              <w:spacing w:line="320" w:lineRule="exact"/>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未能在规定的期限内按以上规定提交相关证件的，采购人有权向监督部门汇报取消其中标资格，由第二中标候选人作为该项目的</w:t>
            </w:r>
            <w:r>
              <w:rPr>
                <w:rFonts w:hint="eastAsia" w:ascii="宋体" w:hAnsi="宋体" w:eastAsia="宋体" w:cs="宋体"/>
                <w:color w:val="000000" w:themeColor="text1"/>
                <w:highlight w:val="none"/>
                <w:lang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管理及监督</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采购人协助</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进行相关服务工作。采购人将派专人监督响应供应商相关服务工作标准，并有权不定期对</w:t>
            </w:r>
            <w:r>
              <w:rPr>
                <w:rFonts w:hint="eastAsia"/>
                <w:color w:val="000000" w:themeColor="text1"/>
                <w:highlight w:val="none"/>
                <w:lang w:val="en-US" w:eastAsia="zh-CN"/>
                <w14:textFill>
                  <w14:solidFill>
                    <w14:schemeClr w14:val="tx1"/>
                  </w14:solidFill>
                </w14:textFill>
              </w:rPr>
              <w:t>中标供应商</w:t>
            </w:r>
            <w:r>
              <w:rPr>
                <w:rFonts w:hint="eastAsia"/>
                <w:color w:val="000000" w:themeColor="text1"/>
                <w:highlight w:val="none"/>
                <w14:textFill>
                  <w14:solidFill>
                    <w14:schemeClr w14:val="tx1"/>
                  </w14:solidFill>
                </w14:textFill>
              </w:rPr>
              <w:t>的相关服务工作进行满意度调查。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工作人员必须 24 小时全天候值班，在</w:t>
            </w:r>
            <w:r>
              <w:rPr>
                <w:rFonts w:hint="eastAsia" w:ascii="宋体" w:hAnsi="宋体" w:eastAsia="宋体" w:cs="宋体"/>
                <w:color w:val="000000" w:themeColor="text1"/>
                <w:sz w:val="21"/>
                <w:szCs w:val="21"/>
                <w:highlight w:val="none"/>
                <w14:textFill>
                  <w14:solidFill>
                    <w14:schemeClr w14:val="tx1"/>
                  </w14:solidFill>
                </w14:textFill>
              </w:rPr>
              <w:t>接到拖车通知后，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r>
              <w:rPr>
                <w:rFonts w:hint="eastAsia"/>
                <w:color w:val="000000" w:themeColor="text1"/>
                <w:highlight w:val="none"/>
                <w:lang w:val="en-US" w:eastAsia="zh-CN"/>
                <w14:textFill>
                  <w14:solidFill>
                    <w14:schemeClr w14:val="tx1"/>
                  </w14:solidFill>
                </w14:textFill>
              </w:rPr>
              <w:t>，超过规定时间未能到达现场的，每次按合同金额的千分之一罚款，超过三次终止合同。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hint="eastAsia" w:ascii="宋体" w:eastAsia="宋体"/>
                <w:b/>
                <w:color w:val="000000" w:themeColor="text1"/>
                <w:highlight w:val="none"/>
                <w:lang w:eastAsia="zh-CN"/>
                <w14:textFill>
                  <w14:solidFill>
                    <w14:schemeClr w14:val="tx1"/>
                  </w14:solidFill>
                </w14:textFill>
              </w:rPr>
            </w:pPr>
            <w:r>
              <w:rPr>
                <w:rFonts w:hint="eastAsia" w:ascii="宋体"/>
                <w:b/>
                <w:color w:val="000000" w:themeColor="text1"/>
                <w:highlight w:val="none"/>
                <w:lang w:eastAsia="zh-CN"/>
                <w14:textFill>
                  <w14:solidFill>
                    <w14:schemeClr w14:val="tx1"/>
                  </w14:solidFill>
                </w14:textFill>
              </w:rPr>
              <w:t>其他要求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在中标后的整个作业期间，中标供应商应当做好以下工作：</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1）中标供应商为所有作业人员提供安全作业所需的一切设备，确保作业人员人身安全，并要求作业人员按相关规定做好安全防范措施下作业。中标供应商在整个作业期间含上下班期间，若发生作业人员意外伤残、身及财物或其它损失的，无论何种原因所致，采购人均不负责。 </w:t>
            </w:r>
          </w:p>
          <w:p>
            <w:pPr>
              <w:spacing w:line="320" w:lineRule="exact"/>
              <w:rPr>
                <w:rFonts w:hint="default" w:ascii="宋体" w:hAnsi="宋体"/>
                <w:b/>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（2）中标供应商应当定期召开作业人员工作会议，邀请采购人代表人参加，听取采购人的建议和意见，以及作业期间存在的问题，并提出改进意见。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叁万玖仟元整</w:t>
            </w: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39</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224"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20" w:firstLineChars="200"/>
              <w:jc w:val="both"/>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2"/>
        <w:ind w:left="0" w:leftChars="0" w:firstLine="0" w:firstLineChars="0"/>
        <w:rPr>
          <w:rFonts w:ascii="宋体" w:hAnsi="宋体"/>
          <w:bCs/>
          <w:color w:val="000000" w:themeColor="text1"/>
          <w:highlight w:val="none"/>
          <w14:textFill>
            <w14:solidFill>
              <w14:schemeClr w14:val="tx1"/>
            </w14:solidFill>
          </w14:textFill>
        </w:rPr>
      </w:pPr>
    </w:p>
    <w:p>
      <w:pPr>
        <w:pStyle w:val="5"/>
        <w:numPr>
          <w:ilvl w:val="1"/>
          <w:numId w:val="0"/>
        </w:numPr>
        <w:spacing w:beforeLines="150" w:after="0" w:line="360" w:lineRule="auto"/>
        <w:rPr>
          <w:rFonts w:ascii="宋体" w:hAnsi="宋体"/>
          <w:color w:val="000000" w:themeColor="text1"/>
          <w:kern w:val="0"/>
          <w:sz w:val="24"/>
          <w:highlight w:val="none"/>
          <w14:textFill>
            <w14:solidFill>
              <w14:schemeClr w14:val="tx1"/>
            </w14:solidFill>
          </w14:textFill>
        </w:rPr>
      </w:pPr>
      <w:bookmarkStart w:id="115" w:name="_Toc17687"/>
      <w:r>
        <w:rPr>
          <w:rFonts w:hint="eastAsia" w:ascii="宋体" w:hAnsi="宋体"/>
          <w:color w:val="000000" w:themeColor="text1"/>
          <w:kern w:val="0"/>
          <w:sz w:val="24"/>
          <w:highlight w:val="none"/>
          <w14:textFill>
            <w14:solidFill>
              <w14:schemeClr w14:val="tx1"/>
            </w14:solidFill>
          </w14:textFill>
        </w:rPr>
        <w:t>B  技术要求</w:t>
      </w:r>
      <w:bookmarkEnd w:id="115"/>
    </w:p>
    <w:p>
      <w:pPr>
        <w:keepNext w:val="0"/>
        <w:keepLines w:val="0"/>
        <w:pageBreakBefore w:val="0"/>
        <w:widowControl w:val="0"/>
        <w:numPr>
          <w:ilvl w:val="0"/>
          <w:numId w:val="0"/>
        </w:numPr>
        <w:tabs>
          <w:tab w:val="left" w:pos="426"/>
        </w:tabs>
        <w:kinsoku/>
        <w:wordWrap/>
        <w:overflowPunct/>
        <w:topLinePunct w:val="0"/>
        <w:autoSpaceDE/>
        <w:autoSpaceDN/>
        <w:bidi w:val="0"/>
        <w:snapToGrid w:val="0"/>
        <w:spacing w:before="120" w:beforeLines="50" w:line="360" w:lineRule="auto"/>
        <w:ind w:leftChars="0"/>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116" w:name="_Toc14418"/>
      <w:r>
        <w:rPr>
          <w:rFonts w:hint="eastAsia" w:ascii="宋体" w:hAnsi="宋体" w:eastAsia="宋体" w:cs="宋体"/>
          <w:b/>
          <w:color w:val="000000" w:themeColor="text1"/>
          <w:sz w:val="21"/>
          <w:szCs w:val="21"/>
          <w:highlight w:val="none"/>
          <w:lang w:val="en-US" w:eastAsia="zh-CN"/>
          <w14:textFill>
            <w14:solidFill>
              <w14:schemeClr w14:val="tx1"/>
            </w14:solidFill>
          </w14:textFill>
        </w:rPr>
        <w:t>一、项目</w:t>
      </w:r>
      <w:r>
        <w:rPr>
          <w:rFonts w:hint="eastAsia" w:ascii="宋体" w:hAnsi="宋体" w:eastAsia="宋体" w:cs="宋体"/>
          <w:b/>
          <w:color w:val="000000" w:themeColor="text1"/>
          <w:sz w:val="21"/>
          <w:szCs w:val="21"/>
          <w:highlight w:val="none"/>
          <w14:textFill>
            <w14:solidFill>
              <w14:schemeClr w14:val="tx1"/>
            </w14:solidFill>
          </w14:textFill>
        </w:rPr>
        <w:t>要求</w:t>
      </w:r>
      <w:bookmarkEnd w:id="116"/>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须按服务要求提供足够的车辆，以满足采购人的拖车要求；如遇特大交通事故或自然灾害需要大型拖车的，</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须及时调配或租赁向采购人提供大型拖车满足采购人拯救需求；提供拖车服务的车辆应具有</w:t>
      </w:r>
      <w:r>
        <w:rPr>
          <w:rFonts w:hint="eastAsia" w:ascii="宋体" w:hAnsi="宋体" w:eastAsia="宋体" w:cs="宋体"/>
          <w:b/>
          <w:color w:val="000000" w:themeColor="text1"/>
          <w:sz w:val="21"/>
          <w:szCs w:val="21"/>
          <w:highlight w:val="none"/>
          <w:u w:val="single"/>
          <w14:textFill>
            <w14:solidFill>
              <w14:schemeClr w14:val="tx1"/>
            </w14:solidFill>
          </w14:textFill>
        </w:rPr>
        <w:t>合法、有效、完备</w:t>
      </w:r>
      <w:r>
        <w:rPr>
          <w:rFonts w:hint="eastAsia" w:ascii="宋体" w:hAnsi="宋体" w:eastAsia="宋体" w:cs="宋体"/>
          <w:color w:val="000000" w:themeColor="text1"/>
          <w:sz w:val="21"/>
          <w:szCs w:val="21"/>
          <w:highlight w:val="none"/>
          <w14:textFill>
            <w14:solidFill>
              <w14:schemeClr w14:val="tx1"/>
            </w14:solidFill>
          </w14:textFill>
        </w:rPr>
        <w:t>的证照，状况</w:t>
      </w:r>
      <w:r>
        <w:rPr>
          <w:rFonts w:hint="eastAsia" w:ascii="宋体" w:hAnsi="宋体" w:eastAsia="宋体" w:cs="宋体"/>
          <w:color w:val="000000" w:themeColor="text1"/>
          <w:sz w:val="21"/>
          <w:szCs w:val="21"/>
          <w:highlight w:val="none"/>
          <w:u w:val="none"/>
          <w14:textFill>
            <w14:solidFill>
              <w14:schemeClr w14:val="tx1"/>
            </w14:solidFill>
          </w14:textFill>
        </w:rPr>
        <w:t>良好，配备足够、完好的拖车辅助设备（包括拖车辅助轮等）、通讯工具，确保拖车能力与通信畅通。</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不得提供报废、非法拯救车辆参与拖车作业，违者，采购人有权终止合同，由此造成的一切后果，</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承担全部责任</w:t>
      </w:r>
      <w:r>
        <w:rPr>
          <w:rFonts w:hint="eastAsia" w:ascii="宋体" w:hAnsi="宋体" w:eastAsia="宋体" w:cs="宋体"/>
          <w:bCs/>
          <w:color w:val="000000" w:themeColor="text1"/>
          <w:sz w:val="21"/>
          <w:szCs w:val="21"/>
          <w:highlight w:val="none"/>
          <w:u w:val="none"/>
          <w14:textFill>
            <w14:solidFill>
              <w14:schemeClr w14:val="tx1"/>
            </w14:solidFill>
          </w14:textFill>
        </w:rPr>
        <w:t>。</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提供的车辆，应统一车身颜色、喷涂</w:t>
      </w:r>
      <w:r>
        <w:rPr>
          <w:rFonts w:hint="eastAsia" w:ascii="宋体" w:hAnsi="宋体" w:eastAsia="宋体" w:cs="宋体"/>
          <w:color w:val="000000" w:themeColor="text1"/>
          <w:sz w:val="21"/>
          <w:szCs w:val="21"/>
          <w:highlight w:val="none"/>
          <w:u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u w:val="none"/>
          <w14:textFill>
            <w14:solidFill>
              <w14:schemeClr w14:val="tx1"/>
            </w14:solidFill>
          </w14:textFill>
        </w:rPr>
        <w:t>名称和投诉电话，负责拖车服务的作业人员必须统一着装。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14:textFill>
            <w14:solidFill>
              <w14:schemeClr w14:val="tx1"/>
            </w14:solidFill>
          </w14:textFill>
        </w:rPr>
        <w:t>实施拖车作业的每辆车辆，除驾驶员外，应配备不少于2名熟悉业务的作业人</w:t>
      </w:r>
      <w:r>
        <w:rPr>
          <w:rFonts w:hint="eastAsia" w:ascii="宋体" w:hAnsi="宋体" w:eastAsia="宋体" w:cs="宋体"/>
          <w:color w:val="000000" w:themeColor="text1"/>
          <w:sz w:val="21"/>
          <w:szCs w:val="21"/>
          <w:highlight w:val="none"/>
          <w14:textFill>
            <w14:solidFill>
              <w14:schemeClr w14:val="tx1"/>
            </w14:solidFill>
          </w14:textFill>
        </w:rPr>
        <w:t>员，保证拖车的安全和效率；参与拖车作业的人员应听从交通警察的指挥。</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服务期内，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需对提供拖车服务的车辆进行维修保养、年检等，在原服务车辆不能按时到场服务的情况下，</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须提供同车型、同吨位的备用车辆（具有合法、完备证照），并事前口头上征得采购人同意。</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到达现场提供拖车服务的车辆，必须确保能够承担相应的</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车工作。</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车作业中，必须保护好被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车辆及车上装备、物品和有关痕迹等，因</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不善造成损失的，由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承担全部责任。</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车辆时，严禁发生私藏、占用、窃取公私财物等行为，违者，由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承担一切责任，且采购人有权单方终止合同。</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车作业中发生责任事故，</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须立即通知采购人。如造成被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车辆损失，或对第三者造成损害，</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须承担全部责任。</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应将被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车辆以及车上物品等</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到</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车辆保管场，并做好入场交接登记等手续（交接手续需同时提供纸质版台账和电子版台账备查），违者，采购人有权单方终止合同，造成一切损失由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受采购人调配跨约定服务区域开展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车服务，其服务要求与本需求要求的一致</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另行结算</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color w:val="000000" w:themeColor="text1"/>
          <w:sz w:val="21"/>
          <w:szCs w:val="21"/>
          <w:highlight w:val="none"/>
          <w14:textFill>
            <w14:solidFill>
              <w14:schemeClr w14:val="tx1"/>
            </w14:solidFill>
          </w14:textFill>
        </w:rPr>
        <w:t>投保商业保险的要求</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在服务期内应就</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车辆的具体行为定期购买商业财产保险，</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须对车场购置商业保险。</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购买的财产保险投保及理赔范围应全面，除突发自然灾害、战争等不可抗力因素外，应包括车辆在被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及保管过程中遭到盗抢、火灾（含自燃）、二次交通事故以及其它人为因素造成损失等一切可预见的情况。</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所购的保险理赔时限应在本项目服务有效期内持续有效，若其间发生理赔事故的，应当在投保期限终止前与保险公司续约或重新与其他保险公司签约投保，确保项目合同在有效期内任意时刻的每个车辆保管场所保险理赔金额不少于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00万元。</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发生保险理赔范围内的事故，如保险公司赔付的金额不足以支付</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应当承担的责任，不足部分由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负担，采购人不承担因此导致的任何责任。</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对于商业保险不予理赔的范围及其它情况，</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应向第三方当事人即被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车辆的车主（司机）在所提供的托收票据（一式三联）中予以书面说明，并在实施</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车前给该车主（司机）签字确认（如不能确认的，应注明原因），上述票据应分别交给采购人、</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和第三方当事人或代理（处理）人。</w:t>
      </w:r>
    </w:p>
    <w:p>
      <w:pPr>
        <w:keepNext w:val="0"/>
        <w:keepLines w:val="0"/>
        <w:pageBreakBefore w:val="0"/>
        <w:widowControl w:val="0"/>
        <w:numPr>
          <w:ilvl w:val="0"/>
          <w:numId w:val="24"/>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上述1-5款所称商业保险，指</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为第三方当事人即被</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车辆的车主（司机）所提供的风险保障，不含</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为自身车辆及装备提供的风险保障；</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自身的风险保障方式由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自行确定，不属于本项目约定的范围。</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交通违法车辆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拖</w:t>
      </w:r>
      <w:r>
        <w:rPr>
          <w:rFonts w:hint="eastAsia" w:ascii="宋体" w:hAnsi="宋体" w:eastAsia="宋体" w:cs="宋体"/>
          <w:b w:val="0"/>
          <w:bCs/>
          <w:color w:val="000000" w:themeColor="text1"/>
          <w:sz w:val="21"/>
          <w:szCs w:val="21"/>
          <w:highlight w:val="none"/>
          <w14:textFill>
            <w14:solidFill>
              <w14:schemeClr w14:val="tx1"/>
            </w14:solidFill>
          </w14:textFill>
        </w:rPr>
        <w:t>车及保管服务要求</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提供全天24小时的交通违法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车及车辆保管服务，在规定服务时段内，要求</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需</w:t>
      </w:r>
      <w:r>
        <w:rPr>
          <w:rFonts w:hint="eastAsia" w:ascii="宋体" w:hAnsi="宋体" w:eastAsia="宋体" w:cs="宋体"/>
          <w:color w:val="000000" w:themeColor="text1"/>
          <w:sz w:val="21"/>
          <w:szCs w:val="21"/>
          <w:highlight w:val="none"/>
          <w:lang w:val="en-US" w:eastAsia="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接到</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车任务通知后，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车服务，配备的每辆</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车辆均需安装卫星定位系统。</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服务区域内的交警中队开展交通整治时，</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应按有关要求提供足够的</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中标供应商拖</w:t>
      </w:r>
      <w:r>
        <w:rPr>
          <w:rFonts w:hint="eastAsia" w:ascii="宋体" w:hAnsi="宋体" w:eastAsia="宋体" w:cs="宋体"/>
          <w:color w:val="000000" w:themeColor="text1"/>
          <w:sz w:val="21"/>
          <w:szCs w:val="21"/>
          <w:highlight w:val="none"/>
          <w14:textFill>
            <w14:solidFill>
              <w14:schemeClr w14:val="tx1"/>
            </w14:solidFill>
          </w14:textFill>
        </w:rPr>
        <w:t>交通违法车辆，必须有交通警察在场并取得委托，违者，采购人有权单方终止合同。</w:t>
      </w:r>
    </w:p>
    <w:p>
      <w:pPr>
        <w:keepNext w:val="0"/>
        <w:keepLines w:val="0"/>
        <w:pageBreakBefore w:val="0"/>
        <w:widowControl w:val="0"/>
        <w:numPr>
          <w:ilvl w:val="0"/>
          <w:numId w:val="25"/>
        </w:numPr>
        <w:tabs>
          <w:tab w:val="left" w:pos="709"/>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在提供交通违法</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车及车辆保管服务过程中，不得向交通违法车主（司机）收取任何费用，违者，采购人有权单方终止合同，造成的一切后果由</w:t>
      </w: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全部承担。</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交通事故车辆</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拖</w:t>
      </w:r>
      <w:r>
        <w:rPr>
          <w:rFonts w:hint="eastAsia" w:ascii="宋体" w:hAnsi="宋体" w:eastAsia="宋体" w:cs="宋体"/>
          <w:b w:val="0"/>
          <w:bCs/>
          <w:color w:val="000000" w:themeColor="text1"/>
          <w:sz w:val="21"/>
          <w:szCs w:val="21"/>
          <w:highlight w:val="none"/>
          <w14:textFill>
            <w14:solidFill>
              <w14:schemeClr w14:val="tx1"/>
            </w14:solidFill>
          </w14:textFill>
        </w:rPr>
        <w:t>车及保管服务要求</w:t>
      </w:r>
    </w:p>
    <w:p>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提供交通事故</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车的车辆必须全天24小时按采购人要求停放在规定的地点。接到拖车通知后，</w:t>
      </w:r>
      <w:r>
        <w:rPr>
          <w:rFonts w:hint="eastAsia" w:ascii="宋体" w:hAnsi="宋体" w:cs="宋体"/>
          <w:color w:val="000000" w:themeColor="text1"/>
          <w:sz w:val="21"/>
          <w:szCs w:val="21"/>
          <w:highlight w:val="none"/>
          <w:lang w:val="en-US" w:eastAsia="zh-CN"/>
          <w14:textFill>
            <w14:solidFill>
              <w14:schemeClr w14:val="tx1"/>
            </w14:solidFill>
          </w14:textFill>
        </w:rPr>
        <w:t>阳东城区2</w:t>
      </w:r>
      <w:r>
        <w:rPr>
          <w:rFonts w:hint="eastAsia" w:ascii="宋体" w:hAnsi="宋体" w:eastAsia="宋体" w:cs="宋体"/>
          <w:color w:val="000000" w:themeColor="text1"/>
          <w:sz w:val="21"/>
          <w:szCs w:val="21"/>
          <w:highlight w:val="none"/>
          <w14:textFill>
            <w14:solidFill>
              <w14:schemeClr w14:val="tx1"/>
            </w14:solidFill>
          </w14:textFill>
        </w:rPr>
        <w:t>0分钟、村庄偏僻路段</w:t>
      </w:r>
      <w:r>
        <w:rPr>
          <w:rFonts w:hint="eastAsia" w:ascii="宋体" w:hAnsi="宋体" w:eastAsia="宋体" w:cs="宋体"/>
          <w:color w:val="000000" w:themeColor="text1"/>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14:textFill>
            <w14:solidFill>
              <w14:schemeClr w14:val="tx1"/>
            </w14:solidFill>
          </w14:textFill>
        </w:rPr>
        <w:t>分钟内赶到现场提供</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车服务</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配备的每辆</w:t>
      </w:r>
      <w:r>
        <w:rPr>
          <w:rFonts w:hint="eastAsia" w:ascii="宋体" w:hAnsi="宋体" w:eastAsia="宋体" w:cs="宋体"/>
          <w:color w:val="000000" w:themeColor="text1"/>
          <w:sz w:val="21"/>
          <w:szCs w:val="21"/>
          <w:highlight w:val="none"/>
          <w:lang w:eastAsia="zh-CN"/>
          <w14:textFill>
            <w14:solidFill>
              <w14:schemeClr w14:val="tx1"/>
            </w14:solidFill>
          </w14:textFill>
        </w:rPr>
        <w:t>拖</w:t>
      </w:r>
      <w:r>
        <w:rPr>
          <w:rFonts w:hint="eastAsia" w:ascii="宋体" w:hAnsi="宋体" w:eastAsia="宋体" w:cs="宋体"/>
          <w:color w:val="000000" w:themeColor="text1"/>
          <w:sz w:val="21"/>
          <w:szCs w:val="21"/>
          <w:highlight w:val="none"/>
          <w14:textFill>
            <w14:solidFill>
              <w14:schemeClr w14:val="tx1"/>
            </w14:solidFill>
          </w14:textFill>
        </w:rPr>
        <w:t>车辆均需安装卫星定位系统。</w:t>
      </w:r>
    </w:p>
    <w:p>
      <w:pPr>
        <w:keepNext w:val="0"/>
        <w:keepLines w:val="0"/>
        <w:pageBreakBefore w:val="0"/>
        <w:widowControl w:val="0"/>
        <w:numPr>
          <w:ilvl w:val="0"/>
          <w:numId w:val="26"/>
        </w:numPr>
        <w:tabs>
          <w:tab w:val="left" w:pos="709"/>
        </w:tabs>
        <w:kinsoku/>
        <w:wordWrap/>
        <w:overflowPunct/>
        <w:topLinePunct w:val="0"/>
        <w:autoSpaceDE/>
        <w:autoSpaceDN/>
        <w:bidi w:val="0"/>
        <w:adjustRightInd/>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提供保管服务的场地均需安排专门制作车辆一车一档资料工作人员，确保及时对每日进入车场的车辆制作一车一档（包括对车辆的发动机和车架号进行拓印、车辆外观拍照、编号和登记等工作，要求从车辆进入车场起算48小时内（特殊情况不超过72小时）需完成车辆的一车一档制作，一车一档资料需要同时制作纸质版和电子版（电子版以扫描原件保存即可）。</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其他要求</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中标供应商在拖车作业中，必须保护好被拖车辆及车上装备、物品和有关痕迹等，因拖不善造成损失的，由中标供应商承担全部责任。</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中标供应商在拖车辆时，严禁发生私藏、占用、窃取公私财物等行为，违者，由中标供应商承担一切责任，且采购人有权终止本合同。</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拖车作业中发生责任事故，中标供应商应立即通知采购人。如造成被拖车辆损失，或对第三者造成损害，中标供应商应承担全部责任。</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中标供应商应将被拖车辆以及车上物品等拖到中标供应商车辆保管场，并做好入场交接登记等手续。违者，采购人有权终止本合同，造成一切损失由中标供应商承担。</w:t>
      </w:r>
    </w:p>
    <w:p>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标供应商应为所有作业人员提供安全作业所需的一切设备，确保作业人员人身安全，并要求作业人员按相关规定做好安全防范措施下作业。若发生作业人员意外、伤残、身及财物或其它损失的，无论何种原因所致，均由中标供应商负责。</w:t>
      </w:r>
    </w:p>
    <w:p>
      <w:pPr>
        <w:keepNext w:val="0"/>
        <w:keepLines w:val="0"/>
        <w:pageBreakBefore w:val="0"/>
        <w:widowControl w:val="0"/>
        <w:numPr>
          <w:ilvl w:val="0"/>
          <w:numId w:val="23"/>
        </w:numPr>
        <w:tabs>
          <w:tab w:val="left" w:pos="993"/>
        </w:tabs>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保管场地要求</w:t>
      </w:r>
    </w:p>
    <w:p>
      <w:pPr>
        <w:keepNext w:val="0"/>
        <w:keepLines w:val="0"/>
        <w:pageBreakBefore w:val="0"/>
        <w:widowControl w:val="0"/>
        <w:numPr>
          <w:ilvl w:val="0"/>
          <w:numId w:val="28"/>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所投场地必须位于</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阳江市阳东</w:t>
      </w:r>
      <w:r>
        <w:rPr>
          <w:rFonts w:hint="eastAsia" w:ascii="宋体" w:hAnsi="宋体" w:eastAsia="宋体" w:cs="宋体"/>
          <w:color w:val="000000" w:themeColor="text1"/>
          <w:sz w:val="21"/>
          <w:szCs w:val="21"/>
          <w:highlight w:val="none"/>
          <w14:textFill>
            <w14:solidFill>
              <w14:schemeClr w14:val="tx1"/>
            </w14:solidFill>
          </w14:textFill>
        </w:rPr>
        <w:t>区行政管辖范围内，交通便捷，周围环境较好；并且用采购人交通执法查处违法车辆停车和查扣相关设备专用，不可作为其他单位和个人车辆和物品保管等用途。</w:t>
      </w:r>
    </w:p>
    <w:p>
      <w:pPr>
        <w:keepNext w:val="0"/>
        <w:keepLines w:val="0"/>
        <w:pageBreakBefore w:val="0"/>
        <w:widowControl w:val="0"/>
        <w:numPr>
          <w:ilvl w:val="0"/>
          <w:numId w:val="28"/>
        </w:numPr>
        <w:kinsoku/>
        <w:wordWrap/>
        <w:overflowPunct/>
        <w:topLinePunct w:val="0"/>
        <w:autoSpaceDE/>
        <w:autoSpaceDN/>
        <w:bidi w:val="0"/>
        <w:adjustRightInd/>
        <w:snapToGrid/>
        <w:spacing w:after="120" w:afterLines="0" w:line="360" w:lineRule="auto"/>
        <w:ind w:left="0" w:leftChars="0" w:firstLine="420" w:firstLineChars="200"/>
        <w:jc w:val="both"/>
        <w:textAlignment w:val="auto"/>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场地及相关要求</w:t>
      </w:r>
    </w:p>
    <w:p>
      <w:pPr>
        <w:keepNext w:val="0"/>
        <w:keepLines w:val="0"/>
        <w:pageBreakBefore w:val="0"/>
        <w:widowControl w:val="0"/>
        <w:kinsoku/>
        <w:wordWrap/>
        <w:overflowPunct/>
        <w:topLinePunct w:val="0"/>
        <w:autoSpaceDE/>
        <w:autoSpaceDN/>
        <w:bidi w:val="0"/>
        <w:spacing w:line="360" w:lineRule="auto"/>
        <w:ind w:leftChars="0" w:firstLine="422"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停车场的地面必须比较平整，总面积不少于 15000 平方米，且已经做好地基压实工程。</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color w:val="000000" w:themeColor="text1"/>
          <w:kern w:val="0"/>
          <w:highlight w:val="none"/>
          <w:lang w:val="en-US" w:eastAsia="zh-CN"/>
          <w14:textFill>
            <w14:solidFill>
              <w14:schemeClr w14:val="tx1"/>
            </w14:solidFill>
          </w14:textFill>
        </w:rPr>
        <w:t>投标人须在</w:t>
      </w:r>
      <w:r>
        <w:rPr>
          <w:rFonts w:hint="eastAsia" w:ascii="宋体"/>
          <w:color w:val="000000" w:themeColor="text1"/>
          <w:kern w:val="0"/>
          <w:highlight w:val="none"/>
          <w14:textFill>
            <w14:solidFill>
              <w14:schemeClr w14:val="tx1"/>
            </w14:solidFill>
          </w14:textFill>
        </w:rPr>
        <w:t>阳江市阳东区域内设有固定的服务机构以及相应的场地，提供相应房产证或租赁合同复印件；</w:t>
      </w:r>
      <w:r>
        <w:rPr>
          <w:rFonts w:hint="eastAsia" w:ascii="宋体"/>
          <w:color w:val="000000" w:themeColor="text1"/>
          <w:kern w:val="0"/>
          <w:highlight w:val="none"/>
          <w:lang w:val="en-US" w:eastAsia="zh-CN"/>
          <w14:textFill>
            <w14:solidFill>
              <w14:schemeClr w14:val="tx1"/>
            </w14:solidFill>
          </w14:textFill>
        </w:rPr>
        <w:t>如果目前没有在</w:t>
      </w:r>
      <w:r>
        <w:rPr>
          <w:rFonts w:hint="eastAsia" w:ascii="宋体"/>
          <w:color w:val="000000" w:themeColor="text1"/>
          <w:kern w:val="0"/>
          <w:highlight w:val="none"/>
          <w14:textFill>
            <w14:solidFill>
              <w14:schemeClr w14:val="tx1"/>
            </w14:solidFill>
          </w14:textFill>
        </w:rPr>
        <w:t>阳江市阳东区域内设有固定的服务机构以及相应的场地</w:t>
      </w:r>
      <w:r>
        <w:rPr>
          <w:rFonts w:hint="eastAsia" w:ascii="宋体"/>
          <w:color w:val="000000" w:themeColor="text1"/>
          <w:kern w:val="0"/>
          <w:highlight w:val="none"/>
          <w:lang w:val="en-US" w:eastAsia="zh-CN"/>
          <w14:textFill>
            <w14:solidFill>
              <w14:schemeClr w14:val="tx1"/>
            </w14:solidFill>
          </w14:textFill>
        </w:rPr>
        <w:t>的</w:t>
      </w:r>
      <w:r>
        <w:rPr>
          <w:rFonts w:hint="eastAsia" w:ascii="宋体"/>
          <w:color w:val="000000" w:themeColor="text1"/>
          <w:kern w:val="0"/>
          <w:highlight w:val="none"/>
          <w:lang w:eastAsia="zh-CN"/>
          <w14:textFill>
            <w14:solidFill>
              <w14:schemeClr w14:val="tx1"/>
            </w14:solidFill>
          </w14:textFill>
        </w:rPr>
        <w:t>，</w:t>
      </w:r>
      <w:r>
        <w:rPr>
          <w:rFonts w:hint="eastAsia" w:ascii="宋体"/>
          <w:color w:val="000000" w:themeColor="text1"/>
          <w:kern w:val="0"/>
          <w:highlight w:val="none"/>
          <w:lang w:val="en-US" w:eastAsia="zh-CN"/>
          <w14:textFill>
            <w14:solidFill>
              <w14:schemeClr w14:val="tx1"/>
            </w14:solidFill>
          </w14:textFill>
        </w:rPr>
        <w:t>投标人须提供《承诺函》承诺中标通知书发出之日起10日内成立</w:t>
      </w:r>
      <w:r>
        <w:rPr>
          <w:rFonts w:hint="eastAsia" w:ascii="宋体"/>
          <w:color w:val="000000" w:themeColor="text1"/>
          <w:kern w:val="0"/>
          <w:highlight w:val="none"/>
          <w14:textFill>
            <w14:solidFill>
              <w14:schemeClr w14:val="tx1"/>
            </w14:solidFill>
          </w14:textFill>
        </w:rPr>
        <w:t>固定的服务机构以及相应的场地</w:t>
      </w:r>
      <w:r>
        <w:rPr>
          <w:rFonts w:hint="eastAsia" w:ascii="宋体"/>
          <w:color w:val="000000" w:themeColor="text1"/>
          <w:kern w:val="0"/>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停车场必须配备完善的消防设施，确保暂扣车辆的消防安全。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停车场必须建有围墙、门卫室等且 24 小时有人值守，出入口应设有视频监控，且具备防盗功能的设施。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停车场必须配备照明设备，保证 24 小时能够开展工作。 </w:t>
      </w:r>
    </w:p>
    <w:p>
      <w:pPr>
        <w:keepNext w:val="0"/>
        <w:keepLines w:val="0"/>
        <w:pageBreakBefore w:val="0"/>
        <w:widowControl w:val="0"/>
        <w:kinsoku/>
        <w:wordWrap/>
        <w:overflowPunct/>
        <w:topLinePunct w:val="0"/>
        <w:autoSpaceDE/>
        <w:autoSpaceDN/>
        <w:bidi w:val="0"/>
        <w:spacing w:line="360" w:lineRule="auto"/>
        <w:ind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停车场必须设有办公场所，办公面积 100 平方米以上，必须设有资料档案室、价格评估室、人员值班室、宿舍等场所，配备必要的办公设备。 </w:t>
      </w:r>
    </w:p>
    <w:p>
      <w:pPr>
        <w:keepNext w:val="0"/>
        <w:keepLines w:val="0"/>
        <w:pageBreakBefore w:val="0"/>
        <w:widowControl w:val="0"/>
        <w:kinsoku/>
        <w:wordWrap/>
        <w:overflowPunct/>
        <w:topLinePunct w:val="0"/>
        <w:autoSpaceDE/>
        <w:autoSpaceDN/>
        <w:bidi w:val="0"/>
        <w:spacing w:after="120" w:afterLines="0" w:line="360" w:lineRule="auto"/>
        <w:ind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（6）须承诺中标后有配备不少于60吨的地磅。</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spacing w:beforeLines="0" w:line="240" w:lineRule="auto"/>
        <w:rPr>
          <w:rFonts w:ascii="宋体" w:hAnsi="宋体" w:eastAsia="宋体"/>
          <w:b/>
          <w:color w:val="000000" w:themeColor="text1"/>
          <w:sz w:val="21"/>
          <w:szCs w:val="21"/>
          <w:highlight w:val="none"/>
          <w14:textFill>
            <w14:solidFill>
              <w14:schemeClr w14:val="tx1"/>
            </w14:solidFill>
          </w14:textFill>
        </w:rPr>
      </w:pPr>
      <w:bookmarkStart w:id="117" w:name="_Toc6732"/>
      <w:r>
        <w:rPr>
          <w:rFonts w:hint="eastAsia" w:ascii="宋体" w:hAnsi="宋体" w:eastAsia="宋体"/>
          <w:b/>
          <w:color w:val="000000" w:themeColor="text1"/>
          <w:sz w:val="21"/>
          <w:szCs w:val="21"/>
          <w:highlight w:val="none"/>
          <w14:textFill>
            <w14:solidFill>
              <w14:schemeClr w14:val="tx1"/>
            </w14:solidFill>
          </w14:textFill>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5"/>
        <w:numPr>
          <w:ilvl w:val="1"/>
          <w:numId w:val="0"/>
        </w:numPr>
        <w:rPr>
          <w:rFonts w:ascii="宋体" w:hAnsi="宋体"/>
          <w:color w:val="000000" w:themeColor="text1"/>
          <w:sz w:val="21"/>
          <w:szCs w:val="21"/>
          <w:highlight w:val="none"/>
          <w14:textFill>
            <w14:solidFill>
              <w14:schemeClr w14:val="tx1"/>
            </w14:solidFill>
          </w14:textFill>
        </w:rPr>
      </w:pPr>
      <w:bookmarkStart w:id="118" w:name="_Toc434832495"/>
      <w:bookmarkStart w:id="119" w:name="_Toc456272919"/>
      <w:bookmarkStart w:id="120" w:name="_Toc16271"/>
      <w:bookmarkStart w:id="121" w:name="_Toc456648358"/>
      <w:r>
        <w:rPr>
          <w:rFonts w:hint="eastAsia" w:ascii="宋体" w:hAnsi="宋体"/>
          <w:color w:val="000000" w:themeColor="text1"/>
          <w:sz w:val="21"/>
          <w:szCs w:val="21"/>
          <w:highlight w:val="none"/>
          <w14:textFill>
            <w14:solidFill>
              <w14:schemeClr w14:val="tx1"/>
            </w14:solidFill>
          </w14:textFill>
        </w:rPr>
        <w:t>投标人须知前附表</w:t>
      </w:r>
      <w:bookmarkEnd w:id="118"/>
      <w:bookmarkEnd w:id="119"/>
      <w:bookmarkEnd w:id="120"/>
      <w:bookmarkEnd w:id="121"/>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投标人在每一份磋商响应文件上明确标明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为了方便唱标，投标人在递交磋商响应文件的同时，向代理采购机构提交包含“第一次报价一览表”、“投标保证金”、“分项报价表”、“保证金退付书”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（磋商响应截止时间）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投标人未按上述规定对磋商响应文件进行密封和加写标记，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7"/>
              <w:tabs>
                <w:tab w:val="left" w:pos="26"/>
              </w:tabs>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1、磋商响应文件中打“★”号条款必须实质性响应，负偏离（不满足要求）将导致投标无效。</w:t>
            </w:r>
          </w:p>
          <w:p>
            <w:pPr>
              <w:pStyle w:val="7"/>
              <w:tabs>
                <w:tab w:val="left" w:pos="26"/>
              </w:tabs>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广东省政府采购网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http://www.gdgpo.gov.cn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left="0" w:leftChars="0" w:firstLine="0" w:firstLineChars="0"/>
        <w:rPr>
          <w:color w:val="000000" w:themeColor="text1"/>
          <w:highlight w:val="none"/>
          <w14:textFill>
            <w14:solidFill>
              <w14:schemeClr w14:val="tx1"/>
            </w14:solidFill>
          </w14:textFill>
        </w:rPr>
      </w:pPr>
    </w:p>
    <w:p>
      <w:pPr>
        <w:pStyle w:val="26"/>
        <w:adjustRightInd w:val="0"/>
        <w:snapToGrid w:val="0"/>
        <w:spacing w:line="300" w:lineRule="auto"/>
        <w:outlineLvl w:val="1"/>
        <w:rPr>
          <w:rFonts w:hint="eastAsia" w:hAnsi="宋体"/>
          <w:color w:val="000000" w:themeColor="text1"/>
          <w:highlight w:val="none"/>
          <w14:textFill>
            <w14:solidFill>
              <w14:schemeClr w14:val="tx1"/>
            </w14:solidFill>
          </w14:textFill>
        </w:rPr>
      </w:pPr>
      <w:bookmarkStart w:id="122" w:name="_Hlt21938668"/>
      <w:bookmarkEnd w:id="122"/>
      <w:bookmarkStart w:id="123" w:name="_Hlt21938665"/>
      <w:bookmarkEnd w:id="123"/>
      <w:bookmarkStart w:id="124" w:name="_Toc464632120"/>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5" w:name="_Toc13215"/>
      <w:r>
        <w:rPr>
          <w:rFonts w:hint="eastAsia" w:hAnsi="宋体"/>
          <w:color w:val="000000" w:themeColor="text1"/>
          <w:highlight w:val="none"/>
          <w14:textFill>
            <w14:solidFill>
              <w14:schemeClr w14:val="tx1"/>
            </w14:solidFill>
          </w14:textFill>
        </w:rPr>
        <w:t>一、说  明</w:t>
      </w:r>
      <w:bookmarkEnd w:id="124"/>
      <w:bookmarkEnd w:id="125"/>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 适用范围</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1.1本磋商文件适用于本竞争性磋商的采购项目。</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 定义</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2.1“采购人”：是指本次采购项目的最终服务对象。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合格的供应商指：</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1)符合《政府采购法》第二十二条规定的供应商。</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2)符合磋商文件规定的资格要求及特殊条件要求。</w:t>
      </w:r>
    </w:p>
    <w:p>
      <w:pPr>
        <w:autoSpaceDE w:val="0"/>
        <w:autoSpaceDN w:val="0"/>
        <w:adjustRightInd w:val="0"/>
        <w:snapToGrid w:val="0"/>
        <w:spacing w:line="300" w:lineRule="auto"/>
        <w:ind w:left="831" w:leftChars="221" w:right="31" w:rightChars="15" w:hanging="367" w:hangingChars="17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3)本项目是否允许联合体，详见《</w:t>
      </w:r>
      <w:r>
        <w:rPr>
          <w:rFonts w:hint="eastAsia" w:ascii="宋体" w:hAnsi="宋体"/>
          <w:color w:val="000000" w:themeColor="text1"/>
          <w:highlight w:val="none"/>
          <w14:textFill>
            <w14:solidFill>
              <w14:schemeClr w14:val="tx1"/>
            </w14:solidFill>
          </w14:textFill>
        </w:rPr>
        <w:t>采购项目内容</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2.9“日”、“天”系指公历日。</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3. 合格的货物和服务</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3.2 “服务”是指除货物和工程以外的其他政府采购对象,其中包括：供应商须承担的运输、安装、技术支持、培训以及磋商文件规定的其它服务。</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 磋商费用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4.1 供应商应承担所有与准备和参加磋商有关的费用。不论磋商的结果如何，采购代理机构和采购人均无义务和责任承担这些费用。</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4.2本次采购向成交供应商收取的成交服务费，按国家有关规定执行。</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6" w:name="_Toc464632121"/>
      <w:bookmarkStart w:id="127" w:name="_Toc7063"/>
      <w:r>
        <w:rPr>
          <w:rFonts w:hint="eastAsia" w:hAnsi="宋体"/>
          <w:color w:val="000000" w:themeColor="text1"/>
          <w:highlight w:val="none"/>
          <w14:textFill>
            <w14:solidFill>
              <w14:schemeClr w14:val="tx1"/>
            </w14:solidFill>
          </w14:textFill>
        </w:rPr>
        <w:t>二、磋商文件</w:t>
      </w:r>
      <w:bookmarkEnd w:id="126"/>
      <w:bookmarkEnd w:id="127"/>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  磋商文件的构成</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5.1磋商文件由下列文件以及在磋商过程中发出的修正和补充文件组成：</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采购邀请</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采购项目内容</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磋商须知</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合同书格式</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响应文件格式</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 其他：详见《磋商须知前附表》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 在磋商过程中由招标采购单位发出的修正和补充文件等；</w:t>
      </w:r>
    </w:p>
    <w:p>
      <w:pPr>
        <w:pStyle w:val="26"/>
        <w:adjustRightInd w:val="0"/>
        <w:snapToGrid w:val="0"/>
        <w:spacing w:line="300" w:lineRule="auto"/>
        <w:ind w:left="420" w:hanging="42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6"/>
        <w:adjustRightInd w:val="0"/>
        <w:snapToGrid w:val="0"/>
        <w:spacing w:line="300" w:lineRule="auto"/>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  踏勘现场</w:t>
      </w:r>
      <w:r>
        <w:rPr>
          <w:rFonts w:hint="eastAsia" w:hAnsi="宋体"/>
          <w:b/>
          <w:snapToGrid w:val="0"/>
          <w:color w:val="000000" w:themeColor="text1"/>
          <w:kern w:val="0"/>
          <w:highlight w:val="none"/>
          <w:u w:val="single"/>
          <w14:textFill>
            <w14:solidFill>
              <w14:schemeClr w14:val="tx1"/>
            </w14:solidFill>
          </w14:textFill>
        </w:rPr>
        <w:t>(本条款不适用)</w:t>
      </w:r>
    </w:p>
    <w:p>
      <w:pPr>
        <w:pStyle w:val="26"/>
        <w:adjustRightInd w:val="0"/>
        <w:snapToGrid w:val="0"/>
        <w:spacing w:line="300" w:lineRule="auto"/>
        <w:ind w:left="420" w:hanging="420" w:hangingChars="20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6"/>
        <w:adjustRightInd w:val="0"/>
        <w:snapToGrid w:val="0"/>
        <w:spacing w:line="300" w:lineRule="auto"/>
        <w:ind w:left="360" w:hanging="36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28" w:name="_Toc464632122"/>
      <w:bookmarkStart w:id="129" w:name="_Toc2086"/>
      <w:r>
        <w:rPr>
          <w:rFonts w:hint="eastAsia" w:hAnsi="宋体"/>
          <w:color w:val="000000" w:themeColor="text1"/>
          <w:highlight w:val="none"/>
          <w14:textFill>
            <w14:solidFill>
              <w14:schemeClr w14:val="tx1"/>
            </w14:solidFill>
          </w14:textFill>
        </w:rPr>
        <w:t>三、响应文件的编制</w:t>
      </w:r>
      <w:bookmarkEnd w:id="128"/>
      <w:bookmarkEnd w:id="129"/>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7．响应文件的组成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报价信封必须另单独分装。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报价样板</w:t>
      </w:r>
      <w:r>
        <w:rPr>
          <w:rFonts w:hint="eastAsia" w:ascii="宋体" w:hAnsi="宋体"/>
          <w:b/>
          <w:snapToGrid w:val="0"/>
          <w:color w:val="000000" w:themeColor="text1"/>
          <w:kern w:val="0"/>
          <w:szCs w:val="21"/>
          <w:highlight w:val="none"/>
          <w:u w:val="single"/>
          <w14:textFill>
            <w14:solidFill>
              <w14:schemeClr w14:val="tx1"/>
            </w14:solidFill>
          </w14:textFill>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供应商提交的报价样板应标注：项目名称、采购项目编号、货物/样板名称、型号/规格、供应商名称等内容，报价样板内容及数量。</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8 响应文件编制基本要求</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8.1 供应商对响应文件的编制应按要求装订和封装。</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8.4如因供应商只填写和提供了本文件要求的部分内容和附件，而给磋商造成困难的，其可能导致的结果和责任由供应商自行承担。 </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9. 计量单位：</w:t>
      </w:r>
    </w:p>
    <w:p>
      <w:pPr>
        <w:spacing w:line="300" w:lineRule="auto"/>
        <w:ind w:left="360" w:hanging="36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0" w:name="_Toc464632123"/>
      <w:bookmarkStart w:id="131" w:name="_Toc16957"/>
      <w:r>
        <w:rPr>
          <w:rFonts w:hint="eastAsia" w:hAnsi="宋体"/>
          <w:color w:val="000000" w:themeColor="text1"/>
          <w:highlight w:val="none"/>
          <w14:textFill>
            <w14:solidFill>
              <w14:schemeClr w14:val="tx1"/>
            </w14:solidFill>
          </w14:textFill>
        </w:rPr>
        <w:t>四、磋商报价要求和供应商资格证明文件的要求</w:t>
      </w:r>
      <w:bookmarkEnd w:id="130"/>
      <w:bookmarkEnd w:id="131"/>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10. 对于本文件中未列明，而供应商认为必需的费用也需列入总报价。在合同实施时，采购人将不予支付成交供应商没有列入的项目费用，并认为此项目的费用已包括在总报价中。</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11. 成交供应商负责本项目所需货物的制造、运输、售后服务等全部工作。</w:t>
      </w:r>
    </w:p>
    <w:p>
      <w:pPr>
        <w:pStyle w:val="26"/>
        <w:adjustRightInd w:val="0"/>
        <w:snapToGrid w:val="0"/>
        <w:spacing w:line="300" w:lineRule="auto"/>
        <w:ind w:left="420" w:hanging="420"/>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12. 本项目投标报价不能高于采购预算（或最高限价），否则将被视为无效投标。</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供应商资格证明文件</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3</w:t>
      </w:r>
      <w:r>
        <w:rPr>
          <w:rFonts w:hAnsi="宋体"/>
          <w:color w:val="000000" w:themeColor="text1"/>
          <w:highlight w:val="none"/>
          <w14:textFill>
            <w14:solidFill>
              <w14:schemeClr w14:val="tx1"/>
            </w14:solidFill>
          </w14:textFill>
        </w:rPr>
        <w:t>.1</w:t>
      </w:r>
      <w:r>
        <w:rPr>
          <w:rFonts w:hint="eastAsia" w:hAnsi="宋体"/>
          <w:color w:val="000000" w:themeColor="text1"/>
          <w:highlight w:val="none"/>
          <w14:textFill>
            <w14:solidFill>
              <w14:schemeClr w14:val="tx1"/>
            </w14:solidFill>
          </w14:textFill>
        </w:rPr>
        <w:t>供应商应按磋商文件的要求，提交证明其有资格参加磋商和成交后有履行合同能力的文件，并作为其响应文件的组成部分。</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13.2资格证明文件必须真实有效，复印件必须加盖单位印章。</w:t>
      </w:r>
    </w:p>
    <w:p>
      <w:pPr>
        <w:pStyle w:val="26"/>
        <w:adjustRightInd w:val="0"/>
        <w:snapToGrid w:val="0"/>
        <w:spacing w:line="30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证明货物和服务与磋商文件的要求相一致的文件可以是文字资料、图纸、数据资料等。</w:t>
      </w:r>
    </w:p>
    <w:p>
      <w:pPr>
        <w:pStyle w:val="26"/>
        <w:adjustRightInd w:val="0"/>
        <w:snapToGrid w:val="0"/>
        <w:spacing w:line="300" w:lineRule="auto"/>
        <w:ind w:left="420" w:hanging="420"/>
        <w:rPr>
          <w:rFonts w:hAnsi="宋体"/>
          <w:b/>
          <w:color w:val="000000" w:themeColor="text1"/>
          <w:kern w:val="0"/>
          <w:highlight w:val="none"/>
          <w:u w:val="singl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2" w:name="_Toc464632124"/>
      <w:bookmarkStart w:id="133" w:name="_Toc3360"/>
      <w:r>
        <w:rPr>
          <w:rFonts w:hint="eastAsia" w:hAnsi="宋体"/>
          <w:color w:val="000000" w:themeColor="text1"/>
          <w:highlight w:val="none"/>
          <w14:textFill>
            <w14:solidFill>
              <w14:schemeClr w14:val="tx1"/>
            </w14:solidFill>
          </w14:textFill>
        </w:rPr>
        <w:t>五、保证金</w:t>
      </w:r>
      <w:bookmarkEnd w:id="132"/>
      <w:bookmarkEnd w:id="133"/>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14:textFill>
            <w14:solidFill>
              <w14:schemeClr w14:val="tx1"/>
            </w14:solidFill>
          </w14:textFill>
        </w:rPr>
        <w:t>招标采购单位</w:t>
      </w:r>
      <w:r>
        <w:rPr>
          <w:rFonts w:hint="eastAsia" w:ascii="宋体" w:hAnsi="宋体"/>
          <w:color w:val="000000" w:themeColor="text1"/>
          <w:szCs w:val="21"/>
          <w:highlight w:val="none"/>
          <w14:textFill>
            <w14:solidFill>
              <w14:schemeClr w14:val="tx1"/>
            </w14:solidFill>
          </w14:textFill>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15.5</w:t>
      </w:r>
      <w:r>
        <w:rPr>
          <w:rFonts w:hint="eastAsia" w:ascii="宋体" w:hAnsi="宋体"/>
          <w:color w:val="000000" w:themeColor="text1"/>
          <w:kern w:val="0"/>
          <w:szCs w:val="21"/>
          <w:highlight w:val="none"/>
          <w14:textFill>
            <w14:solidFill>
              <w14:schemeClr w14:val="tx1"/>
            </w14:solidFill>
          </w14:textFill>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4" w:name="_Toc464632125"/>
      <w:bookmarkStart w:id="135" w:name="_Toc6069"/>
      <w:r>
        <w:rPr>
          <w:rFonts w:hint="eastAsia" w:hAnsi="宋体"/>
          <w:color w:val="000000" w:themeColor="text1"/>
          <w:highlight w:val="none"/>
          <w14:textFill>
            <w14:solidFill>
              <w14:schemeClr w14:val="tx1"/>
            </w14:solidFill>
          </w14:textFill>
        </w:rPr>
        <w:t>六、响应文件的份数、封装和递交</w:t>
      </w:r>
      <w:bookmarkEnd w:id="134"/>
      <w:bookmarkEnd w:id="135"/>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16.2 响应文件的正本需打印或用不褪色墨水书写，并由法定代表人（负责人）或经其正式授权的代表签字。授权代表须出具书面授权证明，其《法定代表人（负责人）授权书》应附在响应文件中。</w:t>
      </w:r>
    </w:p>
    <w:p>
      <w:pPr>
        <w:pStyle w:val="26"/>
        <w:adjustRightInd w:val="0"/>
        <w:snapToGrid w:val="0"/>
        <w:spacing w:line="300" w:lineRule="auto"/>
        <w:ind w:left="473" w:hanging="472" w:hangingChars="225"/>
        <w:rPr>
          <w:rFonts w:hAnsi="宋体"/>
          <w:color w:val="000000" w:themeColor="text1"/>
          <w:kern w:val="0"/>
          <w:highlight w:val="none"/>
          <w14:textFill>
            <w14:solidFill>
              <w14:schemeClr w14:val="tx1"/>
            </w14:solidFill>
          </w14:textFill>
        </w:rPr>
      </w:pPr>
      <w:r>
        <w:rPr>
          <w:rFonts w:hint="eastAsia" w:hAnsi="宋体"/>
          <w:color w:val="000000" w:themeColor="text1"/>
          <w:kern w:val="0"/>
          <w:highlight w:val="none"/>
          <w14:textFill>
            <w14:solidFill>
              <w14:schemeClr w14:val="tx1"/>
            </w14:solidFill>
          </w14:textFill>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16.4 响应文件的报价有效期为从报价截止日起</w:t>
      </w:r>
      <w:r>
        <w:rPr>
          <w:rFonts w:hint="eastAsia" w:ascii="宋体" w:hAnsi="宋体"/>
          <w:color w:val="000000" w:themeColor="text1"/>
          <w:kern w:val="0"/>
          <w:szCs w:val="21"/>
          <w:highlight w:val="none"/>
          <w:u w:val="single"/>
          <w14:textFill>
            <w14:solidFill>
              <w14:schemeClr w14:val="tx1"/>
            </w14:solidFill>
          </w14:textFill>
        </w:rPr>
        <w:t>90天</w:t>
      </w:r>
      <w:r>
        <w:rPr>
          <w:rFonts w:hint="eastAsia" w:ascii="宋体" w:hAnsi="宋体"/>
          <w:color w:val="000000" w:themeColor="text1"/>
          <w:kern w:val="0"/>
          <w:szCs w:val="21"/>
          <w:highlight w:val="none"/>
          <w14:textFill>
            <w14:solidFill>
              <w14:schemeClr w14:val="tx1"/>
            </w14:solidFill>
          </w14:textFill>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6" w:name="_Toc464632126"/>
      <w:bookmarkStart w:id="137" w:name="_Toc29226"/>
      <w:r>
        <w:rPr>
          <w:rFonts w:hint="eastAsia" w:hAnsi="宋体"/>
          <w:color w:val="000000" w:themeColor="text1"/>
          <w:highlight w:val="none"/>
          <w14:textFill>
            <w14:solidFill>
              <w14:schemeClr w14:val="tx1"/>
            </w14:solidFill>
          </w14:textFill>
        </w:rPr>
        <w:t>七、磋商的步骤</w:t>
      </w:r>
      <w:bookmarkEnd w:id="136"/>
      <w:bookmarkEnd w:id="137"/>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  磋商文件的澄清</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  磋商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在资格性审查、符合性检查时，如发现下列情形之一的，响应文件将被视为</w:t>
      </w:r>
      <w:r>
        <w:rPr>
          <w:rFonts w:hint="eastAsia" w:ascii="宋体" w:hAnsi="宋体"/>
          <w:b/>
          <w:color w:val="000000" w:themeColor="text1"/>
          <w:kern w:val="0"/>
          <w:szCs w:val="21"/>
          <w:highlight w:val="none"/>
          <w14:textFill>
            <w14:solidFill>
              <w14:schemeClr w14:val="tx1"/>
            </w14:solidFill>
          </w14:textFill>
        </w:rPr>
        <w:t>响应无效</w:t>
      </w:r>
      <w:r>
        <w:rPr>
          <w:rFonts w:hint="eastAsia" w:ascii="宋体" w:hAnsi="宋体"/>
          <w:b/>
          <w:color w:val="000000" w:themeColor="text1"/>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投标下浮率不符合招标文件规定的</w:t>
      </w:r>
      <w:r>
        <w:rPr>
          <w:rFonts w:hint="eastAsia" w:ascii="宋体" w:hAnsi="宋体"/>
          <w:color w:val="000000" w:themeColor="text1"/>
          <w:kern w:val="0"/>
          <w:szCs w:val="21"/>
          <w:highlight w:val="none"/>
          <w14:textFill>
            <w14:solidFill>
              <w14:schemeClr w14:val="tx1"/>
            </w14:solidFill>
          </w14:textFill>
        </w:rPr>
        <w:t>；</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10)不符合法律、法规规定的其他实质性要求的。</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19.3磋商小组与单一供应商围绕技术、商务、合同条款等内容分别进行磋商。在磋商过程中，磋商小组应当严格遵循保密原则，未经供应商同意不得向任何人透露当事人技术、价格和其他重要信息。</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19.8代理机构对磋商过程和重要磋商内容进行记录。</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19.9 经磋商确定最终采购需求和提交最后报价的供应商后，由磋商小组采用评审方法</w:t>
      </w:r>
      <w:r>
        <w:rPr>
          <w:rFonts w:hint="eastAsia" w:hAnsi="宋体"/>
          <w:color w:val="000000" w:themeColor="text1"/>
          <w:szCs w:val="21"/>
          <w:highlight w:val="none"/>
          <w14:textFill>
            <w14:solidFill>
              <w14:schemeClr w14:val="tx1"/>
            </w14:solidFill>
          </w14:textFill>
        </w:rPr>
        <w:t>详见</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第四部分</w:t>
      </w:r>
      <w:r>
        <w:rPr>
          <w:rFonts w:hAnsi="宋体" w:cs="宋体"/>
          <w:color w:val="000000" w:themeColor="text1"/>
          <w:szCs w:val="21"/>
          <w:highlight w:val="none"/>
          <w14:textFill>
            <w14:solidFill>
              <w14:schemeClr w14:val="tx1"/>
            </w14:solidFill>
          </w14:textFill>
        </w:rPr>
        <w:t>磋商、评审、成交</w:t>
      </w:r>
      <w:r>
        <w:rPr>
          <w:rFonts w:hint="eastAsia" w:hAnsi="宋体"/>
          <w:color w:val="000000" w:themeColor="text1"/>
          <w:kern w:val="0"/>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1)商务评审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2)技术评审</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评分标准（公式）：磋商报价得分＝</w:t>
      </w:r>
      <w:r>
        <w:rPr>
          <w:rFonts w:ascii="宋体" w:hAnsi="宋体"/>
          <w:color w:val="000000" w:themeColor="text1"/>
          <w:kern w:val="0"/>
          <w:szCs w:val="21"/>
          <w:highlight w:val="none"/>
          <w14:textFill>
            <w14:solidFill>
              <w14:schemeClr w14:val="tx1"/>
            </w14:solidFill>
          </w14:textFill>
        </w:rPr>
        <w:fldChar w:fldCharType="begin"/>
      </w:r>
      <w:r>
        <w:rPr>
          <w:rFonts w:ascii="宋体" w:hAnsi="宋体"/>
          <w:color w:val="000000" w:themeColor="text1"/>
          <w:kern w:val="0"/>
          <w:szCs w:val="21"/>
          <w:highlight w:val="none"/>
          <w14:textFill>
            <w14:solidFill>
              <w14:schemeClr w14:val="tx1"/>
            </w14:solidFill>
          </w14:textFill>
        </w:rPr>
        <w:instrText xml:space="preserve"> EQ \F(</w:instrText>
      </w:r>
      <w:r>
        <w:rPr>
          <w:rFonts w:hint="eastAsia" w:ascii="宋体" w:hAnsi="宋体"/>
          <w:color w:val="000000" w:themeColor="text1"/>
          <w:kern w:val="0"/>
          <w:szCs w:val="21"/>
          <w:highlight w:val="none"/>
          <w14:textFill>
            <w14:solidFill>
              <w14:schemeClr w14:val="tx1"/>
            </w14:solidFill>
          </w14:textFill>
        </w:rPr>
        <w:instrText xml:space="preserve">磋商基准价</w:instrText>
      </w:r>
      <w:r>
        <w:rPr>
          <w:rFonts w:ascii="宋体" w:hAnsi="宋体"/>
          <w:color w:val="000000" w:themeColor="text1"/>
          <w:kern w:val="0"/>
          <w:szCs w:val="21"/>
          <w:highlight w:val="none"/>
          <w14:textFill>
            <w14:solidFill>
              <w14:schemeClr w14:val="tx1"/>
            </w14:solidFill>
          </w14:textFill>
        </w:rPr>
        <w:instrText xml:space="preserve">,</w:instrText>
      </w:r>
      <w:r>
        <w:rPr>
          <w:rFonts w:hint="eastAsia" w:ascii="宋体" w:hAnsi="宋体"/>
          <w:color w:val="000000" w:themeColor="text1"/>
          <w:kern w:val="0"/>
          <w:szCs w:val="21"/>
          <w:highlight w:val="none"/>
          <w14:textFill>
            <w14:solidFill>
              <w14:schemeClr w14:val="tx1"/>
            </w14:solidFill>
          </w14:textFill>
        </w:rPr>
        <w:instrText xml:space="preserve">最后磋商报价</w:instrText>
      </w:r>
      <w:r>
        <w:rPr>
          <w:rFonts w:ascii="宋体" w:hAnsi="宋体"/>
          <w:color w:val="000000" w:themeColor="text1"/>
          <w:kern w:val="0"/>
          <w:szCs w:val="21"/>
          <w:highlight w:val="none"/>
          <w14:textFill>
            <w14:solidFill>
              <w14:schemeClr w14:val="tx1"/>
            </w14:solidFill>
          </w14:textFill>
        </w:rPr>
        <w:instrText xml:space="preserve">) </w:instrText>
      </w:r>
      <w:r>
        <w:rPr>
          <w:rFonts w:ascii="宋体" w:hAnsi="宋体"/>
          <w:color w:val="000000" w:themeColor="text1"/>
          <w:kern w:val="0"/>
          <w:szCs w:val="21"/>
          <w:highlight w:val="none"/>
          <w14:textFill>
            <w14:solidFill>
              <w14:schemeClr w14:val="tx1"/>
            </w14:solidFill>
          </w14:textFill>
        </w:rPr>
        <w:fldChar w:fldCharType="end"/>
      </w:r>
      <w:r>
        <w:rPr>
          <w:rFonts w:hint="eastAsia" w:ascii="宋体" w:hAnsi="宋体"/>
          <w:color w:val="000000" w:themeColor="text1"/>
          <w:kern w:val="0"/>
          <w:szCs w:val="21"/>
          <w:highlight w:val="none"/>
          <w14:textFill>
            <w14:solidFill>
              <w14:schemeClr w14:val="tx1"/>
            </w14:solidFill>
          </w14:textFill>
        </w:rPr>
        <w:t>×价格分值</w:t>
      </w:r>
    </w:p>
    <w:p>
      <w:pPr>
        <w:pStyle w:val="46"/>
        <w:widowControl w:val="0"/>
        <w:spacing w:before="0" w:beforeAutospacing="0" w:after="0" w:afterAutospacing="0" w:line="300" w:lineRule="auto"/>
        <w:ind w:left="840" w:leftChars="400" w:right="657" w:rightChars="313"/>
        <w:rPr>
          <w:color w:val="000000" w:themeColor="text1"/>
          <w:sz w:val="21"/>
          <w:szCs w:val="21"/>
          <w:highlight w:val="none"/>
          <w14:textFill>
            <w14:solidFill>
              <w14:schemeClr w14:val="tx1"/>
            </w14:solidFill>
          </w14:textFill>
        </w:rPr>
      </w:pPr>
      <w:r>
        <w:rPr>
          <w:rFonts w:hint="eastAsia"/>
          <w:iCs/>
          <w:color w:val="000000" w:themeColor="text1"/>
          <w:szCs w:val="21"/>
          <w:highlight w:val="none"/>
          <w14:textFill>
            <w14:solidFill>
              <w14:schemeClr w14:val="tx1"/>
            </w14:solidFill>
          </w14:textFill>
        </w:rPr>
        <w:t>备注：</w:t>
      </w:r>
      <w:r>
        <w:rPr>
          <w:rFonts w:hint="eastAsia"/>
          <w:color w:val="000000" w:themeColor="text1"/>
          <w:sz w:val="21"/>
          <w:szCs w:val="21"/>
          <w:highlight w:val="none"/>
          <w14:textFill>
            <w14:solidFill>
              <w14:schemeClr w14:val="tx1"/>
            </w14:solidFill>
          </w14:textFill>
        </w:rPr>
        <w:t>1、价格修正：投标人的投标报价中经磋商小组确定为供货范围（包括货物、工程和服务）缺漏项，而进行调整的，调整价为该项目在其他有效投标中的最高报价。</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2、磋商小组将按照上述修正错误的方法调整该投标人的投标文件中的投标报价，调整后的价格对投标人具有约束力。如果投标人不接受修正后的投标价格，则其投标将被拒绝。</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3.1中小企业划分标准以《工业和信息化部、国家统计局、国家发展和改革委员会、财政部关于印发中小企业划型标准规定的通知》（工信部联企业[2011]300号）规定的划分标准为准。</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3.2小型、微型企业提供中型企业制造的货物的，视同为中型企业。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4、监狱企业视同小型、微型企业，享受评审中价格扣除。</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6"/>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5.投标人同时为小型、微型企业和监狱企业的，评审中只享受一次价格扣除。不重复进行价格扣除。</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19.10推荐成交候选人：</w:t>
      </w:r>
      <w:r>
        <w:rPr>
          <w:rFonts w:hint="eastAsia" w:hAnsi="宋体"/>
          <w:color w:val="000000" w:themeColor="text1"/>
          <w:kern w:val="0"/>
          <w:highlight w:val="none"/>
          <w14:textFill>
            <w14:solidFill>
              <w14:schemeClr w14:val="tx1"/>
            </w14:solidFill>
          </w14:textFill>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14:textFill>
            <w14:solidFill>
              <w14:schemeClr w14:val="tx1"/>
            </w14:solidFill>
          </w14:textFill>
        </w:rPr>
        <w:t>将综合得分从高到低排序，得出</w:t>
      </w:r>
      <w:r>
        <w:rPr>
          <w:rFonts w:hint="eastAsia" w:hAnsi="宋体"/>
          <w:color w:val="000000" w:themeColor="text1"/>
          <w:kern w:val="0"/>
          <w:highlight w:val="none"/>
          <w14:textFill>
            <w14:solidFill>
              <w14:schemeClr w14:val="tx1"/>
            </w14:solidFill>
          </w14:textFill>
        </w:rPr>
        <w:t>供应商</w:t>
      </w:r>
      <w:r>
        <w:rPr>
          <w:rFonts w:hint="eastAsia" w:hAnsi="宋体"/>
          <w:color w:val="000000" w:themeColor="text1"/>
          <w:highlight w:val="none"/>
          <w14:textFill>
            <w14:solidFill>
              <w14:schemeClr w14:val="tx1"/>
            </w14:solidFill>
          </w14:textFill>
        </w:rPr>
        <w:t>名次（</w:t>
      </w:r>
      <w:r>
        <w:rPr>
          <w:rFonts w:hAnsi="宋体"/>
          <w:color w:val="000000" w:themeColor="text1"/>
          <w:highlight w:val="none"/>
          <w14:textFill>
            <w14:solidFill>
              <w14:schemeClr w14:val="tx1"/>
            </w14:solidFill>
          </w14:textFill>
        </w:rPr>
        <w:t>得分相同的，按</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w:t>
      </w:r>
      <w:r>
        <w:rPr>
          <w:rFonts w:hint="eastAsia" w:hAnsi="宋体"/>
          <w:color w:val="000000" w:themeColor="text1"/>
          <w:highlight w:val="none"/>
          <w14:textFill>
            <w14:solidFill>
              <w14:schemeClr w14:val="tx1"/>
            </w14:solidFill>
          </w14:textFill>
        </w:rPr>
        <w:t>最后</w:t>
      </w:r>
      <w:r>
        <w:rPr>
          <w:rFonts w:hAnsi="宋体"/>
          <w:color w:val="000000" w:themeColor="text1"/>
          <w:highlight w:val="none"/>
          <w14:textFill>
            <w14:solidFill>
              <w14:schemeClr w14:val="tx1"/>
            </w14:solidFill>
          </w14:textFill>
        </w:rPr>
        <w:t>报价相同的，按</w:t>
      </w:r>
      <w:r>
        <w:rPr>
          <w:rFonts w:hint="eastAsia" w:hAnsi="宋体"/>
          <w:color w:val="000000" w:themeColor="text1"/>
          <w:highlight w:val="none"/>
          <w14:textFill>
            <w14:solidFill>
              <w14:schemeClr w14:val="tx1"/>
            </w14:solidFill>
          </w14:textFill>
        </w:rPr>
        <w:t>技术</w:t>
      </w:r>
      <w:r>
        <w:rPr>
          <w:rFonts w:hAnsi="宋体"/>
          <w:color w:val="000000" w:themeColor="text1"/>
          <w:highlight w:val="none"/>
          <w14:textFill>
            <w14:solidFill>
              <w14:schemeClr w14:val="tx1"/>
            </w14:solidFill>
          </w14:textFill>
        </w:rPr>
        <w:t>优劣顺序排列</w:t>
      </w:r>
      <w:r>
        <w:rPr>
          <w:rFonts w:hint="eastAsia" w:hAnsi="宋体"/>
          <w:color w:val="000000" w:themeColor="text1"/>
          <w:highlight w:val="none"/>
          <w14:textFill>
            <w14:solidFill>
              <w14:schemeClr w14:val="tx1"/>
            </w14:solidFill>
          </w14:textFill>
        </w:rPr>
        <w:t>），推荐 3 名成交候选人。</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p>
    <w:p>
      <w:pPr>
        <w:pStyle w:val="26"/>
        <w:adjustRightInd w:val="0"/>
        <w:snapToGrid w:val="0"/>
        <w:spacing w:line="300" w:lineRule="auto"/>
        <w:outlineLvl w:val="1"/>
        <w:rPr>
          <w:rFonts w:hAnsi="宋体"/>
          <w:color w:val="000000" w:themeColor="text1"/>
          <w:highlight w:val="none"/>
          <w14:textFill>
            <w14:solidFill>
              <w14:schemeClr w14:val="tx1"/>
            </w14:solidFill>
          </w14:textFill>
        </w:rPr>
      </w:pPr>
      <w:bookmarkStart w:id="138" w:name="_Toc92"/>
      <w:bookmarkStart w:id="139" w:name="_Toc464632127"/>
      <w:r>
        <w:rPr>
          <w:rFonts w:hint="eastAsia" w:hAnsi="宋体"/>
          <w:color w:val="000000" w:themeColor="text1"/>
          <w:highlight w:val="none"/>
          <w14:textFill>
            <w14:solidFill>
              <w14:schemeClr w14:val="tx1"/>
            </w14:solidFill>
          </w14:textFill>
        </w:rPr>
        <w:t>八、确定成交供应商办法</w:t>
      </w:r>
      <w:bookmarkEnd w:id="138"/>
      <w:bookmarkEnd w:id="139"/>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  确定成交供应商</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20.2 </w:t>
      </w:r>
      <w:r>
        <w:rPr>
          <w:rFonts w:hint="eastAsia" w:ascii="宋体" w:hAnsi="宋体"/>
          <w:color w:val="000000" w:themeColor="text1"/>
          <w:kern w:val="0"/>
          <w:szCs w:val="21"/>
          <w:highlight w:val="none"/>
          <w14:textFill>
            <w14:solidFill>
              <w14:schemeClr w14:val="tx1"/>
            </w14:solidFill>
          </w14:textFill>
        </w:rPr>
        <w:t>成交供应商确定后，</w:t>
      </w:r>
      <w:r>
        <w:rPr>
          <w:rFonts w:hint="eastAsia" w:ascii="宋体" w:hAnsi="宋体"/>
          <w:color w:val="000000" w:themeColor="text1"/>
          <w:szCs w:val="21"/>
          <w:highlight w:val="none"/>
          <w14:textFill>
            <w14:solidFill>
              <w14:schemeClr w14:val="tx1"/>
            </w14:solidFill>
          </w14:textFill>
        </w:rPr>
        <w:t>成交结果将于指定媒体公告：</w:t>
      </w:r>
      <w:r>
        <w:rPr>
          <w:rFonts w:hint="eastAsia" w:ascii="黑体" w:eastAsia="黑体"/>
          <w:bCs/>
          <w:color w:val="000000" w:themeColor="text1"/>
          <w:highlight w:val="none"/>
          <w14:textFill>
            <w14:solidFill>
              <w14:schemeClr w14:val="tx1"/>
            </w14:solidFill>
          </w14:textFill>
        </w:rPr>
        <w:t>详见第三部份《磋商须知〈投标人须知前附表〉》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w:t>
      </w:r>
      <w:r>
        <w:rPr>
          <w:rFonts w:hint="eastAsia" w:ascii="宋体" w:hAnsi="宋体"/>
          <w:color w:val="000000" w:themeColor="text1"/>
          <w:kern w:val="0"/>
          <w:szCs w:val="21"/>
          <w:highlight w:val="none"/>
          <w14:textFill>
            <w14:solidFill>
              <w14:schemeClr w14:val="tx1"/>
            </w14:solidFill>
          </w14:textFill>
        </w:rPr>
        <w:t>供应商</w:t>
      </w:r>
      <w:r>
        <w:rPr>
          <w:rFonts w:hint="eastAsia" w:ascii="宋体" w:hAnsi="宋体"/>
          <w:color w:val="000000" w:themeColor="text1"/>
          <w:szCs w:val="21"/>
          <w:highlight w:val="none"/>
          <w14:textFill>
            <w14:solidFill>
              <w14:schemeClr w14:val="tx1"/>
            </w14:solidFill>
          </w14:textFill>
        </w:rPr>
        <w:t>发出成交通知书。</w:t>
      </w:r>
    </w:p>
    <w:p>
      <w:pPr>
        <w:pStyle w:val="26"/>
        <w:adjustRightInd w:val="0"/>
        <w:snapToGrid w:val="0"/>
        <w:spacing w:line="300" w:lineRule="auto"/>
        <w:ind w:left="420" w:hanging="420" w:hanging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21. 替补候选人的设定与使用。</w:t>
      </w:r>
      <w:r>
        <w:rPr>
          <w:rFonts w:hint="eastAsia" w:hAnsi="宋体"/>
          <w:color w:val="000000" w:themeColor="text1"/>
          <w:kern w:val="0"/>
          <w:highlight w:val="none"/>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olor w:val="000000" w:themeColor="text1"/>
          <w:highlight w:val="none"/>
          <w14:textFill>
            <w14:solidFill>
              <w14:schemeClr w14:val="tx1"/>
            </w14:solidFill>
          </w14:textFill>
        </w:rPr>
        <w:t>监管部门批准后，</w:t>
      </w:r>
      <w:r>
        <w:rPr>
          <w:rFonts w:hint="eastAsia" w:hAnsi="宋体"/>
          <w:color w:val="000000" w:themeColor="text1"/>
          <w:kern w:val="0"/>
          <w:highlight w:val="none"/>
          <w14:textFill>
            <w14:solidFill>
              <w14:schemeClr w14:val="tx1"/>
            </w14:solidFill>
          </w14:textFill>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 项目响应无效处理</w:t>
      </w:r>
    </w:p>
    <w:p>
      <w:pPr>
        <w:spacing w:line="300" w:lineRule="auto"/>
        <w:ind w:left="420" w:hanging="420" w:hanging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 因重大变故，采购任务取消的。</w:t>
      </w:r>
    </w:p>
    <w:p>
      <w:pPr>
        <w:tabs>
          <w:tab w:val="left" w:pos="540"/>
        </w:tabs>
        <w:spacing w:line="300" w:lineRule="auto"/>
        <w:ind w:left="420" w:left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14:textFill>
            <w14:solidFill>
              <w14:schemeClr w14:val="tx1"/>
            </w14:solidFill>
          </w14:textFill>
        </w:rPr>
      </w:pPr>
      <w:bookmarkStart w:id="140" w:name="_Toc464632128"/>
      <w:bookmarkStart w:id="141" w:name="_Toc6277"/>
      <w:r>
        <w:rPr>
          <w:rFonts w:hint="eastAsia" w:ascii="宋体" w:hAnsi="宋体"/>
          <w:color w:val="000000" w:themeColor="text1"/>
          <w:szCs w:val="21"/>
          <w:highlight w:val="none"/>
          <w14:textFill>
            <w14:solidFill>
              <w14:schemeClr w14:val="tx1"/>
            </w14:solidFill>
          </w14:textFill>
        </w:rPr>
        <w:t>九、质疑</w:t>
      </w:r>
      <w:bookmarkEnd w:id="140"/>
      <w:bookmarkEnd w:id="141"/>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14:textFill>
            <w14:solidFill>
              <w14:schemeClr w14:val="tx1"/>
            </w14:solidFill>
          </w14:textFill>
        </w:rPr>
      </w:pPr>
      <w:bookmarkStart w:id="142" w:name="_Toc345675374"/>
      <w:bookmarkStart w:id="143" w:name="_Toc322033397"/>
      <w:bookmarkStart w:id="144" w:name="_Toc30077"/>
      <w:bookmarkStart w:id="145" w:name="_Toc464632129"/>
      <w:r>
        <w:rPr>
          <w:rFonts w:hint="eastAsia" w:ascii="宋体" w:hAnsi="宋体"/>
          <w:color w:val="000000" w:themeColor="text1"/>
          <w:szCs w:val="21"/>
          <w:highlight w:val="none"/>
          <w14:textFill>
            <w14:solidFill>
              <w14:schemeClr w14:val="tx1"/>
            </w14:solidFill>
          </w14:textFill>
        </w:rPr>
        <w:t>十、成交服务费</w:t>
      </w:r>
      <w:bookmarkEnd w:id="142"/>
      <w:bookmarkEnd w:id="143"/>
      <w:bookmarkEnd w:id="144"/>
      <w:bookmarkEnd w:id="145"/>
    </w:p>
    <w:p>
      <w:pPr>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  成交服务费:</w:t>
      </w:r>
      <w:r>
        <w:rPr>
          <w:rFonts w:hint="eastAsia" w:ascii="黑体" w:eastAsia="黑体"/>
          <w:bCs/>
          <w:color w:val="000000" w:themeColor="text1"/>
          <w:highlight w:val="none"/>
          <w14:textFill>
            <w14:solidFill>
              <w14:schemeClr w14:val="tx1"/>
            </w14:solidFill>
          </w14:textFill>
        </w:rPr>
        <w:t>详见第二部份《采购项目内容〈A 商务要求〉》</w:t>
      </w:r>
      <w:r>
        <w:rPr>
          <w:rFonts w:hint="eastAsia" w:ascii="宋体" w:hAnsi="宋体"/>
          <w:color w:val="000000" w:themeColor="text1"/>
          <w:szCs w:val="21"/>
          <w:highlight w:val="none"/>
          <w14:textFill>
            <w14:solidFill>
              <w14:schemeClr w14:val="tx1"/>
            </w14:solidFill>
          </w14:textFill>
        </w:rPr>
        <w:t>。</w:t>
      </w:r>
    </w:p>
    <w:p>
      <w:pPr>
        <w:spacing w:line="300" w:lineRule="auto"/>
        <w:outlineLvl w:val="1"/>
        <w:rPr>
          <w:rFonts w:ascii="宋体" w:hAnsi="宋体"/>
          <w:color w:val="000000" w:themeColor="text1"/>
          <w:szCs w:val="21"/>
          <w:highlight w:val="none"/>
          <w14:textFill>
            <w14:solidFill>
              <w14:schemeClr w14:val="tx1"/>
            </w14:solidFill>
          </w14:textFill>
        </w:rPr>
      </w:pPr>
      <w:bookmarkStart w:id="146" w:name="_Toc25906"/>
      <w:bookmarkStart w:id="147" w:name="_Toc464632131"/>
      <w:bookmarkStart w:id="148" w:name="_Toc536594109"/>
      <w:r>
        <w:rPr>
          <w:rFonts w:hint="eastAsia" w:ascii="宋体" w:hAnsi="宋体"/>
          <w:color w:val="000000" w:themeColor="text1"/>
          <w:szCs w:val="21"/>
          <w:highlight w:val="none"/>
          <w14:textFill>
            <w14:solidFill>
              <w14:schemeClr w14:val="tx1"/>
            </w14:solidFill>
          </w14:textFill>
        </w:rPr>
        <w:t>十一、合同的订立和履行</w:t>
      </w:r>
      <w:bookmarkEnd w:id="146"/>
      <w:bookmarkEnd w:id="147"/>
    </w:p>
    <w:bookmarkEnd w:id="148"/>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25.合同的订立</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 合同的履行</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26.1 政府采购合同订立后，合同各方不得擅自变更、中止或者终止合同。政府采购合同</w:t>
      </w:r>
      <w:r>
        <w:rPr>
          <w:rFonts w:hint="eastAsia" w:ascii="宋体" w:hAnsi="宋体"/>
          <w:color w:val="000000" w:themeColor="text1"/>
          <w:szCs w:val="21"/>
          <w:highlight w:val="none"/>
          <w14:textFill>
            <w14:solidFill>
              <w14:schemeClr w14:val="tx1"/>
            </w14:solidFill>
          </w14:textFill>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  发票</w:t>
      </w:r>
    </w:p>
    <w:p>
      <w:pPr>
        <w:spacing w:line="300" w:lineRule="auto"/>
        <w:ind w:left="567" w:hanging="567" w:hangingChars="27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14:textFill>
            <w14:solidFill>
              <w14:schemeClr w14:val="tx1"/>
            </w14:solidFill>
          </w14:textFill>
        </w:rPr>
      </w:pPr>
      <w:bookmarkStart w:id="149" w:name="_Toc322033399"/>
      <w:bookmarkStart w:id="150" w:name="_Toc345675376"/>
      <w:bookmarkStart w:id="151" w:name="_Toc464632132"/>
      <w:bookmarkStart w:id="152" w:name="_Toc23916"/>
      <w:r>
        <w:rPr>
          <w:rFonts w:hint="eastAsia" w:ascii="宋体" w:hAnsi="宋体"/>
          <w:color w:val="000000" w:themeColor="text1"/>
          <w:szCs w:val="21"/>
          <w:highlight w:val="none"/>
          <w14:textFill>
            <w14:solidFill>
              <w14:schemeClr w14:val="tx1"/>
            </w14:solidFill>
          </w14:textFill>
        </w:rPr>
        <w:t>十二、适用法律</w:t>
      </w:r>
      <w:bookmarkEnd w:id="149"/>
      <w:bookmarkEnd w:id="150"/>
      <w:bookmarkEnd w:id="151"/>
      <w:bookmarkEnd w:id="152"/>
    </w:p>
    <w:p>
      <w:pPr>
        <w:spacing w:line="300" w:lineRule="auto"/>
        <w:ind w:left="424" w:hanging="424" w:hangingChars="20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14:textFill>
            <w14:solidFill>
              <w14:schemeClr w14:val="tx1"/>
            </w14:solidFill>
          </w14:textFill>
        </w:rPr>
      </w:pPr>
    </w:p>
    <w:p>
      <w:pPr>
        <w:pStyle w:val="4"/>
        <w:numPr>
          <w:ilvl w:val="0"/>
          <w:numId w:val="0"/>
        </w:numPr>
        <w:spacing w:before="24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53" w:name="_Toc19747"/>
      <w:r>
        <w:rPr>
          <w:color w:val="000000" w:themeColor="text1"/>
          <w:highlight w:val="none"/>
          <w14:textFill>
            <w14:solidFill>
              <w14:schemeClr w14:val="tx1"/>
            </w14:solidFill>
          </w14:textFill>
        </w:rPr>
        <w:t>第四部分磋商、评审、成交</w:t>
      </w:r>
      <w:bookmarkEnd w:id="153"/>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一、评价指标及权重：</w:t>
      </w:r>
    </w:p>
    <w:tbl>
      <w:tblPr>
        <w:tblStyle w:val="51"/>
        <w:tblW w:w="8787" w:type="dxa"/>
        <w:tblInd w:w="3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2271"/>
        <w:gridCol w:w="2548"/>
        <w:gridCol w:w="22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5" w:hRule="atLeast"/>
        </w:trPr>
        <w:tc>
          <w:tcPr>
            <w:tcW w:w="170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2271"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w:t>
            </w:r>
          </w:p>
        </w:tc>
        <w:tc>
          <w:tcPr>
            <w:tcW w:w="2548"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w:t>
            </w:r>
          </w:p>
        </w:tc>
        <w:tc>
          <w:tcPr>
            <w:tcW w:w="2267" w:type="dxa"/>
            <w:tcBorders>
              <w:top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价格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70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2271"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25</w:t>
            </w:r>
            <w:r>
              <w:rPr>
                <w:rFonts w:hint="eastAsia" w:ascii="宋体" w:hAnsi="宋体" w:cs="宋体"/>
                <w:color w:val="000000" w:themeColor="text1"/>
                <w:kern w:val="0"/>
                <w:highlight w:val="none"/>
                <w14:textFill>
                  <w14:solidFill>
                    <w14:schemeClr w14:val="tx1"/>
                  </w14:solidFill>
                </w14:textFill>
              </w:rPr>
              <w:t>分</w:t>
            </w:r>
          </w:p>
        </w:tc>
        <w:tc>
          <w:tcPr>
            <w:tcW w:w="2548"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65</w:t>
            </w:r>
            <w:r>
              <w:rPr>
                <w:rFonts w:hint="eastAsia" w:ascii="宋体" w:hAnsi="宋体" w:cs="宋体"/>
                <w:color w:val="000000" w:themeColor="text1"/>
                <w:kern w:val="0"/>
                <w:highlight w:val="none"/>
                <w14:textFill>
                  <w14:solidFill>
                    <w14:schemeClr w14:val="tx1"/>
                  </w14:solidFill>
                </w14:textFill>
              </w:rPr>
              <w:t>分</w:t>
            </w:r>
          </w:p>
        </w:tc>
        <w:tc>
          <w:tcPr>
            <w:tcW w:w="2267" w:type="dxa"/>
            <w:tcBorders>
              <w:bottom w:val="single" w:color="auto" w:sz="12" w:space="0"/>
            </w:tcBorders>
            <w:vAlign w:val="center"/>
          </w:tcPr>
          <w:p>
            <w:pPr>
              <w:jc w:val="center"/>
              <w:rPr>
                <w:rFonts w:ascii="宋体"/>
                <w:color w:val="000000" w:themeColor="text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cs="宋体"/>
                <w:color w:val="000000" w:themeColor="text1"/>
                <w:kern w:val="0"/>
                <w:highlight w:val="none"/>
                <w14:textFill>
                  <w14:solidFill>
                    <w14:schemeClr w14:val="tx1"/>
                  </w14:solidFill>
                </w14:textFill>
              </w:rPr>
              <w:t>分</w:t>
            </w:r>
          </w:p>
        </w:tc>
      </w:tr>
    </w:tbl>
    <w:p>
      <w:pPr>
        <w:spacing w:line="360" w:lineRule="auto"/>
        <w:rPr>
          <w:rFonts w:ascii="宋体" w:hAnsi="宋体"/>
          <w:color w:val="000000" w:themeColor="text1"/>
          <w:highlight w:val="none"/>
          <w14:textFill>
            <w14:solidFill>
              <w14:schemeClr w14:val="tx1"/>
            </w14:solidFill>
          </w14:textFill>
        </w:rPr>
      </w:pPr>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二</w:t>
      </w:r>
      <w:r>
        <w:rPr>
          <w:rFonts w:hint="eastAsia" w:ascii="宋体" w:hAnsi="宋体"/>
          <w:b/>
          <w:color w:val="000000" w:themeColor="text1"/>
          <w:highlight w:val="none"/>
          <w:lang w:eastAsia="zh-CN"/>
          <w14:textFill>
            <w14:solidFill>
              <w14:schemeClr w14:val="tx1"/>
            </w14:solidFill>
          </w14:textFill>
        </w:rPr>
        <w:t>、技术评分表细则</w:t>
      </w:r>
    </w:p>
    <w:tbl>
      <w:tblPr>
        <w:tblStyle w:val="51"/>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92"/>
        <w:gridCol w:w="933"/>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73" w:type="dxa"/>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92"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5836"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73" w:type="dxa"/>
            <w:vAlign w:val="center"/>
          </w:tcPr>
          <w:p>
            <w:pPr>
              <w:spacing w:line="320" w:lineRule="exact"/>
              <w:jc w:val="center"/>
              <w:rPr>
                <w:rFonts w:hint="eastAsia"/>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项目理解</w:t>
            </w:r>
          </w:p>
        </w:tc>
        <w:tc>
          <w:tcPr>
            <w:tcW w:w="933"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理解全面透彻的</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理解较全面</w:t>
            </w:r>
            <w:r>
              <w:rPr>
                <w:rFonts w:hint="eastAsia" w:ascii="宋体" w:hAnsi="宋体" w:cs="宋体"/>
                <w:color w:val="000000" w:themeColor="text1"/>
                <w:szCs w:val="21"/>
                <w:highlight w:val="none"/>
                <w14:textFill>
                  <w14:solidFill>
                    <w14:schemeClr w14:val="tx1"/>
                  </w14:solidFill>
                </w14:textFill>
              </w:rPr>
              <w:t>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w:t>
            </w:r>
            <w:r>
              <w:rPr>
                <w:rFonts w:hint="eastAsia" w:ascii="宋体" w:hAnsi="宋体" w:cs="宋体"/>
                <w:color w:val="000000" w:themeColor="text1"/>
                <w:szCs w:val="21"/>
                <w:highlight w:val="none"/>
                <w:lang w:val="en-US" w:eastAsia="zh-CN"/>
                <w14:textFill>
                  <w14:solidFill>
                    <w14:schemeClr w14:val="tx1"/>
                  </w14:solidFill>
                </w14:textFill>
              </w:rPr>
              <w:t>对</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理解</w:t>
            </w:r>
            <w:r>
              <w:rPr>
                <w:rFonts w:hint="eastAsia" w:ascii="宋体" w:hAnsi="宋体" w:cs="宋体"/>
                <w:color w:val="000000" w:themeColor="text1"/>
                <w:szCs w:val="21"/>
                <w:highlight w:val="none"/>
                <w14:textFill>
                  <w14:solidFill>
                    <w14:schemeClr w14:val="tx1"/>
                  </w14:solidFill>
                </w14:textFill>
              </w:rPr>
              <w:t>一般的得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73" w:type="dxa"/>
            <w:vAlign w:val="center"/>
          </w:tcPr>
          <w:p>
            <w:pPr>
              <w:spacing w:line="320" w:lineRule="exact"/>
              <w:jc w:val="center"/>
              <w:rPr>
                <w:rFonts w:hint="eastAsia" w:ascii="宋体" w:hAnsi="宋体"/>
                <w:color w:val="000000" w:themeColor="text1"/>
                <w:kern w:val="0"/>
                <w:szCs w:val="2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592"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项目实施方案</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优：项目实施方案</w:t>
            </w: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合理、可行的得</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良：项目实施方案</w:t>
            </w:r>
            <w:r>
              <w:rPr>
                <w:rFonts w:hint="eastAsia" w:ascii="宋体" w:hAnsi="宋体" w:cs="宋体"/>
                <w:color w:val="000000" w:themeColor="text1"/>
                <w:szCs w:val="21"/>
                <w:highlight w:val="none"/>
                <w:lang w:val="en-US" w:eastAsia="zh-CN"/>
                <w14:textFill>
                  <w14:solidFill>
                    <w14:schemeClr w14:val="tx1"/>
                  </w14:solidFill>
                </w14:textFill>
              </w:rPr>
              <w:t>较详细</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可行的得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一般：项目实施方案一般的得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73" w:type="dxa"/>
            <w:vAlign w:val="center"/>
          </w:tcPr>
          <w:p>
            <w:pPr>
              <w:spacing w:line="320" w:lineRule="exact"/>
              <w:jc w:val="center"/>
              <w:rPr>
                <w:rFonts w:hint="eastAsia"/>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服务计划</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优：</w:t>
            </w:r>
            <w:r>
              <w:rPr>
                <w:rFonts w:hint="eastAsia" w:ascii="宋体" w:hAnsi="宋体" w:cs="宋体"/>
                <w:color w:val="000000" w:themeColor="text1"/>
                <w:szCs w:val="21"/>
                <w:highlight w:val="none"/>
                <w:lang w:val="en-US" w:eastAsia="zh-CN"/>
                <w14:textFill>
                  <w14:solidFill>
                    <w14:schemeClr w14:val="tx1"/>
                  </w14:solidFill>
                </w14:textFill>
              </w:rPr>
              <w:t>服务计划详细</w:t>
            </w:r>
            <w:r>
              <w:rPr>
                <w:rFonts w:hint="eastAsia" w:ascii="宋体" w:hAnsi="宋体" w:cs="宋体"/>
                <w:color w:val="000000" w:themeColor="text1"/>
                <w:szCs w:val="21"/>
                <w:highlight w:val="none"/>
                <w14:textFill>
                  <w14:solidFill>
                    <w14:schemeClr w14:val="tx1"/>
                  </w14:solidFill>
                </w14:textFill>
              </w:rPr>
              <w:t>合理、可行的得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良：</w:t>
            </w:r>
            <w:r>
              <w:rPr>
                <w:rFonts w:hint="eastAsia" w:ascii="宋体" w:hAnsi="宋体" w:cs="宋体"/>
                <w:color w:val="000000" w:themeColor="text1"/>
                <w:szCs w:val="21"/>
                <w:highlight w:val="none"/>
                <w:lang w:val="en-US" w:eastAsia="zh-CN"/>
                <w14:textFill>
                  <w14:solidFill>
                    <w14:schemeClr w14:val="tx1"/>
                  </w14:solidFill>
                </w14:textFill>
              </w:rPr>
              <w:t>服务计划较详细</w:t>
            </w:r>
            <w:r>
              <w:rPr>
                <w:rFonts w:hint="eastAsia" w:ascii="宋体" w:hAnsi="宋体" w:cs="宋体"/>
                <w:color w:val="000000" w:themeColor="text1"/>
                <w:szCs w:val="21"/>
                <w:highlight w:val="none"/>
                <w14:textFill>
                  <w14:solidFill>
                    <w14:schemeClr w14:val="tx1"/>
                  </w14:solidFill>
                </w14:textFill>
              </w:rPr>
              <w:t>合理、</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可行的得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w:t>
            </w:r>
          </w:p>
          <w:p>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w:t>
            </w:r>
            <w:r>
              <w:rPr>
                <w:rFonts w:hint="eastAsia" w:ascii="宋体" w:hAnsi="宋体" w:cs="宋体"/>
                <w:color w:val="000000" w:themeColor="text1"/>
                <w:szCs w:val="21"/>
                <w:highlight w:val="none"/>
                <w:lang w:val="en-US" w:eastAsia="zh-CN"/>
                <w14:textFill>
                  <w14:solidFill>
                    <w14:schemeClr w14:val="tx1"/>
                  </w14:solidFill>
                </w14:textFill>
              </w:rPr>
              <w:t>服务计划</w:t>
            </w:r>
            <w:r>
              <w:rPr>
                <w:rFonts w:hint="eastAsia" w:ascii="宋体" w:hAnsi="宋体" w:cs="宋体"/>
                <w:color w:val="000000" w:themeColor="text1"/>
                <w:szCs w:val="21"/>
                <w:highlight w:val="none"/>
                <w14:textFill>
                  <w14:solidFill>
                    <w14:schemeClr w14:val="tx1"/>
                  </w14:solidFill>
                </w14:textFill>
              </w:rPr>
              <w:t>一般的得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r>
              <w:rPr>
                <w:rFonts w:hint="eastAsia" w:ascii="宋体" w:hAnsi="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365" w:type="dxa"/>
            <w:gridSpan w:val="2"/>
            <w:vAlign w:val="center"/>
          </w:tcPr>
          <w:p>
            <w:pPr>
              <w:spacing w:line="28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合计</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25</w:t>
            </w:r>
            <w:r>
              <w:rPr>
                <w:rFonts w:hint="eastAsia" w:ascii="宋体" w:hAnsi="宋体"/>
                <w:color w:val="000000" w:themeColor="text1"/>
                <w:szCs w:val="21"/>
                <w:highlight w:val="none"/>
                <w14:textFill>
                  <w14:solidFill>
                    <w14:schemeClr w14:val="tx1"/>
                  </w14:solidFill>
                </w14:textFill>
              </w:rPr>
              <w:t>分</w:t>
            </w:r>
          </w:p>
        </w:tc>
        <w:tc>
          <w:tcPr>
            <w:tcW w:w="5836" w:type="dxa"/>
            <w:vAlign w:val="center"/>
          </w:tcPr>
          <w:p>
            <w:pPr>
              <w:spacing w:line="240" w:lineRule="exact"/>
              <w:rPr>
                <w:color w:val="000000" w:themeColor="text1"/>
                <w:highlight w:val="none"/>
                <w14:textFill>
                  <w14:solidFill>
                    <w14:schemeClr w14:val="tx1"/>
                  </w14:solidFill>
                </w14:textFill>
              </w:rPr>
            </w:pPr>
          </w:p>
        </w:tc>
      </w:tr>
    </w:tbl>
    <w:p>
      <w:pPr>
        <w:spacing w:line="360" w:lineRule="auto"/>
        <w:rPr>
          <w:rFonts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lang w:eastAsia="zh-CN"/>
          <w14:textFill>
            <w14:solidFill>
              <w14:schemeClr w14:val="tx1"/>
            </w14:solidFill>
          </w14:textFill>
        </w:rPr>
        <w:t>三、商务评分表细则</w:t>
      </w:r>
    </w:p>
    <w:tbl>
      <w:tblPr>
        <w:tblStyle w:val="51"/>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592"/>
        <w:gridCol w:w="933"/>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73" w:type="dxa"/>
            <w:vAlign w:val="center"/>
          </w:tcPr>
          <w:p>
            <w:pPr>
              <w:spacing w:line="32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592"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评价指标</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分值</w:t>
            </w:r>
          </w:p>
        </w:tc>
        <w:tc>
          <w:tcPr>
            <w:tcW w:w="5836"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73" w:type="dxa"/>
            <w:vAlign w:val="center"/>
          </w:tcPr>
          <w:p>
            <w:pPr>
              <w:spacing w:line="320" w:lineRule="exact"/>
              <w:jc w:val="center"/>
              <w:rPr>
                <w:rFonts w:hint="eastAsia"/>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同类项目业绩</w:t>
            </w:r>
          </w:p>
        </w:tc>
        <w:tc>
          <w:tcPr>
            <w:tcW w:w="933"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tc>
        <w:tc>
          <w:tcPr>
            <w:tcW w:w="5836" w:type="dxa"/>
            <w:vAlign w:val="center"/>
          </w:tcPr>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投标人提供近三年</w:t>
            </w:r>
            <w:r>
              <w:rPr>
                <w:rFonts w:hint="eastAsia" w:ascii="宋体" w:hAnsi="宋体"/>
                <w:color w:val="000000" w:themeColor="text1"/>
                <w:szCs w:val="21"/>
                <w:highlight w:val="none"/>
                <w14:textFill>
                  <w14:solidFill>
                    <w14:schemeClr w14:val="tx1"/>
                  </w14:solidFill>
                </w14:textFill>
              </w:rPr>
              <w:t>机动车拖车及保管业务</w:t>
            </w:r>
            <w:r>
              <w:rPr>
                <w:rFonts w:hint="eastAsia" w:ascii="宋体" w:hAnsi="宋体"/>
                <w:color w:val="000000" w:themeColor="text1"/>
                <w:szCs w:val="21"/>
                <w:highlight w:val="none"/>
                <w:lang w:val="en-US" w:eastAsia="zh-CN"/>
                <w14:textFill>
                  <w14:solidFill>
                    <w14:schemeClr w14:val="tx1"/>
                  </w14:solidFill>
                </w14:textFill>
              </w:rPr>
              <w:t>的业绩，</w:t>
            </w:r>
            <w:r>
              <w:rPr>
                <w:rFonts w:hint="eastAsia" w:ascii="宋体" w:hAnsi="宋体" w:cs="宋体"/>
                <w:color w:val="000000" w:themeColor="text1"/>
                <w:highlight w:val="none"/>
                <w14:textFill>
                  <w14:solidFill>
                    <w14:schemeClr w14:val="tx1"/>
                  </w14:solidFill>
                </w14:textFill>
              </w:rPr>
              <w:t>每提供一项得</w:t>
            </w:r>
            <w:r>
              <w:rPr>
                <w:rFonts w:hint="eastAsia" w:ascii="宋体" w:hAnsi="宋体" w:cs="宋体"/>
                <w:color w:val="000000" w:themeColor="text1"/>
                <w:highlight w:val="none"/>
                <w:lang w:val="en-US" w:eastAsia="zh-CN"/>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分，满分为</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pPr>
              <w:spacing w:line="320" w:lineRule="exact"/>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1" w:hRule="atLeast"/>
          <w:jc w:val="center"/>
        </w:trPr>
        <w:tc>
          <w:tcPr>
            <w:tcW w:w="773" w:type="dxa"/>
            <w:vAlign w:val="center"/>
          </w:tcPr>
          <w:p>
            <w:pPr>
              <w:spacing w:line="320" w:lineRule="exact"/>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92" w:type="dxa"/>
            <w:vAlign w:val="center"/>
          </w:tcPr>
          <w:p>
            <w:pPr>
              <w:spacing w:line="320" w:lineRule="exact"/>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人员配备</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5836" w:type="dxa"/>
            <w:vAlign w:val="center"/>
          </w:tcPr>
          <w:p>
            <w:pPr>
              <w:spacing w:line="320" w:lineRule="exac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提供不少于9名工作人员，</w:t>
            </w:r>
            <w:r>
              <w:rPr>
                <w:rFonts w:hint="eastAsia" w:ascii="宋体" w:hAnsi="宋体"/>
                <w:color w:val="000000" w:themeColor="text1"/>
                <w:szCs w:val="21"/>
                <w:highlight w:val="none"/>
                <w14:textFill>
                  <w14:solidFill>
                    <w14:schemeClr w14:val="tx1"/>
                  </w14:solidFill>
                </w14:textFill>
              </w:rPr>
              <w:t>且具有大货车</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以上驾照，有3年</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以上驾驶经验</w:t>
            </w:r>
            <w:r>
              <w:rPr>
                <w:rFonts w:hint="eastAsia" w:ascii="宋体" w:hAnsi="宋体"/>
                <w:color w:val="000000" w:themeColor="text1"/>
                <w:szCs w:val="21"/>
                <w:highlight w:val="none"/>
                <w:lang w:val="en-US" w:eastAsia="zh-CN"/>
                <w14:textFill>
                  <w14:solidFill>
                    <w14:schemeClr w14:val="tx1"/>
                  </w14:solidFill>
                </w14:textFill>
              </w:rPr>
              <w:t>的，得5分，每多提供一名加5分，满分20分。</w:t>
            </w:r>
          </w:p>
          <w:p>
            <w:pPr>
              <w:spacing w:line="320" w:lineRule="exact"/>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注：须提供人员身份证、机动车驾驶证复印件加盖</w:t>
            </w:r>
            <w:r>
              <w:rPr>
                <w:rFonts w:hint="eastAsia" w:ascii="宋体" w:hAnsi="宋体" w:cs="宋体"/>
                <w:color w:val="000000" w:themeColor="text1"/>
                <w:highlight w:val="none"/>
                <w14:textFill>
                  <w14:solidFill>
                    <w14:schemeClr w14:val="tx1"/>
                  </w14:solidFill>
                </w14:textFill>
              </w:rPr>
              <w:t>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6" w:hRule="atLeast"/>
          <w:jc w:val="center"/>
        </w:trPr>
        <w:tc>
          <w:tcPr>
            <w:tcW w:w="773" w:type="dxa"/>
            <w:vAlign w:val="center"/>
          </w:tcPr>
          <w:p>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92" w:type="dxa"/>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车辆配备</w:t>
            </w:r>
          </w:p>
        </w:tc>
        <w:tc>
          <w:tcPr>
            <w:tcW w:w="933" w:type="dxa"/>
            <w:vAlign w:val="center"/>
          </w:tcPr>
          <w:p>
            <w:pPr>
              <w:spacing w:line="32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25分</w:t>
            </w:r>
          </w:p>
        </w:tc>
        <w:tc>
          <w:tcPr>
            <w:tcW w:w="5836" w:type="dxa"/>
            <w:vAlign w:val="center"/>
          </w:tcPr>
          <w:p>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1.配备拖车6辆或以上，得</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eastAsia="宋体" w:cs="宋体"/>
                <w:color w:val="000000" w:themeColor="text1"/>
                <w:highlight w:val="none"/>
                <w:lang w:val="en-US" w:eastAsia="zh-CN"/>
                <w14:textFill>
                  <w14:solidFill>
                    <w14:schemeClr w14:val="tx1"/>
                  </w14:solidFill>
                </w14:textFill>
              </w:rPr>
              <w:t>分，其中有大吊车（10 吨以上）一辆</w:t>
            </w:r>
            <w:r>
              <w:rPr>
                <w:rFonts w:hint="eastAsia" w:ascii="宋体" w:hAnsi="宋体" w:cs="宋体"/>
                <w:color w:val="000000" w:themeColor="text1"/>
                <w:highlight w:val="none"/>
                <w:lang w:val="en-US" w:eastAsia="zh-CN"/>
                <w14:textFill>
                  <w14:solidFill>
                    <w14:schemeClr w14:val="tx1"/>
                  </w14:solidFill>
                </w14:textFill>
              </w:rPr>
              <w:t>或以上</w:t>
            </w:r>
            <w:r>
              <w:rPr>
                <w:rFonts w:hint="eastAsia" w:ascii="宋体" w:hAnsi="宋体" w:eastAsia="宋体" w:cs="宋体"/>
                <w:color w:val="000000" w:themeColor="text1"/>
                <w:highlight w:val="none"/>
                <w:lang w:val="en-US" w:eastAsia="zh-CN"/>
                <w14:textFill>
                  <w14:solidFill>
                    <w14:schemeClr w14:val="tx1"/>
                  </w14:solidFill>
                </w14:textFill>
              </w:rPr>
              <w:t>加</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分，大拖车（50 吨以上）一辆</w:t>
            </w:r>
            <w:r>
              <w:rPr>
                <w:rFonts w:hint="eastAsia" w:ascii="宋体" w:hAnsi="宋体" w:cs="宋体"/>
                <w:color w:val="000000" w:themeColor="text1"/>
                <w:highlight w:val="none"/>
                <w:lang w:val="en-US" w:eastAsia="zh-CN"/>
                <w14:textFill>
                  <w14:solidFill>
                    <w14:schemeClr w14:val="tx1"/>
                  </w14:solidFill>
                </w14:textFill>
              </w:rPr>
              <w:t>或以上</w:t>
            </w:r>
            <w:r>
              <w:rPr>
                <w:rFonts w:hint="eastAsia" w:ascii="宋体" w:hAnsi="宋体" w:eastAsia="宋体" w:cs="宋体"/>
                <w:color w:val="000000" w:themeColor="text1"/>
                <w:highlight w:val="none"/>
                <w:lang w:val="en-US" w:eastAsia="zh-CN"/>
                <w14:textFill>
                  <w14:solidFill>
                    <w14:schemeClr w14:val="tx1"/>
                  </w14:solidFill>
                </w14:textFill>
              </w:rPr>
              <w:t>加</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，满分20分。</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2.配备</w:t>
            </w:r>
            <w:r>
              <w:rPr>
                <w:rFonts w:hint="eastAsia" w:ascii="宋体" w:hAnsi="宋体" w:eastAsia="宋体" w:cs="宋体"/>
                <w:color w:val="000000" w:themeColor="text1"/>
                <w:highlight w:val="none"/>
                <w14:textFill>
                  <w14:solidFill>
                    <w14:schemeClr w14:val="tx1"/>
                  </w14:solidFill>
                </w14:textFill>
              </w:rPr>
              <w:t>装载大货车1辆</w:t>
            </w:r>
            <w:r>
              <w:rPr>
                <w:rFonts w:hint="eastAsia" w:ascii="宋体" w:hAnsi="宋体" w:eastAsia="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14:textFill>
                  <w14:solidFill>
                    <w14:schemeClr w14:val="tx1"/>
                  </w14:solidFill>
                </w14:textFill>
              </w:rPr>
              <w:t>以上，装载大货车能载机动摩托车6辆以上</w:t>
            </w:r>
            <w:r>
              <w:rPr>
                <w:rFonts w:hint="eastAsia" w:ascii="宋体" w:hAnsi="宋体" w:eastAsia="宋体" w:cs="宋体"/>
                <w:color w:val="000000" w:themeColor="text1"/>
                <w:highlight w:val="none"/>
                <w:lang w:val="en-US" w:eastAsia="zh-CN"/>
                <w14:textFill>
                  <w14:solidFill>
                    <w14:schemeClr w14:val="tx1"/>
                  </w14:solidFill>
                </w14:textFill>
              </w:rPr>
              <w:t>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eastAsia="宋体" w:cs="宋体"/>
                <w:color w:val="000000" w:themeColor="text1"/>
                <w:highlight w:val="none"/>
                <w14:textFill>
                  <w14:solidFill>
                    <w14:schemeClr w14:val="tx1"/>
                  </w14:solidFill>
                </w14:textFill>
              </w:rPr>
              <w:t xml:space="preserve"> </w:t>
            </w:r>
          </w:p>
          <w:p>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注：提供</w:t>
            </w:r>
            <w:r>
              <w:rPr>
                <w:rFonts w:hint="eastAsia" w:ascii="宋体" w:hAnsi="宋体" w:cs="宋体"/>
                <w:color w:val="000000" w:themeColor="text1"/>
                <w:kern w:val="2"/>
                <w:sz w:val="21"/>
                <w:szCs w:val="21"/>
                <w:highlight w:val="none"/>
                <w:u w:val="none"/>
                <w:shd w:val="clear" w:color="auto" w:fill="auto"/>
                <w:lang w:val="en-US" w:eastAsia="zh-CN" w:bidi="zh-TW"/>
                <w14:textFill>
                  <w14:solidFill>
                    <w14:schemeClr w14:val="tx1"/>
                  </w14:solidFill>
                </w14:textFill>
              </w:rPr>
              <w:t>自有</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车辆图片及车辆行驶证复印件加盖投标人公章</w:t>
            </w: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；如</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所提供的车辆为租赁的</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还</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需提供</w:t>
            </w:r>
            <w:r>
              <w:rPr>
                <w:rFonts w:hint="eastAsia" w:ascii="宋体" w:hAnsi="宋体" w:eastAsia="宋体" w:cs="宋体"/>
                <w:color w:val="000000" w:themeColor="text1"/>
                <w:kern w:val="2"/>
                <w:sz w:val="21"/>
                <w:szCs w:val="21"/>
                <w:highlight w:val="none"/>
                <w:u w:val="none"/>
                <w:shd w:val="clear" w:color="auto" w:fill="auto"/>
                <w:lang w:val="en-US" w:eastAsia="zh-CN" w:bidi="zh-TW"/>
                <w14:textFill>
                  <w14:solidFill>
                    <w14:schemeClr w14:val="tx1"/>
                  </w14:solidFill>
                </w14:textFill>
              </w:rPr>
              <w:t>车辆</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租赁合同复印件</w:t>
            </w:r>
            <w:r>
              <w:rPr>
                <w:rFonts w:hint="eastAsia" w:ascii="宋体" w:hAnsi="宋体" w:eastAsia="宋体" w:cs="宋体"/>
                <w:color w:val="000000" w:themeColor="text1"/>
                <w:kern w:val="2"/>
                <w:sz w:val="21"/>
                <w:szCs w:val="21"/>
                <w:highlight w:val="none"/>
                <w:u w:val="none"/>
                <w:shd w:val="clear" w:color="auto" w:fill="auto"/>
                <w:lang w:val="zh-TW" w:eastAsia="zh-CN" w:bidi="zh-TW"/>
                <w14:textFill>
                  <w14:solidFill>
                    <w14:schemeClr w14:val="tx1"/>
                  </w14:solidFill>
                </w14:textFill>
              </w:rPr>
              <w:t>并加盖公章</w:t>
            </w:r>
            <w:r>
              <w:rPr>
                <w:rFonts w:hint="eastAsia" w:ascii="宋体" w:hAnsi="宋体" w:cs="宋体"/>
                <w:color w:val="000000" w:themeColor="text1"/>
                <w:kern w:val="2"/>
                <w:sz w:val="21"/>
                <w:szCs w:val="21"/>
                <w:highlight w:val="none"/>
                <w:u w:val="none"/>
                <w:shd w:val="clear" w:color="auto" w:fill="auto"/>
                <w:lang w:val="zh-TW" w:eastAsia="zh-CN" w:bidi="zh-TW"/>
                <w14:textFill>
                  <w14:solidFill>
                    <w14:schemeClr w14:val="tx1"/>
                  </w14:solidFill>
                </w14:textFill>
              </w:rPr>
              <w:t>（</w:t>
            </w:r>
            <w:r>
              <w:rPr>
                <w:rFonts w:hint="eastAsia" w:ascii="宋体" w:hAnsi="宋体" w:cs="宋体"/>
                <w:color w:val="000000" w:themeColor="text1"/>
                <w:kern w:val="2"/>
                <w:sz w:val="21"/>
                <w:szCs w:val="21"/>
                <w:highlight w:val="none"/>
                <w:u w:val="none"/>
                <w:shd w:val="clear" w:color="auto" w:fill="auto"/>
                <w:lang w:val="en-US" w:eastAsia="zh-CN" w:bidi="zh-TW"/>
                <w14:textFill>
                  <w14:solidFill>
                    <w14:schemeClr w14:val="tx1"/>
                  </w14:solidFill>
                </w14:textFill>
              </w:rPr>
              <w:t>租赁期限须满足本项目的服务期限</w:t>
            </w:r>
            <w:r>
              <w:rPr>
                <w:rFonts w:hint="eastAsia" w:ascii="宋体" w:hAnsi="宋体" w:cs="宋体"/>
                <w:color w:val="000000" w:themeColor="text1"/>
                <w:kern w:val="2"/>
                <w:sz w:val="21"/>
                <w:szCs w:val="21"/>
                <w:highlight w:val="none"/>
                <w:u w:val="none"/>
                <w:shd w:val="clear" w:color="auto" w:fill="auto"/>
                <w:lang w:val="zh-TW" w:eastAsia="zh-CN" w:bidi="zh-TW"/>
                <w14:textFill>
                  <w14:solidFill>
                    <w14:schemeClr w14:val="tx1"/>
                  </w14:solidFill>
                </w14:textFill>
              </w:rPr>
              <w:t>）</w:t>
            </w:r>
            <w:r>
              <w:rPr>
                <w:rFonts w:hint="eastAsia" w:ascii="宋体" w:hAnsi="宋体" w:eastAsia="宋体" w:cs="宋体"/>
                <w:color w:val="000000" w:themeColor="text1"/>
                <w:kern w:val="2"/>
                <w:sz w:val="21"/>
                <w:szCs w:val="21"/>
                <w:highlight w:val="none"/>
                <w:u w:val="none"/>
                <w:shd w:val="clear" w:color="auto" w:fill="auto"/>
                <w:lang w:val="zh-TW" w:eastAsia="zh-TW" w:bidi="zh-TW"/>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773" w:type="dxa"/>
            <w:vAlign w:val="center"/>
          </w:tcPr>
          <w:p>
            <w:pPr>
              <w:spacing w:line="320" w:lineRule="exact"/>
              <w:jc w:val="center"/>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92" w:type="dxa"/>
            <w:vAlign w:val="center"/>
          </w:tcPr>
          <w:p>
            <w:pPr>
              <w:spacing w:line="320" w:lineRule="exact"/>
              <w:jc w:val="center"/>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服务场地</w:t>
            </w:r>
          </w:p>
        </w:tc>
        <w:tc>
          <w:tcPr>
            <w:tcW w:w="933" w:type="dxa"/>
            <w:vAlign w:val="center"/>
          </w:tcPr>
          <w:p>
            <w:pPr>
              <w:spacing w:line="320" w:lineRule="exact"/>
              <w:jc w:val="center"/>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cs="宋体"/>
                <w:color w:val="000000" w:themeColor="text1"/>
                <w:kern w:val="0"/>
                <w:highlight w:val="none"/>
                <w14:textFill>
                  <w14:solidFill>
                    <w14:schemeClr w14:val="tx1"/>
                  </w14:solidFill>
                </w14:textFill>
              </w:rPr>
              <w:t>分</w:t>
            </w:r>
          </w:p>
        </w:tc>
        <w:tc>
          <w:tcPr>
            <w:tcW w:w="5836" w:type="dxa"/>
            <w:vAlign w:val="center"/>
          </w:tcPr>
          <w:p>
            <w:pPr>
              <w:spacing w:line="320" w:lineRule="exact"/>
              <w:jc w:val="left"/>
              <w:rPr>
                <w:rFonts w:ascii="宋体" w:hAnsi="宋体"/>
                <w:color w:val="000000" w:themeColor="text1"/>
                <w:kern w:val="0"/>
                <w:szCs w:val="21"/>
                <w:highlight w:val="none"/>
                <w14:textFill>
                  <w14:solidFill>
                    <w14:schemeClr w14:val="tx1"/>
                  </w14:solidFill>
                </w14:textFill>
              </w:rPr>
            </w:pPr>
            <w:r>
              <w:rPr>
                <w:rFonts w:hint="eastAsia" w:ascii="宋体"/>
                <w:color w:val="000000" w:themeColor="text1"/>
                <w:kern w:val="0"/>
                <w:highlight w:val="none"/>
                <w:lang w:val="en-US" w:eastAsia="zh-CN"/>
                <w14:textFill>
                  <w14:solidFill>
                    <w14:schemeClr w14:val="tx1"/>
                  </w14:solidFill>
                </w14:textFill>
              </w:rPr>
              <w:t>投标人须具有服务</w:t>
            </w:r>
            <w:r>
              <w:rPr>
                <w:rFonts w:hint="eastAsia" w:ascii="宋体"/>
                <w:color w:val="000000" w:themeColor="text1"/>
                <w:kern w:val="0"/>
                <w:highlight w:val="none"/>
                <w14:textFill>
                  <w14:solidFill>
                    <w14:schemeClr w14:val="tx1"/>
                  </w14:solidFill>
                </w14:textFill>
              </w:rPr>
              <w:t>场地，提供场地</w:t>
            </w:r>
            <w:r>
              <w:rPr>
                <w:rFonts w:hint="eastAsia" w:ascii="宋体"/>
                <w:color w:val="000000" w:themeColor="text1"/>
                <w:kern w:val="0"/>
                <w:highlight w:val="none"/>
                <w:lang w:val="en-US" w:eastAsia="zh-CN"/>
                <w14:textFill>
                  <w14:solidFill>
                    <w14:schemeClr w14:val="tx1"/>
                  </w14:solidFill>
                </w14:textFill>
              </w:rPr>
              <w:t>的实景图片及</w:t>
            </w:r>
            <w:r>
              <w:rPr>
                <w:rFonts w:hint="eastAsia" w:ascii="宋体"/>
                <w:color w:val="000000" w:themeColor="text1"/>
                <w:kern w:val="0"/>
                <w:highlight w:val="none"/>
                <w14:textFill>
                  <w14:solidFill>
                    <w14:schemeClr w14:val="tx1"/>
                  </w14:solidFill>
                </w14:textFill>
              </w:rPr>
              <w:t>房产证或租赁合同复印件</w:t>
            </w:r>
            <w:r>
              <w:rPr>
                <w:rFonts w:hint="eastAsia" w:ascii="宋体"/>
                <w:color w:val="000000" w:themeColor="text1"/>
                <w:kern w:val="0"/>
                <w:highlight w:val="none"/>
                <w:lang w:val="en-US" w:eastAsia="zh-CN"/>
                <w14:textFill>
                  <w14:solidFill>
                    <w14:schemeClr w14:val="tx1"/>
                  </w14:solidFill>
                </w14:textFill>
              </w:rPr>
              <w:t>，满分15分，不提供不得分。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2365" w:type="dxa"/>
            <w:gridSpan w:val="2"/>
            <w:vAlign w:val="center"/>
          </w:tcPr>
          <w:p>
            <w:pPr>
              <w:spacing w:line="280" w:lineRule="exact"/>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合计</w:t>
            </w:r>
          </w:p>
        </w:tc>
        <w:tc>
          <w:tcPr>
            <w:tcW w:w="933" w:type="dxa"/>
            <w:vAlign w:val="center"/>
          </w:tcPr>
          <w:p>
            <w:pPr>
              <w:spacing w:line="28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65</w:t>
            </w:r>
            <w:r>
              <w:rPr>
                <w:rFonts w:hint="eastAsia" w:ascii="宋体" w:hAnsi="宋体"/>
                <w:color w:val="000000" w:themeColor="text1"/>
                <w:szCs w:val="21"/>
                <w:highlight w:val="none"/>
                <w14:textFill>
                  <w14:solidFill>
                    <w14:schemeClr w14:val="tx1"/>
                  </w14:solidFill>
                </w14:textFill>
              </w:rPr>
              <w:t>分</w:t>
            </w:r>
          </w:p>
        </w:tc>
        <w:tc>
          <w:tcPr>
            <w:tcW w:w="5836" w:type="dxa"/>
            <w:vAlign w:val="center"/>
          </w:tcPr>
          <w:p>
            <w:pPr>
              <w:spacing w:line="240" w:lineRule="exact"/>
              <w:rPr>
                <w:color w:val="000000" w:themeColor="text1"/>
                <w:highlight w:val="none"/>
                <w14:textFill>
                  <w14:solidFill>
                    <w14:schemeClr w14:val="tx1"/>
                  </w14:solidFill>
                </w14:textFill>
              </w:rPr>
            </w:pPr>
          </w:p>
        </w:tc>
      </w:tr>
    </w:tbl>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hint="eastAsia" w:ascii="宋体" w:hAnsi="宋体"/>
          <w:b/>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 格 评 分 表</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综合评分法中的价格分统一采用低价优先法计算，即满足招标文件要求</w:t>
      </w:r>
      <w:r>
        <w:rPr>
          <w:rFonts w:hint="eastAsia" w:ascii="宋体" w:hAnsi="宋体"/>
          <w:color w:val="000000" w:themeColor="text1"/>
          <w:highlight w:val="none"/>
          <w14:textFill>
            <w14:solidFill>
              <w14:schemeClr w14:val="tx1"/>
            </w14:solidFill>
          </w14:textFill>
        </w:rPr>
        <w:t>（通过资格性、符合性审查）</w:t>
      </w:r>
      <w:r>
        <w:rPr>
          <w:rFonts w:ascii="宋体" w:hAnsi="宋体"/>
          <w:color w:val="000000" w:themeColor="text1"/>
          <w:highlight w:val="none"/>
          <w14:textFill>
            <w14:solidFill>
              <w14:schemeClr w14:val="tx1"/>
            </w14:solidFill>
          </w14:textFill>
        </w:rPr>
        <w:t>且投标价格最低的</w:t>
      </w:r>
      <w:r>
        <w:rPr>
          <w:rFonts w:hint="eastAsia" w:ascii="宋体" w:hAnsi="宋体"/>
          <w:color w:val="000000" w:themeColor="text1"/>
          <w:highlight w:val="none"/>
          <w14:textFill>
            <w14:solidFill>
              <w14:schemeClr w14:val="tx1"/>
            </w14:solidFill>
          </w14:textFill>
        </w:rPr>
        <w:t>有效</w:t>
      </w:r>
      <w:r>
        <w:rPr>
          <w:rFonts w:ascii="宋体" w:hAnsi="宋体"/>
          <w:color w:val="000000" w:themeColor="text1"/>
          <w:highlight w:val="none"/>
          <w14:textFill>
            <w14:solidFill>
              <w14:schemeClr w14:val="tx1"/>
            </w14:solidFill>
          </w14:textFill>
        </w:rPr>
        <w:t>投标报价</w:t>
      </w:r>
      <w:r>
        <w:rPr>
          <w:rFonts w:hint="eastAsia" w:ascii="宋体" w:hAnsi="宋体"/>
          <w:color w:val="000000" w:themeColor="text1"/>
          <w:highlight w:val="none"/>
          <w14:textFill>
            <w14:solidFill>
              <w14:schemeClr w14:val="tx1"/>
            </w14:solidFill>
          </w14:textFill>
        </w:rPr>
        <w:t>（指价格核准后的价格，下同）</w:t>
      </w:r>
      <w:r>
        <w:rPr>
          <w:rFonts w:ascii="宋体" w:hAnsi="宋体"/>
          <w:color w:val="000000" w:themeColor="text1"/>
          <w:highlight w:val="none"/>
          <w14:textFill>
            <w14:solidFill>
              <w14:schemeClr w14:val="tx1"/>
            </w14:solidFill>
          </w14:textFill>
        </w:rPr>
        <w:t>为评标基准价，其价格分为满分。其他投标人的价格分统一按照下列公式计算：</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投标报价得分=(评标基准价/投标报价)×价格权值×100</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备注：投标报价得分四舍五入后，小数点后保留两位有效数；</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小型和微型企业产品价格扣除（所投产品全部生产厂家为小微型企业才享受价格扣除）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3.1根据财政部、工业和信息化部印发的《政府采购促进中小企业发展暂行办法》（财库[2011]181号）的规定，对小型和微型企业产品的价格给予6%的扣除，用扣除后的价格参与评审。</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3.2.1符合中小企业划分标准； </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小型、微型企业提供中型企业制造的货物的，视同为中型企业。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 监狱企业视同小型、微型企业，享受评审中价格扣除。</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3.5 投标人同时为小型、微型企业和监狱企业的，评审中只享受一次价格扣除。不重复进行价格扣除。</w:t>
      </w:r>
    </w:p>
    <w:bookmarkEnd w:id="35"/>
    <w:p>
      <w:pPr>
        <w:spacing w:line="360" w:lineRule="auto"/>
        <w:jc w:val="both"/>
        <w:rPr>
          <w:rFonts w:ascii="宋体" w:hAnsi="宋体"/>
          <w:b/>
          <w:color w:val="000000" w:themeColor="text1"/>
          <w:highlight w:val="none"/>
          <w14:textFill>
            <w14:solidFill>
              <w14:schemeClr w14:val="tx1"/>
            </w14:solidFill>
          </w14:textFill>
        </w:rPr>
      </w:pPr>
      <w:bookmarkStart w:id="154" w:name="_Toc432682726"/>
      <w:bookmarkStart w:id="155" w:name="_Toc430771059"/>
      <w:bookmarkStart w:id="156" w:name="_Toc467236766"/>
      <w:bookmarkStart w:id="157" w:name="_Toc491658677"/>
      <w:bookmarkStart w:id="158" w:name="_Toc480021079"/>
      <w:bookmarkStart w:id="159" w:name="_Toc468157562"/>
      <w:bookmarkStart w:id="160" w:name="_Toc467987849"/>
      <w:bookmarkStart w:id="161" w:name="_Toc468606055"/>
      <w:bookmarkStart w:id="162" w:name="_Toc479991608"/>
      <w:bookmarkStart w:id="163" w:name="_Toc480010734"/>
      <w:bookmarkStart w:id="164" w:name="_Toc480020283"/>
      <w:bookmarkStart w:id="165" w:name="_Toc500861024"/>
      <w:bookmarkStart w:id="166" w:name="_Toc26066260"/>
      <w:bookmarkStart w:id="167" w:name="_Toc6397151"/>
      <w:bookmarkStart w:id="168" w:name="_Toc500861027"/>
      <w:bookmarkStart w:id="169" w:name="_Toc491658680"/>
      <w:bookmarkStart w:id="170" w:name="_Toc6727972"/>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p>
      <w:pPr>
        <w:pStyle w:val="2"/>
        <w:rPr>
          <w:rFonts w:ascii="宋体" w:hAnsi="宋体"/>
          <w:b/>
          <w:color w:val="000000" w:themeColor="text1"/>
          <w:highlight w:val="none"/>
          <w14:textFill>
            <w14:solidFill>
              <w14:schemeClr w14:val="tx1"/>
            </w14:solidFill>
          </w14:textFill>
        </w:rPr>
      </w:pPr>
    </w:p>
    <w:bookmarkEnd w:id="154"/>
    <w:bookmarkEnd w:id="155"/>
    <w:p>
      <w:pPr>
        <w:pStyle w:val="5"/>
        <w:numPr>
          <w:ilvl w:val="0"/>
          <w:numId w:val="0"/>
        </w:numPr>
        <w:rPr>
          <w:rFonts w:hint="eastAsia"/>
          <w:color w:val="000000" w:themeColor="text1"/>
          <w:sz w:val="24"/>
          <w:highlight w:val="none"/>
          <w14:textFill>
            <w14:solidFill>
              <w14:schemeClr w14:val="tx1"/>
            </w14:solidFill>
          </w14:textFill>
        </w:rPr>
      </w:pPr>
      <w:bookmarkStart w:id="171" w:name="_Toc500843104"/>
      <w:bookmarkStart w:id="172" w:name="_Toc430771060"/>
      <w:bookmarkStart w:id="173" w:name="_Toc430185803"/>
    </w:p>
    <w:p>
      <w:pPr>
        <w:rPr>
          <w:rFonts w:hint="eastAsia"/>
          <w:color w:val="000000" w:themeColor="text1"/>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pStyle w:val="5"/>
        <w:numPr>
          <w:ilvl w:val="0"/>
          <w:numId w:val="0"/>
        </w:numPr>
        <w:jc w:val="both"/>
        <w:rPr>
          <w:rFonts w:hint="eastAsia"/>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pStyle w:val="5"/>
        <w:numPr>
          <w:ilvl w:val="0"/>
          <w:numId w:val="0"/>
        </w:numPr>
        <w:rPr>
          <w:rFonts w:hint="eastAsia" w:ascii="宋体" w:hAnsi="宋体"/>
          <w:color w:val="000000" w:themeColor="text1"/>
          <w:highlight w:val="none"/>
          <w14:textFill>
            <w14:solidFill>
              <w14:schemeClr w14:val="tx1"/>
            </w14:solidFill>
          </w14:textFill>
        </w:rPr>
      </w:pPr>
      <w:bookmarkStart w:id="174" w:name="_Toc10621"/>
      <w:r>
        <w:rPr>
          <w:rFonts w:hint="eastAsia"/>
          <w:color w:val="000000" w:themeColor="text1"/>
          <w:sz w:val="24"/>
          <w:highlight w:val="none"/>
          <w14:textFill>
            <w14:solidFill>
              <w14:schemeClr w14:val="tx1"/>
            </w14:solidFill>
          </w14:textFill>
        </w:rPr>
        <w:t>政府采购政策</w:t>
      </w:r>
      <w:bookmarkEnd w:id="171"/>
      <w:bookmarkEnd w:id="174"/>
    </w:p>
    <w:bookmarkEnd w:id="172"/>
    <w:bookmarkEnd w:id="173"/>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14:textFill>
            <w14:solidFill>
              <w14:schemeClr w14:val="tx1"/>
            </w14:solidFill>
          </w14:textFill>
        </w:rPr>
      </w:pPr>
      <w:bookmarkStart w:id="175" w:name="_Toc430771061"/>
      <w:bookmarkStart w:id="176" w:name="_Toc430185804"/>
      <w:r>
        <w:rPr>
          <w:rFonts w:hint="eastAsia" w:ascii="宋体" w:hAnsi="宋体"/>
          <w:color w:val="000000" w:themeColor="text1"/>
          <w:highlight w:val="none"/>
          <w14:textFill>
            <w14:solidFill>
              <w14:schemeClr w14:val="tx1"/>
            </w14:solidFill>
          </w14:textFill>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14:textFill>
            <w14:solidFill>
              <w14:schemeClr w14:val="tx1"/>
            </w14:solidFill>
          </w14:textFill>
        </w:rPr>
        <w:t>http://www.ccgp.gov.cn</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5"/>
      <w:bookmarkEnd w:id="176"/>
    </w:p>
    <w:p>
      <w:pPr>
        <w:spacing w:line="360" w:lineRule="auto"/>
        <w:rPr>
          <w:rFonts w:ascii="宋体" w:hAnsi="宋体"/>
          <w:color w:val="000000" w:themeColor="text1"/>
          <w:highlight w:val="none"/>
          <w14:textFill>
            <w14:solidFill>
              <w14:schemeClr w14:val="tx1"/>
            </w14:solidFill>
          </w14:textFill>
        </w:rPr>
      </w:pPr>
      <w:bookmarkStart w:id="177" w:name="_Toc430185805"/>
      <w:bookmarkStart w:id="178" w:name="_Toc430771062"/>
      <w:r>
        <w:rPr>
          <w:rFonts w:hint="eastAsia" w:ascii="宋体" w:hAnsi="宋体"/>
          <w:color w:val="000000" w:themeColor="text1"/>
          <w:highlight w:val="none"/>
          <w14:textFill>
            <w14:solidFill>
              <w14:schemeClr w14:val="tx1"/>
            </w14:solidFill>
          </w14:textFill>
        </w:rPr>
        <w:t>3. 根据《财政部、国家环保总局联合印发</w:t>
      </w:r>
      <w:r>
        <w:rPr>
          <w:rFonts w:ascii="宋体" w:hAnsi="宋体"/>
          <w:color w:val="000000" w:themeColor="text1"/>
          <w:highlight w:val="none"/>
          <w14:textFill>
            <w14:solidFill>
              <w14:schemeClr w14:val="tx1"/>
            </w14:solidFill>
          </w14:textFill>
        </w:rPr>
        <w:t>&lt;</w:t>
      </w:r>
      <w:r>
        <w:rPr>
          <w:rFonts w:hint="eastAsia" w:ascii="宋体" w:hAnsi="宋体"/>
          <w:color w:val="000000" w:themeColor="text1"/>
          <w:highlight w:val="none"/>
          <w14:textFill>
            <w14:solidFill>
              <w14:schemeClr w14:val="tx1"/>
            </w14:solidFill>
          </w14:textFill>
        </w:rPr>
        <w:t>关于环境标志产品政府采购实施意见</w:t>
      </w:r>
      <w:r>
        <w:rPr>
          <w:rFonts w:ascii="宋体" w:hAnsi="宋体"/>
          <w:color w:val="000000" w:themeColor="text1"/>
          <w:highlight w:val="none"/>
          <w14:textFill>
            <w14:solidFill>
              <w14:schemeClr w14:val="tx1"/>
            </w14:solidFill>
          </w14:textFill>
        </w:rPr>
        <w:t>&gt;</w:t>
      </w:r>
      <w:r>
        <w:rPr>
          <w:rFonts w:hint="eastAsia" w:ascii="宋体" w:hAnsi="宋体"/>
          <w:color w:val="000000" w:themeColor="text1"/>
          <w:highlight w:val="none"/>
          <w14:textFill>
            <w14:solidFill>
              <w14:schemeClr w14:val="tx1"/>
            </w14:solidFill>
          </w14:textFill>
        </w:rPr>
        <w:t>》（财库</w:t>
      </w:r>
      <w:r>
        <w:rPr>
          <w:rFonts w:ascii="宋体" w:hAnsi="宋体"/>
          <w:color w:val="000000" w:themeColor="text1"/>
          <w:highlight w:val="none"/>
          <w14:textFill>
            <w14:solidFill>
              <w14:schemeClr w14:val="tx1"/>
            </w14:solidFill>
          </w14:textFill>
        </w:rPr>
        <w:t>[2006]90</w:t>
      </w:r>
      <w:r>
        <w:rPr>
          <w:rFonts w:hint="eastAsia" w:ascii="宋体" w:hAnsi="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http://www.ccgp.gov.cn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http://www.sepa.gov.cn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Style w:val="58"/>
          <w:rFonts w:ascii="宋体" w:hAnsi="宋体"/>
          <w:color w:val="000000" w:themeColor="text1"/>
          <w:highlight w:val="none"/>
          <w14:textFill>
            <w14:solidFill>
              <w14:schemeClr w14:val="tx1"/>
            </w14:solidFill>
          </w14:textFill>
        </w:rPr>
        <w:t>http://www.cgpn.cn</w:t>
      </w:r>
      <w:r>
        <w:rPr>
          <w:rStyle w:val="58"/>
          <w:rFonts w:ascii="宋体" w:hAnsi="宋体"/>
          <w:color w:val="000000" w:themeColor="text1"/>
          <w:highlight w:val="none"/>
          <w14:textFill>
            <w14:solidFill>
              <w14:schemeClr w14:val="tx1"/>
            </w14:solidFill>
          </w14:textFill>
        </w:rPr>
        <w:fldChar w:fldCharType="end"/>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）上发布。</w:t>
      </w:r>
      <w:bookmarkEnd w:id="177"/>
      <w:bookmarkEnd w:id="178"/>
    </w:p>
    <w:p>
      <w:pPr>
        <w:spacing w:line="360" w:lineRule="auto"/>
        <w:rPr>
          <w:rFonts w:ascii="宋体" w:hAnsi="宋体"/>
          <w:color w:val="000000" w:themeColor="text1"/>
          <w:highlight w:val="none"/>
          <w14:textFill>
            <w14:solidFill>
              <w14:schemeClr w14:val="tx1"/>
            </w14:solidFill>
          </w14:textFill>
        </w:rPr>
      </w:pPr>
      <w:bookmarkStart w:id="179" w:name="_Toc430185806"/>
      <w:bookmarkStart w:id="180" w:name="_Toc430771063"/>
      <w:r>
        <w:rPr>
          <w:rFonts w:hint="eastAsia" w:ascii="宋体" w:hAnsi="宋体"/>
          <w:color w:val="000000" w:themeColor="text1"/>
          <w:highlight w:val="none"/>
          <w14:textFill>
            <w14:solidFill>
              <w14:schemeClr w14:val="tx1"/>
            </w14:solidFill>
          </w14:textFill>
        </w:rPr>
        <w:t>4．</w:t>
      </w:r>
      <w:bookmarkEnd w:id="179"/>
      <w:bookmarkEnd w:id="180"/>
      <w:r>
        <w:rPr>
          <w:rFonts w:hint="eastAsia" w:ascii="宋体" w:hAnsi="宋体" w:eastAsia="宋体" w:cs="宋体"/>
          <w:color w:val="000000" w:themeColor="text1"/>
          <w:highlight w:val="none"/>
          <w14:textFill>
            <w14:solidFill>
              <w14:schemeClr w14:val="tx1"/>
            </w14:solidFill>
          </w14:textFill>
        </w:rPr>
        <w:t>根据《关于印发《政府采购促进中小企业发展管理方法》的通知》（财库[2020]46号）的规定，投标人投标时需注意：</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14:textFill>
            <w14:solidFill>
              <w14:schemeClr w14:val="tx1"/>
            </w14:solidFill>
          </w14:textFill>
        </w:rPr>
        <w:t>[2011]300</w:t>
      </w:r>
      <w:r>
        <w:rPr>
          <w:rFonts w:hint="eastAsia" w:ascii="宋体" w:hAnsi="宋体"/>
          <w:color w:val="000000" w:themeColor="text1"/>
          <w:highlight w:val="none"/>
          <w14:textFill>
            <w14:solidFill>
              <w14:schemeClr w14:val="tx1"/>
            </w14:solidFill>
          </w14:textFill>
        </w:rPr>
        <w:t>号）执行。</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4.2参加政府采购活动的中小企业投标时需提供《中小企业声明函》。否则不予认可。</w:t>
      </w:r>
    </w:p>
    <w:p>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4.3根据财库〔</w:t>
      </w:r>
      <w:r>
        <w:rPr>
          <w:rFonts w:ascii="宋体" w:hAnsi="宋体"/>
          <w:color w:val="000000" w:themeColor="text1"/>
          <w:highlight w:val="none"/>
          <w14:textFill>
            <w14:solidFill>
              <w14:schemeClr w14:val="tx1"/>
            </w14:solidFill>
          </w14:textFill>
        </w:rPr>
        <w:t xml:space="preserve"> 2014</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 xml:space="preserve"> 68 </w:t>
      </w:r>
      <w:r>
        <w:rPr>
          <w:rFonts w:hint="eastAsia" w:ascii="宋体" w:hAnsi="宋体"/>
          <w:color w:val="000000" w:themeColor="text1"/>
          <w:highlight w:val="none"/>
          <w14:textFill>
            <w14:solidFill>
              <w14:schemeClr w14:val="tx1"/>
            </w14:solidFill>
          </w14:textFill>
        </w:rPr>
        <w:t>号《财政部</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司法部关于政府采购支持监狱企业发展有关问题的</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设区的市</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监狱、强制隔离戒毒所、</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提供由省级以上监狱管理局、戒毒管理局</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含新疆生产建设兵团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4.4</w:t>
      </w:r>
      <w:r>
        <w:rPr>
          <w:rFonts w:hint="eastAsia" w:ascii="宋体" w:hAnsi="宋体" w:eastAsia="宋体" w:cs="宋体"/>
          <w:bCs/>
          <w:color w:val="000000" w:themeColor="text1"/>
          <w:highlight w:val="none"/>
          <w:lang w:val="en-US" w:eastAsia="zh-CN"/>
          <w14:textFill>
            <w14:solidFill>
              <w14:schemeClr w14:val="tx1"/>
            </w14:solidFill>
          </w14:textFill>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小型和微型企业产品的价格×</w:t>
            </w:r>
            <w:r>
              <w:rPr>
                <w:rFonts w:ascii="宋体" w:hAnsi="宋体"/>
                <w:color w:val="000000" w:themeColor="text1"/>
                <w:highlight w:val="non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对小型和微型企业产品的价格扣除</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不再享受序号</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的价格折扣</w:t>
            </w:r>
            <w:r>
              <w:rPr>
                <w:rFonts w:ascii="宋体" w:hAnsi="宋体"/>
                <w:color w:val="000000" w:themeColor="text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highlight w:val="none"/>
                <w14:textFill>
                  <w14:solidFill>
                    <w14:schemeClr w14:val="tx1"/>
                  </w14:solidFill>
                </w14:textFill>
              </w:rPr>
              <w:t>30%</w:t>
            </w:r>
            <w:r>
              <w:rPr>
                <w:rFonts w:hint="eastAsia" w:ascii="宋体" w:hAnsi="宋体"/>
                <w:color w:val="000000" w:themeColor="text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对联合体总金额扣除</w:t>
            </w:r>
            <w:r>
              <w:rPr>
                <w:rFonts w:ascii="宋体" w:hAnsi="宋体"/>
                <w:color w:val="000000" w:themeColor="text1"/>
                <w:highlight w:val="non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评标价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总投标报价×（</w:t>
            </w:r>
            <w:r>
              <w:rPr>
                <w:rFonts w:ascii="宋体" w:hAnsi="宋体"/>
                <w:color w:val="000000" w:themeColor="text1"/>
                <w:highlight w:val="none"/>
                <w:u w:val="singl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w:t>
            </w:r>
          </w:p>
        </w:tc>
      </w:tr>
    </w:tbl>
    <w:p>
      <w:pPr>
        <w:spacing w:line="360" w:lineRule="auto"/>
        <w:rPr>
          <w:rFonts w:ascii="宋体" w:hAns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6"/>
    <w:bookmarkEnd w:id="157"/>
    <w:bookmarkEnd w:id="158"/>
    <w:bookmarkEnd w:id="159"/>
    <w:bookmarkEnd w:id="160"/>
    <w:bookmarkEnd w:id="161"/>
    <w:bookmarkEnd w:id="162"/>
    <w:bookmarkEnd w:id="163"/>
    <w:bookmarkEnd w:id="164"/>
    <w:bookmarkEnd w:id="165"/>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181" w:name="_Hlt21939000"/>
      <w:bookmarkEnd w:id="181"/>
      <w:bookmarkStart w:id="182" w:name="_Toc337632367"/>
      <w:bookmarkStart w:id="183" w:name="_Toc333935696"/>
      <w:bookmarkStart w:id="184" w:name="_Toc333237686"/>
      <w:bookmarkStart w:id="185" w:name="_Toc340677079"/>
      <w:bookmarkStart w:id="186" w:name="_Toc330459994"/>
      <w:bookmarkStart w:id="187" w:name="_Toc349127635"/>
      <w:bookmarkStart w:id="188" w:name="_Toc336681944"/>
      <w:bookmarkStart w:id="189" w:name="_Toc366072538"/>
      <w:bookmarkStart w:id="190" w:name="_Toc340672878"/>
      <w:bookmarkStart w:id="191" w:name="_Toc339020104"/>
      <w:bookmarkStart w:id="192" w:name="_Toc339020024"/>
      <w:bookmarkStart w:id="193" w:name="_Toc332270355"/>
      <w:bookmarkStart w:id="194" w:name="_Toc349143598"/>
      <w:bookmarkStart w:id="195" w:name="_Toc365985187"/>
      <w:bookmarkStart w:id="196" w:name="_Toc365967081"/>
      <w:bookmarkStart w:id="197" w:name="_Toc331684047"/>
      <w:bookmarkStart w:id="198" w:name="_Toc339019898"/>
      <w:bookmarkStart w:id="199" w:name="_Toc336681589"/>
      <w:bookmarkStart w:id="200" w:name="_Toc374454610"/>
      <w:bookmarkStart w:id="201" w:name="_Toc342296769"/>
      <w:bookmarkStart w:id="202" w:name="_Toc333238642"/>
      <w:bookmarkStart w:id="203" w:name="_Toc333237797"/>
      <w:bookmarkStart w:id="204" w:name="_Toc350438758"/>
      <w:bookmarkStart w:id="205" w:name="_Toc340507451"/>
      <w:bookmarkStart w:id="206" w:name="_Toc342060383"/>
      <w:bookmarkStart w:id="207" w:name="_Toc339020242"/>
      <w:bookmarkStart w:id="208" w:name="_Toc350756459"/>
      <w:bookmarkStart w:id="209" w:name="_Toc345513910"/>
      <w:bookmarkStart w:id="210" w:name="_Toc332206717"/>
      <w:bookmarkStart w:id="211" w:name="_Toc333935355"/>
      <w:bookmarkStart w:id="212" w:name="_Toc339362309"/>
      <w:bookmarkStart w:id="213" w:name="_Toc339441096"/>
      <w:bookmarkStart w:id="214" w:name="_Toc331512907"/>
      <w:bookmarkStart w:id="215" w:name="_Toc341348347"/>
      <w:bookmarkStart w:id="216" w:name="_Toc13278"/>
      <w:r>
        <w:rPr>
          <w:rFonts w:hint="eastAsia" w:ascii="宋体" w:hAnsi="宋体" w:eastAsia="宋体"/>
          <w:b/>
          <w:color w:val="000000" w:themeColor="text1"/>
          <w:highlight w:val="none"/>
          <w14:textFill>
            <w14:solidFill>
              <w14:schemeClr w14:val="tx1"/>
            </w14:solidFill>
          </w14:textFill>
        </w:rPr>
        <w:t xml:space="preserve">第五部分  </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Start w:id="217" w:name="_Hlt97188170"/>
      <w:bookmarkEnd w:id="217"/>
      <w:r>
        <w:rPr>
          <w:rFonts w:hint="eastAsia" w:ascii="宋体" w:hAnsi="宋体"/>
          <w:b/>
          <w:color w:val="000000" w:themeColor="text1"/>
          <w:sz w:val="21"/>
          <w:szCs w:val="21"/>
          <w:highlight w:val="none"/>
          <w14:textFill>
            <w14:solidFill>
              <w14:schemeClr w14:val="tx1"/>
            </w14:solidFill>
          </w14:textFill>
        </w:rPr>
        <w:t>合同书格式（参考范本）</w:t>
      </w:r>
      <w:bookmarkEnd w:id="216"/>
    </w:p>
    <w:p>
      <w:pPr>
        <w:spacing w:line="360" w:lineRule="auto"/>
        <w:ind w:firstLine="420" w:firstLineChars="2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36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360" w:lineRule="auto"/>
        <w:ind w:right="31" w:rightChars="15" w:firstLine="1050" w:firstLineChars="5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36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36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29"/>
        </w:numPr>
        <w:tabs>
          <w:tab w:val="left" w:pos="1680"/>
        </w:tabs>
        <w:spacing w:line="36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质量符合磋商文件和磋商响应文件的要求；</w:t>
      </w:r>
    </w:p>
    <w:p>
      <w:pPr>
        <w:numPr>
          <w:ilvl w:val="6"/>
          <w:numId w:val="29"/>
        </w:numPr>
        <w:tabs>
          <w:tab w:val="left" w:pos="1680"/>
          <w:tab w:val="clear" w:pos="4830"/>
        </w:tabs>
        <w:spacing w:line="36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30"/>
        </w:numPr>
        <w:tabs>
          <w:tab w:val="left" w:pos="945"/>
        </w:tabs>
        <w:adjustRightInd w:val="0"/>
        <w:snapToGrid w:val="0"/>
        <w:spacing w:line="36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30"/>
        </w:numPr>
        <w:tabs>
          <w:tab w:val="left" w:pos="1155"/>
          <w:tab w:val="clear" w:pos="1203"/>
        </w:tabs>
        <w:adjustRightInd w:val="0"/>
        <w:snapToGrid w:val="0"/>
        <w:spacing w:line="36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甲方在验收中，如果发现乙方所提供的服务质量或相关服务不合规定的，在2日内向乙方提出书面异议；甲方怠于通知乙方的，视为乙方所提供的服务合乎规定。</w:t>
      </w:r>
    </w:p>
    <w:p>
      <w:pPr>
        <w:tabs>
          <w:tab w:val="left" w:pos="1255"/>
        </w:tabs>
        <w:spacing w:line="36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每推迟一天按总价的1%罚款。</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广东业信采购招标有限公司、当地管理部门</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spacing w:line="36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地址：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帐号</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电话：</w:t>
      </w:r>
    </w:p>
    <w:p>
      <w:pPr>
        <w:tabs>
          <w:tab w:val="left" w:pos="1004"/>
        </w:tabs>
        <w:spacing w:line="36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numPr>
          <w:ilvl w:val="0"/>
          <w:numId w:val="0"/>
        </w:numPr>
        <w:spacing w:beforeLines="0"/>
        <w:rPr>
          <w:rFonts w:ascii="宋体" w:hAnsi="宋体" w:eastAsia="宋体"/>
          <w:b/>
          <w:color w:val="000000" w:themeColor="text1"/>
          <w:highlight w:val="none"/>
          <w14:textFill>
            <w14:solidFill>
              <w14:schemeClr w14:val="tx1"/>
            </w14:solidFill>
          </w14:textFill>
        </w:rPr>
      </w:pPr>
      <w:bookmarkStart w:id="218" w:name="_Toc342060384"/>
      <w:bookmarkStart w:id="219" w:name="_Toc333237687"/>
      <w:bookmarkStart w:id="220" w:name="_Toc337632368"/>
      <w:bookmarkStart w:id="221" w:name="_Toc365967082"/>
      <w:bookmarkStart w:id="222" w:name="_Toc339020105"/>
      <w:bookmarkStart w:id="223" w:name="_Toc340677080"/>
      <w:bookmarkStart w:id="224" w:name="_Toc350756460"/>
      <w:bookmarkStart w:id="225" w:name="_Toc365985188"/>
      <w:bookmarkStart w:id="226" w:name="_Toc339020243"/>
      <w:bookmarkStart w:id="227" w:name="_Toc339020025"/>
      <w:bookmarkStart w:id="228" w:name="_Toc349143599"/>
      <w:bookmarkStart w:id="229" w:name="_Toc339362310"/>
      <w:bookmarkStart w:id="230" w:name="_Toc333237798"/>
      <w:bookmarkStart w:id="231" w:name="_Toc491658678"/>
      <w:bookmarkStart w:id="232" w:name="_Toc331684048"/>
      <w:bookmarkStart w:id="233" w:name="_Toc339441097"/>
      <w:bookmarkStart w:id="234" w:name="_Toc336681590"/>
      <w:bookmarkStart w:id="235" w:name="_Toc332270356"/>
      <w:bookmarkStart w:id="236" w:name="_Toc333935697"/>
      <w:bookmarkStart w:id="237" w:name="_Toc350438759"/>
      <w:bookmarkStart w:id="238" w:name="_Toc345513911"/>
      <w:bookmarkStart w:id="239" w:name="_Toc333238643"/>
      <w:bookmarkStart w:id="240" w:name="_Toc340672879"/>
      <w:bookmarkStart w:id="241" w:name="_Toc341348348"/>
      <w:bookmarkStart w:id="242" w:name="_Toc339019899"/>
      <w:bookmarkStart w:id="243" w:name="_Toc349127636"/>
      <w:bookmarkStart w:id="244" w:name="_Toc333935356"/>
      <w:bookmarkStart w:id="245" w:name="_Toc340507452"/>
      <w:bookmarkStart w:id="246" w:name="_Toc331512908"/>
      <w:bookmarkStart w:id="247" w:name="_Toc366072539"/>
      <w:bookmarkStart w:id="248" w:name="_Toc332206718"/>
      <w:bookmarkStart w:id="249" w:name="_Toc342296770"/>
      <w:bookmarkStart w:id="250" w:name="_Toc336681945"/>
      <w:bookmarkStart w:id="251" w:name="_Toc500861025"/>
      <w:bookmarkStart w:id="252" w:name="_Toc4250"/>
      <w:bookmarkStart w:id="253" w:name="_Toc330459995"/>
      <w:r>
        <w:rPr>
          <w:rFonts w:hint="eastAsia" w:ascii="宋体" w:hAnsi="宋体" w:eastAsia="宋体"/>
          <w:b/>
          <w:color w:val="000000" w:themeColor="text1"/>
          <w:highlight w:val="none"/>
          <w14:textFill>
            <w14:solidFill>
              <w14:schemeClr w14:val="tx1"/>
            </w14:solidFill>
          </w14:textFill>
        </w:rPr>
        <w:t>第六部分</w:t>
      </w:r>
      <w:bookmarkStart w:id="254" w:name="_Hlt97188172"/>
      <w:bookmarkEnd w:id="254"/>
      <w:r>
        <w:rPr>
          <w:rFonts w:hint="eastAsia" w:ascii="宋体" w:hAnsi="宋体" w:eastAsia="宋体"/>
          <w:b/>
          <w:color w:val="000000" w:themeColor="text1"/>
          <w:highlight w:val="none"/>
          <w14:textFill>
            <w14:solidFill>
              <w14:schemeClr w14:val="tx1"/>
            </w14:solidFill>
          </w14:textFill>
        </w:rPr>
        <w:t>磋商响应文件格式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Start w:id="255" w:name="_Hlt21938933"/>
      <w:bookmarkEnd w:id="255"/>
    </w:p>
    <w:p>
      <w:pPr>
        <w:rPr>
          <w:rFonts w:ascii="宋体" w:hAnsi="宋体"/>
          <w:color w:val="000000" w:themeColor="text1"/>
          <w:highlight w:val="none"/>
          <w14:textFill>
            <w14:solidFill>
              <w14:schemeClr w14:val="tx1"/>
            </w14:solidFill>
          </w14:textFill>
        </w:rPr>
      </w:pPr>
    </w:p>
    <w:p>
      <w:pPr>
        <w:pStyle w:val="5"/>
        <w:numPr>
          <w:ilvl w:val="1"/>
          <w:numId w:val="0"/>
        </w:numPr>
        <w:rPr>
          <w:rFonts w:ascii="宋体" w:hAnsi="宋体"/>
          <w:color w:val="000000" w:themeColor="text1"/>
          <w:sz w:val="24"/>
          <w:highlight w:val="none"/>
          <w14:textFill>
            <w14:solidFill>
              <w14:schemeClr w14:val="tx1"/>
            </w14:solidFill>
          </w14:textFill>
        </w:rPr>
      </w:pPr>
      <w:bookmarkStart w:id="256" w:name="_Toc333237688"/>
      <w:bookmarkStart w:id="257" w:name="_Toc331684049"/>
      <w:bookmarkStart w:id="258" w:name="_Toc333237799"/>
      <w:bookmarkStart w:id="259" w:name="_Toc350438760"/>
      <w:bookmarkStart w:id="260" w:name="_Toc341348349"/>
      <w:bookmarkStart w:id="261" w:name="_Toc349127637"/>
      <w:bookmarkStart w:id="262" w:name="_Toc350756461"/>
      <w:bookmarkStart w:id="263" w:name="_Toc330459996"/>
      <w:bookmarkStart w:id="264" w:name="_Toc332206719"/>
      <w:bookmarkStart w:id="265" w:name="_Toc339362311"/>
      <w:bookmarkStart w:id="266" w:name="_Toc340672880"/>
      <w:bookmarkStart w:id="267" w:name="_Toc366072540"/>
      <w:bookmarkStart w:id="268" w:name="_Toc339020106"/>
      <w:bookmarkStart w:id="269" w:name="_Toc333935357"/>
      <w:bookmarkStart w:id="270" w:name="_Toc342060385"/>
      <w:bookmarkStart w:id="271" w:name="_Toc339020026"/>
      <w:bookmarkStart w:id="272" w:name="_Toc332270357"/>
      <w:bookmarkStart w:id="273" w:name="_Toc333238644"/>
      <w:bookmarkStart w:id="274" w:name="_Toc345513912"/>
      <w:bookmarkStart w:id="275" w:name="_Toc340677081"/>
      <w:bookmarkStart w:id="276" w:name="_Toc339441098"/>
      <w:bookmarkStart w:id="277" w:name="_Toc336681946"/>
      <w:bookmarkStart w:id="278" w:name="_Toc337632369"/>
      <w:bookmarkStart w:id="279" w:name="_Toc339019900"/>
      <w:bookmarkStart w:id="280" w:name="_Toc333935698"/>
      <w:bookmarkStart w:id="281" w:name="_Toc339020244"/>
      <w:bookmarkStart w:id="282" w:name="_Toc342296771"/>
      <w:bookmarkStart w:id="283" w:name="_Toc14399"/>
      <w:bookmarkStart w:id="284" w:name="_Toc365985189"/>
      <w:bookmarkStart w:id="285" w:name="_Toc340507453"/>
      <w:bookmarkStart w:id="286" w:name="_Toc349143600"/>
      <w:bookmarkStart w:id="287" w:name="_Toc336681591"/>
      <w:bookmarkStart w:id="288" w:name="_Toc331512909"/>
      <w:bookmarkStart w:id="289" w:name="_Toc365967083"/>
      <w:r>
        <w:rPr>
          <w:rFonts w:hint="eastAsia" w:ascii="宋体" w:hAnsi="宋体"/>
          <w:color w:val="000000" w:themeColor="text1"/>
          <w:sz w:val="24"/>
          <w:highlight w:val="none"/>
          <w14:textFill>
            <w14:solidFill>
              <w14:schemeClr w14:val="tx1"/>
            </w14:solidFill>
          </w14:textFill>
        </w:rPr>
        <w:t>封面格式</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7"/>
        <w:rPr>
          <w:rFonts w:hAnsi="宋体"/>
          <w:bCs/>
          <w:color w:val="000000" w:themeColor="text1"/>
          <w:sz w:val="21"/>
          <w:highlight w:val="none"/>
          <w14:textFill>
            <w14:solidFill>
              <w14:schemeClr w14:val="tx1"/>
            </w14:solidFill>
          </w14:textFill>
        </w:rPr>
      </w:pPr>
    </w:p>
    <w:p>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投标内容应当编有目录、页码，按页码排序并装订成册；一切未装订成册的磋商响应文件在开标、评标过程中若出现缺页、漏页等现象可能影响投标人评审结果的，后果将由投标人本人负责。</w:t>
      </w:r>
    </w:p>
    <w:p>
      <w:pPr>
        <w:pStyle w:val="7"/>
        <w:spacing w:line="360" w:lineRule="auto"/>
        <w:rPr>
          <w:rFonts w:hAnsi="宋体"/>
          <w:b/>
          <w:color w:val="000000" w:themeColor="text1"/>
          <w:sz w:val="21"/>
          <w:szCs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文件的封面格式由投标人自拟，并应注明“磋商响应文件、项目编号、项目名称、投标人名称及地址、法定代表人（负责人）或授权代理人、联系电话、传真、邮编，并加盖投标人公章。如：</w:t>
      </w: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rPr>
          <w:rFonts w:hAnsi="宋体"/>
          <w:bCs/>
          <w:color w:val="000000" w:themeColor="text1"/>
          <w:sz w:val="21"/>
          <w:highlight w:val="none"/>
          <w14:textFill>
            <w14:solidFill>
              <w14:schemeClr w14:val="tx1"/>
            </w14:solidFill>
          </w14:textFill>
        </w:rPr>
      </w:pPr>
    </w:p>
    <w:p>
      <w:pPr>
        <w:pStyle w:val="7"/>
        <w:spacing w:line="440" w:lineRule="exact"/>
        <w:jc w:val="center"/>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磋商响应文件（□正本、□副本）</w:t>
      </w:r>
    </w:p>
    <w:p>
      <w:pPr>
        <w:pStyle w:val="7"/>
        <w:spacing w:line="440" w:lineRule="exact"/>
        <w:rPr>
          <w:rFonts w:hint="eastAsia" w:hAnsi="宋体" w:eastAsia="宋体"/>
          <w:bCs/>
          <w:color w:val="000000" w:themeColor="text1"/>
          <w:sz w:val="21"/>
          <w:highlight w:val="none"/>
          <w:lang w:eastAsia="zh-CN"/>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lang w:eastAsia="zh-CN"/>
          <w14:textFill>
            <w14:solidFill>
              <w14:schemeClr w14:val="tx1"/>
            </w14:solidFill>
          </w14:textFill>
        </w:rPr>
        <w:t>YXCG-20210812</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pPr>
        <w:pStyle w:val="7"/>
        <w:spacing w:line="440" w:lineRule="exact"/>
        <w:rPr>
          <w:rFonts w:hAnsi="宋体"/>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18" w:right="1474" w:bottom="1418" w:left="1474" w:header="851" w:footer="851" w:gutter="0"/>
          <w:cols w:space="720" w:num="1"/>
          <w:titlePg/>
          <w:docGrid w:linePitch="312" w:charSpace="0"/>
        </w:sectPr>
      </w:pPr>
    </w:p>
    <w:p>
      <w:pPr>
        <w:pStyle w:val="5"/>
        <w:numPr>
          <w:ilvl w:val="7"/>
          <w:numId w:val="6"/>
        </w:numPr>
        <w:tabs>
          <w:tab w:val="clear" w:pos="720"/>
        </w:tabs>
        <w:spacing w:before="240" w:after="240" w:line="240" w:lineRule="exact"/>
        <w:ind w:left="0" w:firstLine="0"/>
        <w:rPr>
          <w:rFonts w:ascii="宋体" w:hAnsi="宋体"/>
          <w:b w:val="0"/>
          <w:color w:val="000000" w:themeColor="text1"/>
          <w:sz w:val="24"/>
          <w:highlight w:val="none"/>
          <w14:textFill>
            <w14:solidFill>
              <w14:schemeClr w14:val="tx1"/>
            </w14:solidFill>
          </w14:textFill>
        </w:rPr>
      </w:pPr>
      <w:bookmarkStart w:id="290" w:name="_Toc13178"/>
      <w:r>
        <w:rPr>
          <w:rFonts w:hint="eastAsia" w:ascii="宋体" w:hAnsi="宋体"/>
          <w:b w:val="0"/>
          <w:color w:val="000000" w:themeColor="text1"/>
          <w:sz w:val="24"/>
          <w:highlight w:val="none"/>
          <w14:textFill>
            <w14:solidFill>
              <w14:schemeClr w14:val="tx1"/>
            </w14:solidFill>
          </w14:textFill>
        </w:rPr>
        <w:t>自查表</w:t>
      </w:r>
      <w:bookmarkEnd w:id="290"/>
    </w:p>
    <w:p>
      <w:pPr>
        <w:pStyle w:val="5"/>
        <w:keepLines w:val="0"/>
        <w:numPr>
          <w:ilvl w:val="0"/>
          <w:numId w:val="0"/>
        </w:numPr>
        <w:tabs>
          <w:tab w:val="left" w:pos="4320"/>
        </w:tabs>
        <w:spacing w:before="240" w:after="60" w:line="480" w:lineRule="exact"/>
        <w:rPr>
          <w:rFonts w:ascii="宋体"/>
          <w:b w:val="0"/>
          <w:bCs w:val="0"/>
          <w:color w:val="000000" w:themeColor="text1"/>
          <w:szCs w:val="21"/>
          <w:highlight w:val="none"/>
          <w14:textFill>
            <w14:solidFill>
              <w14:schemeClr w14:val="tx1"/>
            </w14:solidFill>
          </w14:textFill>
        </w:rPr>
      </w:pPr>
      <w:bookmarkStart w:id="291" w:name="_Toc18086"/>
      <w:bookmarkStart w:id="292" w:name="_Toc31777"/>
      <w:bookmarkStart w:id="293" w:name="_Toc10297"/>
      <w:r>
        <w:rPr>
          <w:rFonts w:hint="eastAsia" w:ascii="宋体"/>
          <w:bCs w:val="0"/>
          <w:color w:val="000000" w:themeColor="text1"/>
          <w:szCs w:val="21"/>
          <w:highlight w:val="none"/>
          <w14:textFill>
            <w14:solidFill>
              <w14:schemeClr w14:val="tx1"/>
            </w14:solidFill>
          </w14:textFill>
        </w:rPr>
        <w:t>1.1  资格性/符合性自查表</w:t>
      </w:r>
      <w:bookmarkEnd w:id="291"/>
      <w:bookmarkEnd w:id="292"/>
      <w:bookmarkEnd w:id="293"/>
    </w:p>
    <w:p>
      <w:pPr>
        <w:jc w:val="center"/>
        <w:rPr>
          <w:rFonts w:ascii="宋体" w:hAnsi="宋体"/>
          <w:b/>
          <w:bCs/>
          <w:color w:val="000000" w:themeColor="text1"/>
          <w:szCs w:val="21"/>
          <w:highlight w:val="none"/>
          <w14:textFill>
            <w14:solidFill>
              <w14:schemeClr w14:val="tx1"/>
            </w14:solidFill>
          </w14:textFill>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b/>
                <w:bCs/>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0"/>
              </w:tabs>
              <w:ind w:left="0" w:leftChars="0"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Merge w:val="restart"/>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w:t>
            </w:r>
            <w:r>
              <w:rPr>
                <w:rFonts w:hint="eastAsia" w:ascii="宋体" w:hAnsi="宋体"/>
                <w:color w:val="000000" w:themeColor="text1"/>
                <w:szCs w:val="21"/>
                <w:highlight w:val="none"/>
                <w14:textFill>
                  <w14:solidFill>
                    <w14:schemeClr w14:val="tx1"/>
                  </w14:solidFill>
                </w14:textFill>
              </w:rPr>
              <w:t>磋商响应文件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126"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pacing w:val="-6"/>
                <w:szCs w:val="21"/>
                <w:highlight w:val="none"/>
                <w:lang w:val="en-US" w:eastAsia="zh-CN"/>
                <w14:textFill>
                  <w14:solidFill>
                    <w14:schemeClr w14:val="tx1"/>
                  </w14:solidFill>
                </w14:textFill>
              </w:rPr>
              <w:t>投标人须是中华人民共和国境内合法注册，能独立承担民事责任并具有相关经营范围（包括拖车，吊车，停车保管服务等）的法人或其他组织</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restart"/>
            <w:vAlign w:val="center"/>
          </w:tcPr>
          <w:p>
            <w:pPr>
              <w:tabs>
                <w:tab w:val="left" w:pos="0"/>
              </w:tabs>
              <w:ind w:left="0" w:leftChars="0" w:firstLine="0" w:firstLineChars="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须满足</w:t>
            </w:r>
            <w:r>
              <w:rPr>
                <w:rFonts w:hint="eastAsia" w:ascii="宋体" w:hAnsi="宋体"/>
                <w:b w:val="0"/>
                <w:bCs w:val="0"/>
                <w:color w:val="000000" w:themeColor="text1"/>
                <w:szCs w:val="21"/>
                <w:highlight w:val="none"/>
                <w:lang w:val="en-US" w:eastAsia="zh-CN"/>
                <w14:textFill>
                  <w14:solidFill>
                    <w14:schemeClr w14:val="tx1"/>
                  </w14:solidFill>
                </w14:textFill>
              </w:rPr>
              <w:t>带“★”号</w:t>
            </w:r>
            <w:r>
              <w:rPr>
                <w:rFonts w:hint="eastAsia" w:ascii="宋体" w:hAnsi="宋体"/>
                <w:b w:val="0"/>
                <w:bCs w:val="0"/>
                <w:color w:val="000000" w:themeColor="text1"/>
                <w:szCs w:val="21"/>
                <w:highlight w:val="none"/>
                <w14:textFill>
                  <w14:solidFill>
                    <w14:schemeClr w14:val="tx1"/>
                  </w14:solidFill>
                </w14:textFill>
              </w:rPr>
              <w:t>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vAlign w:val="center"/>
          </w:tcPr>
          <w:p>
            <w:pPr>
              <w:tabs>
                <w:tab w:val="left" w:pos="0"/>
              </w:tabs>
              <w:ind w:left="0" w:leftChars="0" w:firstLine="0" w:firstLineChars="0"/>
              <w:jc w:val="center"/>
              <w:rPr>
                <w:rFonts w:hint="eastAsia" w:ascii="宋体" w:hAnsi="宋体"/>
                <w:color w:val="000000" w:themeColor="text1"/>
                <w:szCs w:val="21"/>
                <w:highlight w:val="none"/>
                <w14:textFill>
                  <w14:solidFill>
                    <w14:schemeClr w14:val="tx1"/>
                  </w14:solidFill>
                </w14:textFill>
              </w:rPr>
            </w:pPr>
          </w:p>
        </w:tc>
        <w:tc>
          <w:tcPr>
            <w:tcW w:w="2126"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按磋商</w:t>
            </w:r>
            <w:r>
              <w:rPr>
                <w:rFonts w:hint="eastAsia"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见磋商</w:t>
            </w:r>
            <w:r>
              <w:rPr>
                <w:rFonts w:hint="eastAsia" w:ascii="宋体" w:hAnsi="宋体"/>
                <w:bCs/>
                <w:color w:val="000000" w:themeColor="text1"/>
                <w:szCs w:val="21"/>
                <w:highlight w:val="none"/>
                <w14:textFill>
                  <w14:solidFill>
                    <w14:schemeClr w14:val="tx1"/>
                  </w14:solidFill>
                </w14:textFill>
              </w:rPr>
              <w:t>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14:textFill>
            <w14:solidFill>
              <w14:schemeClr w14:val="tx1"/>
            </w14:solidFill>
          </w14:textFill>
        </w:rPr>
        <w:t>磋商响应文件</w:t>
      </w:r>
      <w:r>
        <w:rPr>
          <w:rFonts w:hint="eastAsia" w:ascii="宋体" w:hAnsi="宋体"/>
          <w:color w:val="000000" w:themeColor="text1"/>
          <w:szCs w:val="21"/>
          <w:highlight w:val="none"/>
          <w14:textFill>
            <w14:solidFill>
              <w14:schemeClr w14:val="tx1"/>
            </w14:solidFill>
          </w14:textFill>
        </w:rPr>
        <w:t>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b/>
          <w:b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7"/>
        <w:rPr>
          <w:rFonts w:hAnsi="宋体"/>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p>
    <w:bookmarkEnd w:id="166"/>
    <w:bookmarkEnd w:id="167"/>
    <w:bookmarkEnd w:id="168"/>
    <w:bookmarkEnd w:id="169"/>
    <w:bookmarkEnd w:id="170"/>
    <w:p>
      <w:pPr>
        <w:pStyle w:val="5"/>
        <w:numPr>
          <w:ilvl w:val="1"/>
          <w:numId w:val="0"/>
        </w:numPr>
        <w:spacing w:line="360" w:lineRule="auto"/>
        <w:rPr>
          <w:rFonts w:ascii="宋体" w:hAnsi="宋体"/>
          <w:color w:val="000000" w:themeColor="text1"/>
          <w:highlight w:val="none"/>
          <w14:textFill>
            <w14:solidFill>
              <w14:schemeClr w14:val="tx1"/>
            </w14:solidFill>
          </w14:textFill>
        </w:rPr>
      </w:pPr>
      <w:bookmarkStart w:id="294" w:name="_Toc469160785"/>
      <w:bookmarkStart w:id="295" w:name="_Toc200414515"/>
      <w:bookmarkStart w:id="296" w:name="_Toc8152"/>
      <w:r>
        <w:rPr>
          <w:rFonts w:hint="eastAsia" w:ascii="宋体" w:hAnsi="宋体"/>
          <w:color w:val="000000" w:themeColor="text1"/>
          <w:sz w:val="28"/>
          <w:szCs w:val="28"/>
          <w:highlight w:val="none"/>
          <w14:textFill>
            <w14:solidFill>
              <w14:schemeClr w14:val="tx1"/>
            </w14:solidFill>
          </w14:textFill>
        </w:rPr>
        <w:t>（一）无重大违法记录声明函</w:t>
      </w:r>
      <w:bookmarkEnd w:id="294"/>
      <w:bookmarkEnd w:id="295"/>
      <w:bookmarkEnd w:id="296"/>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针对贵方组织的（项目名称）：（项目编号</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7"/>
        <w:spacing w:line="360" w:lineRule="auto"/>
        <w:ind w:left="420"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kern w:val="0"/>
          <w:sz w:val="28"/>
          <w:szCs w:val="28"/>
          <w:highlight w:val="none"/>
          <w14:textFill>
            <w14:solidFill>
              <w14:schemeClr w14:val="tx1"/>
            </w14:solidFill>
          </w14:textFill>
        </w:rPr>
      </w:pPr>
      <w:bookmarkStart w:id="297" w:name="_Toc469160786"/>
      <w:bookmarkStart w:id="298" w:name="_Toc23504"/>
      <w:bookmarkStart w:id="299" w:name="_Toc200414516"/>
      <w:r>
        <w:rPr>
          <w:rFonts w:hint="eastAsia" w:ascii="宋体" w:hAnsi="宋体"/>
          <w:color w:val="000000" w:themeColor="text1"/>
          <w:kern w:val="0"/>
          <w:sz w:val="28"/>
          <w:szCs w:val="28"/>
          <w:highlight w:val="none"/>
          <w14:textFill>
            <w14:solidFill>
              <w14:schemeClr w14:val="tx1"/>
            </w14:solidFill>
          </w14:textFill>
        </w:rPr>
        <w:t>（二）法定代表人（负责人）证明书</w:t>
      </w:r>
      <w:bookmarkEnd w:id="297"/>
      <w:bookmarkEnd w:id="298"/>
      <w:bookmarkEnd w:id="299"/>
    </w:p>
    <w:p>
      <w:pPr>
        <w:pStyle w:val="7"/>
        <w:spacing w:line="360" w:lineRule="auto"/>
        <w:rPr>
          <w:rFonts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年月日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ind w:firstLine="0"/>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7"/>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0" w:name="_Toc4634"/>
      <w:bookmarkStart w:id="301" w:name="_Toc469160787"/>
      <w:bookmarkStart w:id="302" w:name="_Toc200414517"/>
      <w:r>
        <w:rPr>
          <w:rFonts w:hint="eastAsia" w:ascii="宋体" w:hAnsi="宋体"/>
          <w:color w:val="000000" w:themeColor="text1"/>
          <w:sz w:val="28"/>
          <w:szCs w:val="28"/>
          <w:highlight w:val="none"/>
          <w14:textFill>
            <w14:solidFill>
              <w14:schemeClr w14:val="tx1"/>
            </w14:solidFill>
          </w14:textFill>
        </w:rPr>
        <w:t>（三）法定代表人（负责人）授权书</w:t>
      </w:r>
      <w:bookmarkEnd w:id="300"/>
      <w:bookmarkEnd w:id="301"/>
      <w:bookmarkEnd w:id="302"/>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为我公司代理人，以本公司的名义参加广东业信采购招标有限公司组织的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磋商项目（项目编号:）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（注：供应商的磋商响应文件为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03" w:name="_Toc200414523"/>
      <w:bookmarkStart w:id="304" w:name="_Toc30874"/>
      <w:bookmarkStart w:id="305" w:name="_Toc469160793"/>
      <w:r>
        <w:rPr>
          <w:rFonts w:hint="eastAsia" w:ascii="宋体" w:hAnsi="宋体"/>
          <w:color w:val="000000" w:themeColor="text1"/>
          <w:sz w:val="28"/>
          <w:szCs w:val="28"/>
          <w:highlight w:val="none"/>
          <w14:textFill>
            <w14:solidFill>
              <w14:schemeClr w14:val="tx1"/>
            </w14:solidFill>
          </w14:textFill>
        </w:rPr>
        <w:t>（四） 资格审查文件要求提交的其它有效证明文件</w:t>
      </w:r>
      <w:bookmarkEnd w:id="303"/>
      <w:bookmarkEnd w:id="304"/>
      <w:bookmarkEnd w:id="305"/>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14:textFill>
            <w14:solidFill>
              <w14:schemeClr w14:val="tx1"/>
            </w14:solidFill>
          </w14:textFill>
        </w:rPr>
        <w:t>……</w:t>
      </w:r>
    </w:p>
    <w:p>
      <w:pPr>
        <w:pStyle w:val="5"/>
        <w:numPr>
          <w:ilvl w:val="1"/>
          <w:numId w:val="0"/>
        </w:numPr>
        <w:spacing w:line="360" w:lineRule="auto"/>
        <w:ind w:firstLine="2249" w:firstLineChars="800"/>
        <w:jc w:val="both"/>
        <w:rPr>
          <w:rFonts w:ascii="宋体" w:hAnsi="宋体"/>
          <w:color w:val="000000" w:themeColor="text1"/>
          <w:sz w:val="28"/>
          <w:szCs w:val="28"/>
          <w:highlight w:val="none"/>
          <w14:textFill>
            <w14:solidFill>
              <w14:schemeClr w14:val="tx1"/>
            </w14:solidFill>
          </w14:textFill>
        </w:rPr>
      </w:pPr>
      <w:bookmarkStart w:id="306" w:name="_Toc469160794"/>
      <w:bookmarkStart w:id="307" w:name="_Toc200414524"/>
      <w:bookmarkStart w:id="308" w:name="_Toc4403"/>
      <w:r>
        <w:rPr>
          <w:rFonts w:hint="eastAsia" w:ascii="宋体" w:hAnsi="宋体"/>
          <w:color w:val="000000" w:themeColor="text1"/>
          <w:sz w:val="28"/>
          <w:szCs w:val="28"/>
          <w:highlight w:val="none"/>
          <w14:textFill>
            <w14:solidFill>
              <w14:schemeClr w14:val="tx1"/>
            </w14:solidFill>
          </w14:textFill>
        </w:rPr>
        <w:t>第二章  磋商响应文件商务及技术部分</w:t>
      </w:r>
      <w:bookmarkEnd w:id="306"/>
      <w:bookmarkEnd w:id="307"/>
      <w:bookmarkEnd w:id="308"/>
    </w:p>
    <w:p>
      <w:pPr>
        <w:pStyle w:val="5"/>
        <w:numPr>
          <w:ilvl w:val="1"/>
          <w:numId w:val="0"/>
        </w:numPr>
        <w:spacing w:line="360" w:lineRule="auto"/>
        <w:ind w:firstLine="3373" w:firstLineChars="1200"/>
        <w:jc w:val="both"/>
        <w:rPr>
          <w:rFonts w:ascii="宋体" w:hAnsi="宋体"/>
          <w:color w:val="000000" w:themeColor="text1"/>
          <w:sz w:val="28"/>
          <w:szCs w:val="28"/>
          <w:highlight w:val="none"/>
          <w14:textFill>
            <w14:solidFill>
              <w14:schemeClr w14:val="tx1"/>
            </w14:solidFill>
          </w14:textFill>
        </w:rPr>
      </w:pPr>
      <w:bookmarkStart w:id="309" w:name="_Toc27271"/>
      <w:bookmarkStart w:id="310" w:name="_Toc200414525"/>
      <w:bookmarkStart w:id="311" w:name="_Toc469160795"/>
      <w:r>
        <w:rPr>
          <w:rFonts w:hint="eastAsia" w:ascii="宋体" w:hAnsi="宋体"/>
          <w:color w:val="000000" w:themeColor="text1"/>
          <w:sz w:val="28"/>
          <w:szCs w:val="28"/>
          <w:highlight w:val="none"/>
          <w14:textFill>
            <w14:solidFill>
              <w14:schemeClr w14:val="tx1"/>
            </w14:solidFill>
          </w14:textFill>
        </w:rPr>
        <w:t>附件一：磋商邀请函</w:t>
      </w:r>
      <w:bookmarkEnd w:id="309"/>
      <w:bookmarkEnd w:id="310"/>
      <w:bookmarkEnd w:id="311"/>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360" w:lineRule="auto"/>
        <w:ind w:firstLine="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Cs/>
          <w:color w:val="000000" w:themeColor="text1"/>
          <w:szCs w:val="21"/>
          <w:highlight w:val="none"/>
          <w14:textFill>
            <w14:solidFill>
              <w14:schemeClr w14:val="tx1"/>
            </w14:solidFill>
          </w14:textFill>
        </w:rPr>
        <w:t>的投标邀请（项目编号：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，我方正式响应磋商文件内容并提交磋商响应文件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Cs/>
          <w:color w:val="000000" w:themeColor="text1"/>
          <w:szCs w:val="21"/>
          <w:highlight w:val="none"/>
          <w14:textFill>
            <w14:solidFill>
              <w14:schemeClr w14:val="tx1"/>
            </w14:solidFill>
          </w14:textFill>
        </w:rPr>
        <w:t>：</w:t>
      </w:r>
    </w:p>
    <w:p>
      <w:pPr>
        <w:widowControl/>
        <w:tabs>
          <w:tab w:val="left" w:pos="502"/>
        </w:tabs>
        <w:adjustRightInd w:val="0"/>
        <w:snapToGrid w:val="0"/>
        <w:spacing w:line="360" w:lineRule="auto"/>
        <w:ind w:left="374" w:leftChars="178" w:firstLine="315" w:firstLine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以形式提交的磋商保证金，金额为大写</w:t>
      </w:r>
      <w:r>
        <w:rPr>
          <w:rFonts w:hint="eastAsia" w:ascii="宋体" w:hAnsi="宋体"/>
          <w:color w:val="000000" w:themeColor="text1"/>
          <w:szCs w:val="21"/>
          <w:highlight w:val="none"/>
          <w14:textFill>
            <w14:solidFill>
              <w14:schemeClr w14:val="tx1"/>
            </w14:solidFill>
          </w14:textFill>
        </w:rPr>
        <w:t>人民币（</w:t>
      </w:r>
      <w:r>
        <w:rPr>
          <w:rFonts w:hint="eastAsia" w:ascii="宋体" w:hAnsi="宋体"/>
          <w:bCs/>
          <w:color w:val="000000" w:themeColor="text1"/>
          <w:szCs w:val="21"/>
          <w:highlight w:val="none"/>
          <w14:textFill>
            <w14:solidFill>
              <w14:schemeClr w14:val="tx1"/>
            </w14:solidFill>
          </w14:textFill>
        </w:rPr>
        <w:t>¥ ）。</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（用文字和数字表示的磋商总价）  </w:t>
      </w:r>
      <w:r>
        <w:rPr>
          <w:rFonts w:hint="eastAsia" w:ascii="宋体" w:hAnsi="宋体"/>
          <w:color w:val="000000" w:themeColor="text1"/>
          <w:szCs w:val="21"/>
          <w:highlight w:val="none"/>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本次投标所报内容完全按照磋商文件要求填报，所有内容都是真实、准确的。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供应商将按磋商文件的规定履行全部合同责任和义务。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供应商已详细审查全部磋商文件，包括修改文件（如有的话）以及全部参考资料和有关附件。我们完全理解并同意放弃对这方面有不明及误解的权利。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本次投标自递交磋商响应文件截止之日起有效期为90天。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如果在规定的递交磋商响应文件截止之日后，供应商在投标有效期内撤回投标，投标保证金将被贵方没收。</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6"/>
        <w:spacing w:line="36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注：本磋商邀请函为供应商响应本次磋商项目的郑重承诺，供应商不得改动且必须满足。</w:t>
      </w: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2" w:name="_Toc200414526"/>
      <w:bookmarkStart w:id="313" w:name="_Toc7904"/>
      <w:bookmarkStart w:id="314" w:name="_Toc469160796"/>
      <w:r>
        <w:rPr>
          <w:rFonts w:hint="eastAsia" w:ascii="宋体" w:hAnsi="宋体"/>
          <w:color w:val="000000" w:themeColor="text1"/>
          <w:sz w:val="28"/>
          <w:szCs w:val="28"/>
          <w:highlight w:val="none"/>
          <w14:textFill>
            <w14:solidFill>
              <w14:schemeClr w14:val="tx1"/>
            </w14:solidFill>
          </w14:textFill>
        </w:rPr>
        <w:t>附件二：第一次报价一览表</w:t>
      </w:r>
      <w:bookmarkEnd w:id="312"/>
      <w:bookmarkEnd w:id="313"/>
      <w:bookmarkEnd w:id="314"/>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阳江市公安局阳东分局交通违法及事故车辆拖车、保管项目（二次招标）</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本报价表为供应商的第一次报价，磋商后，代理采购机构将向合格的供应商发最终报价表。</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32"/>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widowControl/>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pPr>
    </w:p>
    <w:p>
      <w:pPr>
        <w:pStyle w:val="26"/>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5" w:name="_Toc969"/>
      <w:bookmarkStart w:id="316" w:name="_Toc200414527"/>
      <w:bookmarkStart w:id="317" w:name="_Toc469160797"/>
      <w:r>
        <w:rPr>
          <w:rFonts w:hint="eastAsia" w:ascii="宋体" w:hAnsi="宋体"/>
          <w:color w:val="000000" w:themeColor="text1"/>
          <w:sz w:val="28"/>
          <w:szCs w:val="28"/>
          <w:highlight w:val="none"/>
          <w14:textFill>
            <w14:solidFill>
              <w14:schemeClr w14:val="tx1"/>
            </w14:solidFill>
          </w14:textFill>
        </w:rPr>
        <w:t>附件三：磋商分项报价</w:t>
      </w:r>
      <w:r>
        <w:rPr>
          <w:rFonts w:ascii="宋体" w:hAnsi="宋体"/>
          <w:color w:val="000000" w:themeColor="text1"/>
          <w:sz w:val="28"/>
          <w:szCs w:val="28"/>
          <w:highlight w:val="none"/>
          <w14:textFill>
            <w14:solidFill>
              <w14:schemeClr w14:val="tx1"/>
            </w14:solidFill>
          </w14:textFill>
        </w:rPr>
        <w:t>表</w:t>
      </w:r>
      <w:bookmarkEnd w:id="315"/>
      <w:bookmarkEnd w:id="316"/>
      <w:bookmarkEnd w:id="317"/>
    </w:p>
    <w:p>
      <w:pPr>
        <w:adjustRightInd w:val="0"/>
        <w:snapToGrid w:val="0"/>
        <w:spacing w:line="360" w:lineRule="auto"/>
        <w:jc w:val="left"/>
        <w:rPr>
          <w:rFonts w:hint="eastAsia" w:ascii="宋体" w:hAnsi="宋体" w:eastAsia="宋体"/>
          <w:b/>
          <w:bCs/>
          <w:cap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阳江市公安局阳东分局交通违法及事故车辆拖车、保管项目（二次招标）</w:t>
      </w:r>
      <w:r>
        <w:rPr>
          <w:rFonts w:hint="eastAsia" w:ascii="宋体" w:hAnsi="宋体"/>
          <w:bCs/>
          <w:color w:val="000000" w:themeColor="text1"/>
          <w:szCs w:val="21"/>
          <w:highlight w:val="none"/>
          <w14:textFill>
            <w14:solidFill>
              <w14:schemeClr w14:val="tx1"/>
            </w14:solidFill>
          </w14:textFill>
        </w:rPr>
        <w:t>（单位：元）</w:t>
      </w:r>
    </w:p>
    <w:tbl>
      <w:tblPr>
        <w:tblStyle w:val="51"/>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序号</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内容</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服务内容</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服务时间</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单价</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总价</w:t>
            </w: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2" w:type="dxa"/>
            <w:gridSpan w:val="2"/>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1"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c>
          <w:tcPr>
            <w:tcW w:w="1287"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保险费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税金</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技术服务费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培训费</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9</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质量保证期内的服务费用</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10</w:t>
            </w:r>
          </w:p>
        </w:tc>
        <w:tc>
          <w:tcPr>
            <w:tcW w:w="1842"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其他费用</w:t>
            </w:r>
          </w:p>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w:t>
            </w:r>
          </w:p>
        </w:tc>
        <w:tc>
          <w:tcPr>
            <w:tcW w:w="1842" w:type="dxa"/>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报价总价</w:t>
            </w:r>
          </w:p>
        </w:tc>
        <w:tc>
          <w:tcPr>
            <w:tcW w:w="3208" w:type="dxa"/>
            <w:gridSpan w:val="3"/>
            <w:vAlign w:val="center"/>
          </w:tcPr>
          <w:p>
            <w:pPr>
              <w:pStyle w:val="7"/>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（大写）人民币</w:t>
            </w:r>
          </w:p>
        </w:tc>
        <w:tc>
          <w:tcPr>
            <w:tcW w:w="3204" w:type="dxa"/>
            <w:gridSpan w:val="3"/>
            <w:vAlign w:val="center"/>
          </w:tcPr>
          <w:p>
            <w:pPr>
              <w:pStyle w:val="7"/>
              <w:snapToGrid w:val="0"/>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7"/>
              <w:snapToGrid w:val="0"/>
              <w:ind w:firstLine="0"/>
              <w:jc w:val="center"/>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12</w:t>
            </w:r>
          </w:p>
        </w:tc>
        <w:tc>
          <w:tcPr>
            <w:tcW w:w="1842" w:type="dxa"/>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备注</w:t>
            </w:r>
          </w:p>
        </w:tc>
        <w:tc>
          <w:tcPr>
            <w:tcW w:w="6412" w:type="dxa"/>
            <w:gridSpan w:val="6"/>
            <w:vAlign w:val="center"/>
          </w:tcPr>
          <w:p>
            <w:pPr>
              <w:pStyle w:val="7"/>
              <w:snapToGrid w:val="0"/>
              <w:ind w:firstLine="0"/>
              <w:jc w:val="center"/>
              <w:rPr>
                <w:rFonts w:hAnsi="宋体"/>
                <w:bCs/>
                <w:color w:val="000000" w:themeColor="text1"/>
                <w:sz w:val="21"/>
                <w:szCs w:val="21"/>
                <w:highlight w:val="none"/>
                <w14:textFill>
                  <w14:solidFill>
                    <w14:schemeClr w14:val="tx1"/>
                  </w14:solidFill>
                </w14:textFill>
              </w:rPr>
            </w:pPr>
          </w:p>
        </w:tc>
      </w:tr>
    </w:tbl>
    <w:p>
      <w:pPr>
        <w:spacing w:line="4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bookmarkStart w:id="318" w:name="_Toc200414528"/>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19" w:name="_Toc469160798"/>
      <w:bookmarkStart w:id="320" w:name="_Toc18017"/>
      <w:r>
        <w:rPr>
          <w:rFonts w:hint="eastAsia" w:ascii="宋体" w:hAnsi="宋体"/>
          <w:color w:val="000000" w:themeColor="text1"/>
          <w:sz w:val="28"/>
          <w:szCs w:val="28"/>
          <w:highlight w:val="none"/>
          <w14:textFill>
            <w14:solidFill>
              <w14:schemeClr w14:val="tx1"/>
            </w14:solidFill>
          </w14:textFill>
        </w:rPr>
        <w:t>附件四：商务条款偏离一览表</w:t>
      </w:r>
      <w:bookmarkEnd w:id="318"/>
      <w:bookmarkEnd w:id="319"/>
      <w:bookmarkEnd w:id="320"/>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color w:val="000000" w:themeColor="text1"/>
          <w:spacing w:val="10"/>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阳江市公安局阳东分局交通违法及事故车辆拖车、保管项目（二次招标）</w:t>
      </w:r>
    </w:p>
    <w:tbl>
      <w:tblPr>
        <w:tblStyle w:val="51"/>
        <w:tblW w:w="9271" w:type="dxa"/>
        <w:jc w:val="center"/>
        <w:tblLayout w:type="fixed"/>
        <w:tblCellMar>
          <w:top w:w="0" w:type="dxa"/>
          <w:left w:w="54" w:type="dxa"/>
          <w:bottom w:w="0" w:type="dxa"/>
          <w:right w:w="54" w:type="dxa"/>
        </w:tblCellMar>
      </w:tblPr>
      <w:tblGrid>
        <w:gridCol w:w="556"/>
        <w:gridCol w:w="1019"/>
        <w:gridCol w:w="3047"/>
        <w:gridCol w:w="2906"/>
        <w:gridCol w:w="993"/>
        <w:gridCol w:w="750"/>
      </w:tblGrid>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5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01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21" w:name="_Toc200414529"/>
      <w:bookmarkStart w:id="322" w:name="_Toc1293"/>
      <w:bookmarkStart w:id="323" w:name="_Toc469160799"/>
      <w:r>
        <w:rPr>
          <w:rFonts w:hint="eastAsia" w:ascii="宋体" w:hAnsi="宋体"/>
          <w:color w:val="000000" w:themeColor="text1"/>
          <w:sz w:val="28"/>
          <w:szCs w:val="28"/>
          <w:highlight w:val="none"/>
          <w14:textFill>
            <w14:solidFill>
              <w14:schemeClr w14:val="tx1"/>
            </w14:solidFill>
          </w14:textFill>
        </w:rPr>
        <w:t>附件五：技术条款偏离一览表</w:t>
      </w:r>
      <w:bookmarkEnd w:id="321"/>
      <w:bookmarkEnd w:id="322"/>
      <w:bookmarkEnd w:id="323"/>
    </w:p>
    <w:p>
      <w:pPr>
        <w:adjustRightInd w:val="0"/>
        <w:snapToGrid w:val="0"/>
        <w:spacing w:line="360" w:lineRule="auto"/>
        <w:rPr>
          <w:rFonts w:hint="eastAsia" w:ascii="宋体" w:hAnsi="宋体" w:eastAsia="宋体"/>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阳江市公安局阳东分局交通违法及事故车辆拖车、保管项目（二次招标）</w:t>
      </w:r>
    </w:p>
    <w:tbl>
      <w:tblPr>
        <w:tblStyle w:val="51"/>
        <w:tblW w:w="9271" w:type="dxa"/>
        <w:jc w:val="center"/>
        <w:tblLayout w:type="fixed"/>
        <w:tblCellMar>
          <w:top w:w="0" w:type="dxa"/>
          <w:left w:w="54" w:type="dxa"/>
          <w:bottom w:w="0" w:type="dxa"/>
          <w:right w:w="54" w:type="dxa"/>
        </w:tblCellMar>
      </w:tblPr>
      <w:tblGrid>
        <w:gridCol w:w="606"/>
        <w:gridCol w:w="969"/>
        <w:gridCol w:w="3047"/>
        <w:gridCol w:w="3190"/>
        <w:gridCol w:w="850"/>
        <w:gridCol w:w="609"/>
      </w:tblGrid>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6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说明：1）对“偏离”一栏，填写“</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7"/>
        <w:spacing w:line="360" w:lineRule="auto"/>
        <w:ind w:firstLine="0"/>
        <w:rPr>
          <w:rFonts w:hAnsi="宋体"/>
          <w:bCs/>
          <w:color w:val="000000" w:themeColor="text1"/>
          <w:szCs w:val="21"/>
          <w:highlight w:val="none"/>
          <w14:textFill>
            <w14:solidFill>
              <w14:schemeClr w14:val="tx1"/>
            </w14:solidFill>
          </w14:textFill>
        </w:rPr>
      </w:pPr>
    </w:p>
    <w:p>
      <w:pPr>
        <w:pStyle w:val="5"/>
        <w:numPr>
          <w:ilvl w:val="1"/>
          <w:numId w:val="0"/>
        </w:numPr>
        <w:tabs>
          <w:tab w:val="left" w:pos="420"/>
        </w:tabs>
        <w:spacing w:before="200" w:after="200" w:line="360" w:lineRule="auto"/>
        <w:ind w:left="420" w:hanging="420"/>
        <w:rPr>
          <w:rFonts w:ascii="宋体" w:hAnsi="宋体"/>
          <w:color w:val="000000" w:themeColor="text1"/>
          <w:highlight w:val="none"/>
          <w14:textFill>
            <w14:solidFill>
              <w14:schemeClr w14:val="tx1"/>
            </w14:solidFill>
          </w14:textFill>
        </w:rPr>
      </w:pPr>
      <w:bookmarkStart w:id="324" w:name="_Toc26205"/>
      <w:r>
        <w:rPr>
          <w:rFonts w:hint="eastAsia" w:ascii="宋体" w:hAnsi="宋体"/>
          <w:color w:val="000000" w:themeColor="text1"/>
          <w:sz w:val="28"/>
          <w:szCs w:val="28"/>
          <w:highlight w:val="none"/>
          <w14:textFill>
            <w14:solidFill>
              <w14:schemeClr w14:val="tx1"/>
            </w14:solidFill>
          </w14:textFill>
        </w:rPr>
        <w:t>附件六：同类业绩一览表</w:t>
      </w:r>
      <w:bookmarkEnd w:id="324"/>
    </w:p>
    <w:p>
      <w:pPr>
        <w:pStyle w:val="7"/>
        <w:spacing w:line="360" w:lineRule="auto"/>
        <w:rPr>
          <w:color w:val="000000" w:themeColor="text1"/>
          <w:sz w:val="21"/>
          <w:szCs w:val="21"/>
          <w:highlight w:val="none"/>
          <w14:textFill>
            <w14:solidFill>
              <w14:schemeClr w14:val="tx1"/>
            </w14:solidFill>
          </w14:textFill>
        </w:rPr>
      </w:pPr>
    </w:p>
    <w:p>
      <w:pPr>
        <w:pStyle w:val="7"/>
        <w:spacing w:line="360" w:lineRule="auto"/>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 xml:space="preserve">项目编号: </w:t>
      </w:r>
      <w:r>
        <w:rPr>
          <w:rFonts w:hint="eastAsia"/>
          <w:b/>
          <w:bCs/>
          <w:color w:val="000000" w:themeColor="text1"/>
          <w:sz w:val="21"/>
          <w:szCs w:val="21"/>
          <w:highlight w:val="none"/>
          <w:u w:val="single"/>
          <w:lang w:eastAsia="zh-CN"/>
          <w14:textFill>
            <w14:solidFill>
              <w14:schemeClr w14:val="tx1"/>
            </w14:solidFill>
          </w14:textFill>
        </w:rPr>
        <w:t>YXCG-20210812</w:t>
      </w:r>
      <w:r>
        <w:rPr>
          <w:rFonts w:hint="eastAsia"/>
          <w:b/>
          <w:bCs/>
          <w:color w:val="000000" w:themeColor="text1"/>
          <w:sz w:val="21"/>
          <w:szCs w:val="21"/>
          <w:highlight w:val="none"/>
          <w14:textFill>
            <w14:solidFill>
              <w14:schemeClr w14:val="tx1"/>
            </w14:solidFill>
          </w14:textFill>
        </w:rPr>
        <w:t xml:space="preserve">  </w:t>
      </w:r>
    </w:p>
    <w:p>
      <w:pPr>
        <w:pStyle w:val="7"/>
        <w:spacing w:line="360" w:lineRule="auto"/>
        <w:rPr>
          <w:rFonts w:hint="eastAsia" w:eastAsia="宋体"/>
          <w:b/>
          <w:bCs/>
          <w:color w:val="000000" w:themeColor="text1"/>
          <w:sz w:val="21"/>
          <w:szCs w:val="21"/>
          <w:highlight w:val="none"/>
          <w:u w:val="single"/>
          <w:lang w:eastAsia="zh-CN"/>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项目名称：</w:t>
      </w:r>
      <w:r>
        <w:rPr>
          <w:rFonts w:hint="eastAsia"/>
          <w:b/>
          <w:bCs/>
          <w:color w:val="000000" w:themeColor="text1"/>
          <w:sz w:val="21"/>
          <w:szCs w:val="21"/>
          <w:highlight w:val="none"/>
          <w:u w:val="single"/>
          <w:lang w:eastAsia="zh-CN"/>
          <w14:textFill>
            <w14:solidFill>
              <w14:schemeClr w14:val="tx1"/>
            </w14:solidFill>
          </w14:textFill>
        </w:rPr>
        <w:t>阳江市公安局阳东分局交通违法及事故车辆拖车、保管项目（二次招标）</w:t>
      </w:r>
    </w:p>
    <w:p>
      <w:pPr>
        <w:pStyle w:val="7"/>
        <w:ind w:firstLine="0"/>
        <w:rPr>
          <w:b/>
          <w:bCs/>
          <w:color w:val="000000" w:themeColor="text1"/>
          <w:sz w:val="21"/>
          <w:szCs w:val="21"/>
          <w:highlight w:val="none"/>
          <w:u w:val="single"/>
          <w14:textFill>
            <w14:solidFill>
              <w14:schemeClr w14:val="tx1"/>
            </w14:solidFill>
          </w14:textFill>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kern w:val="2"/>
                <w:sz w:val="21"/>
                <w:szCs w:val="24"/>
                <w:highlight w:val="none"/>
                <w14:textFill>
                  <w14:solidFill>
                    <w14:schemeClr w14:val="tx1"/>
                  </w14:solidFill>
                </w14:textFill>
              </w:rPr>
            </w:pPr>
          </w:p>
        </w:tc>
      </w:tr>
    </w:tbl>
    <w:p>
      <w:pPr>
        <w:pStyle w:val="7"/>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pStyle w:val="7"/>
        <w:ind w:firstLine="0"/>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 xml:space="preserve"> </w:t>
      </w:r>
    </w:p>
    <w:p>
      <w:pPr>
        <w:pStyle w:val="7"/>
        <w:ind w:firstLine="0"/>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Ansi="宋体"/>
          <w:bCs/>
          <w:color w:val="000000" w:themeColor="text1"/>
          <w:sz w:val="21"/>
          <w:szCs w:val="21"/>
          <w:highlight w:val="non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年</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月</w:t>
      </w:r>
      <w:r>
        <w:rPr>
          <w:rFonts w:hAnsi="宋体"/>
          <w:bCs/>
          <w:color w:val="000000" w:themeColor="text1"/>
          <w:sz w:val="21"/>
          <w:szCs w:val="21"/>
          <w:highlight w:val="none"/>
          <w14:textFill>
            <w14:solidFill>
              <w14:schemeClr w14:val="tx1"/>
            </w14:solidFill>
          </w14:textFill>
        </w:rPr>
        <w:t xml:space="preserve"> </w:t>
      </w:r>
      <w:r>
        <w:rPr>
          <w:rFonts w:hAnsi="宋体"/>
          <w:bCs/>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szCs w:val="21"/>
          <w:highlight w:val="none"/>
          <w14:textFill>
            <w14:solidFill>
              <w14:schemeClr w14:val="tx1"/>
            </w14:solidFill>
          </w14:textFill>
        </w:rPr>
        <w:t>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5"/>
        <w:numPr>
          <w:ilvl w:val="0"/>
          <w:numId w:val="0"/>
        </w:numPr>
        <w:spacing w:line="400" w:lineRule="exact"/>
        <w:rPr>
          <w:rFonts w:hAnsi="黑体" w:cs="黑体"/>
          <w:color w:val="000000" w:themeColor="text1"/>
          <w:sz w:val="28"/>
          <w:szCs w:val="28"/>
          <w:highlight w:val="none"/>
          <w14:textFill>
            <w14:solidFill>
              <w14:schemeClr w14:val="tx1"/>
            </w14:solidFill>
          </w14:textFill>
        </w:rPr>
      </w:pPr>
      <w:bookmarkStart w:id="325" w:name="_Toc11866431"/>
      <w:bookmarkStart w:id="326" w:name="_Toc432682754"/>
      <w:bookmarkStart w:id="327" w:name="_Toc6243"/>
      <w:bookmarkStart w:id="328" w:name="_Toc432695229"/>
      <w:bookmarkStart w:id="329" w:name="_Toc7149"/>
      <w:bookmarkStart w:id="330" w:name="_Toc430771089"/>
      <w:bookmarkStart w:id="331" w:name="_Toc339020125"/>
      <w:bookmarkStart w:id="332" w:name="_Toc350756480"/>
      <w:bookmarkStart w:id="333" w:name="_Toc343248448"/>
      <w:bookmarkStart w:id="334" w:name="_Toc342060405"/>
      <w:bookmarkStart w:id="335" w:name="_Toc340672899"/>
      <w:bookmarkStart w:id="336" w:name="_Toc337632388"/>
      <w:bookmarkStart w:id="337" w:name="_Toc342296791"/>
      <w:bookmarkStart w:id="338" w:name="_Toc336681965"/>
      <w:bookmarkStart w:id="339" w:name="_Toc333237708"/>
      <w:bookmarkStart w:id="340" w:name="_Toc342398160"/>
      <w:bookmarkStart w:id="341" w:name="_Toc340677100"/>
      <w:bookmarkStart w:id="342" w:name="_Toc333935376"/>
      <w:bookmarkStart w:id="343" w:name="_Toc331684072"/>
      <w:bookmarkStart w:id="344" w:name="_Toc339019919"/>
      <w:bookmarkStart w:id="345" w:name="_Toc339362330"/>
      <w:bookmarkStart w:id="346" w:name="_Toc365985211"/>
      <w:bookmarkStart w:id="347" w:name="_Toc102451601"/>
      <w:bookmarkStart w:id="348" w:name="_Toc333238664"/>
      <w:bookmarkStart w:id="349" w:name="_Toc345312627"/>
      <w:bookmarkStart w:id="350" w:name="_Toc332206739"/>
      <w:bookmarkStart w:id="351" w:name="_Toc341348370"/>
      <w:bookmarkStart w:id="352" w:name="_Toc343612950"/>
      <w:bookmarkStart w:id="353" w:name="_Toc340507472"/>
      <w:bookmarkStart w:id="354" w:name="_Toc336681610"/>
      <w:bookmarkStart w:id="355" w:name="_Toc343247130"/>
      <w:bookmarkStart w:id="356" w:name="_Toc332270377"/>
      <w:bookmarkStart w:id="357" w:name="_Toc333237819"/>
      <w:bookmarkStart w:id="358" w:name="_Toc331512931"/>
      <w:bookmarkStart w:id="359" w:name="_Toc339020045"/>
      <w:bookmarkStart w:id="360" w:name="_Toc365967105"/>
      <w:bookmarkStart w:id="361" w:name="_Toc366072562"/>
      <w:bookmarkStart w:id="362" w:name="_Toc342312473"/>
      <w:bookmarkStart w:id="363" w:name="_Toc339020263"/>
      <w:bookmarkStart w:id="364" w:name="_Toc339441117"/>
      <w:bookmarkStart w:id="365" w:name="_Toc330460016"/>
      <w:bookmarkStart w:id="366" w:name="_Toc333935717"/>
      <w:bookmarkStart w:id="367" w:name="_Toc350438779"/>
      <w:r>
        <w:rPr>
          <w:rFonts w:hint="eastAsia"/>
          <w:color w:val="000000" w:themeColor="text1"/>
          <w:sz w:val="28"/>
          <w:szCs w:val="28"/>
          <w:highlight w:val="none"/>
          <w14:textFill>
            <w14:solidFill>
              <w14:schemeClr w14:val="tx1"/>
            </w14:solidFill>
          </w14:textFill>
        </w:rPr>
        <w:t>附件七：</w:t>
      </w:r>
      <w:r>
        <w:rPr>
          <w:rFonts w:hint="eastAsia" w:hAnsi="黑体" w:cs="黑体"/>
          <w:color w:val="000000" w:themeColor="text1"/>
          <w:sz w:val="28"/>
          <w:szCs w:val="28"/>
          <w:highlight w:val="none"/>
          <w14:textFill>
            <w14:solidFill>
              <w14:schemeClr w14:val="tx1"/>
            </w14:solidFill>
          </w14:textFill>
        </w:rPr>
        <w:t>中小微企业声明函</w:t>
      </w:r>
      <w:bookmarkEnd w:id="325"/>
      <w:bookmarkEnd w:id="326"/>
      <w:bookmarkEnd w:id="327"/>
      <w:bookmarkEnd w:id="328"/>
      <w:bookmarkEnd w:id="329"/>
      <w:bookmarkEnd w:id="33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440" w:lineRule="exact"/>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Pr>
        <w:pStyle w:val="5"/>
        <w:keepLines w:val="0"/>
        <w:numPr>
          <w:ilvl w:val="0"/>
          <w:numId w:val="0"/>
        </w:numPr>
        <w:tabs>
          <w:tab w:val="left" w:pos="851"/>
        </w:tabs>
        <w:spacing w:before="0" w:after="0" w:line="360" w:lineRule="auto"/>
        <w:rPr>
          <w:rFonts w:ascii="宋体"/>
          <w:color w:val="000000" w:themeColor="text1"/>
          <w:sz w:val="28"/>
          <w:szCs w:val="28"/>
          <w:highlight w:val="none"/>
          <w14:textFill>
            <w14:solidFill>
              <w14:schemeClr w14:val="tx1"/>
            </w14:solidFill>
          </w14:textFill>
        </w:rPr>
      </w:pPr>
      <w:bookmarkStart w:id="368" w:name="_Toc11866432"/>
      <w:bookmarkStart w:id="369" w:name="_Toc20242"/>
      <w:bookmarkStart w:id="370" w:name="_Toc32373"/>
      <w:bookmarkStart w:id="371" w:name="_Toc13978"/>
      <w:r>
        <w:rPr>
          <w:rFonts w:hint="eastAsia"/>
          <w:color w:val="000000" w:themeColor="text1"/>
          <w:sz w:val="28"/>
          <w:szCs w:val="28"/>
          <w:highlight w:val="none"/>
          <w14:textFill>
            <w14:solidFill>
              <w14:schemeClr w14:val="tx1"/>
            </w14:solidFill>
          </w14:textFill>
        </w:rPr>
        <w:t>附件八：</w:t>
      </w:r>
      <w:r>
        <w:rPr>
          <w:rFonts w:hint="eastAsia" w:hAnsi="黑体" w:cs="黑体"/>
          <w:color w:val="000000" w:themeColor="text1"/>
          <w:sz w:val="28"/>
          <w:szCs w:val="28"/>
          <w:highlight w:val="none"/>
          <w14:textFill>
            <w14:solidFill>
              <w14:schemeClr w14:val="tx1"/>
            </w14:solidFill>
          </w14:textFill>
        </w:rPr>
        <w:t>残疾人福利性单位声明函</w:t>
      </w:r>
      <w:bookmarkEnd w:id="368"/>
      <w:bookmarkEnd w:id="369"/>
      <w:bookmarkEnd w:id="370"/>
      <w:bookmarkEnd w:id="37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pStyle w:val="7"/>
        <w:ind w:firstLine="0"/>
        <w:rPr>
          <w:color w:val="000000" w:themeColor="text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日期：年月日</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2" w:name="_Toc200414534"/>
      <w:bookmarkStart w:id="373" w:name="_Toc469160804"/>
      <w:bookmarkStart w:id="374" w:name="_Toc23692"/>
      <w:r>
        <w:rPr>
          <w:rFonts w:hint="eastAsia" w:ascii="宋体" w:hAnsi="宋体"/>
          <w:color w:val="000000" w:themeColor="text1"/>
          <w:sz w:val="28"/>
          <w:szCs w:val="28"/>
          <w:highlight w:val="none"/>
          <w14:textFill>
            <w14:solidFill>
              <w14:schemeClr w14:val="tx1"/>
            </w14:solidFill>
          </w14:textFill>
        </w:rPr>
        <w:t>附件九：成交服务费承诺</w:t>
      </w:r>
      <w:bookmarkEnd w:id="372"/>
      <w:bookmarkEnd w:id="373"/>
      <w:bookmarkEnd w:id="374"/>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）磋商项目（</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2.若我方成交后拒绝如数缴纳或未按本项目磋商文件规定的期限缴纳成交服务费，则视为我方自动放弃该成交结果，贵方有权没收我方的保证金并重新确定成交结果，我方对此无任何异议。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5"/>
        <w:numPr>
          <w:ilvl w:val="1"/>
          <w:numId w:val="0"/>
        </w:numPr>
        <w:spacing w:line="360" w:lineRule="auto"/>
        <w:rPr>
          <w:rFonts w:ascii="宋体" w:hAnsi="宋体"/>
          <w:color w:val="000000" w:themeColor="text1"/>
          <w:sz w:val="28"/>
          <w:szCs w:val="28"/>
          <w:highlight w:val="none"/>
          <w14:textFill>
            <w14:solidFill>
              <w14:schemeClr w14:val="tx1"/>
            </w14:solidFill>
          </w14:textFill>
        </w:rPr>
      </w:pPr>
      <w:bookmarkStart w:id="375" w:name="_Toc469160805"/>
      <w:bookmarkStart w:id="376" w:name="_Toc200414535"/>
      <w:bookmarkStart w:id="377" w:name="_Toc20645"/>
      <w:r>
        <w:rPr>
          <w:rFonts w:hint="eastAsia" w:ascii="宋体" w:hAnsi="宋体"/>
          <w:color w:val="000000" w:themeColor="text1"/>
          <w:sz w:val="28"/>
          <w:szCs w:val="28"/>
          <w:highlight w:val="none"/>
          <w14:textFill>
            <w14:solidFill>
              <w14:schemeClr w14:val="tx1"/>
            </w14:solidFill>
          </w14:textFill>
        </w:rPr>
        <w:t>附件十：磋商供应商提交的其他资料</w:t>
      </w:r>
      <w:bookmarkEnd w:id="375"/>
      <w:bookmarkEnd w:id="376"/>
      <w:bookmarkEnd w:id="377"/>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szCs w:val="21"/>
          <w:highlight w:val="none"/>
          <w:u w:val="single"/>
          <w:lang w:eastAsia="zh-CN"/>
          <w14:textFill>
            <w14:solidFill>
              <w14:schemeClr w14:val="tx1"/>
            </w14:solidFill>
          </w14:textFill>
        </w:rPr>
        <w:t>YXCG-20210812</w:t>
      </w:r>
    </w:p>
    <w:p>
      <w:pPr>
        <w:adjustRightInd w:val="0"/>
        <w:snapToGrid w:val="0"/>
        <w:spacing w:line="360" w:lineRule="auto"/>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r>
        <w:rPr>
          <w:rFonts w:hint="eastAsia" w:ascii="宋体" w:hAnsi="宋体"/>
          <w:b/>
          <w:bCs/>
          <w:color w:val="000000" w:themeColor="text1"/>
          <w:szCs w:val="21"/>
          <w:highlight w:val="none"/>
          <w:u w:val="single"/>
          <w:lang w:eastAsia="zh-CN"/>
          <w14:textFill>
            <w14:solidFill>
              <w14:schemeClr w14:val="tx1"/>
            </w14:solidFill>
          </w14:textFill>
        </w:rPr>
        <w:t>阳江市公安局阳东分局交通违法及事故车辆拖车、保管项目（二次招标）</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7"/>
        <w:spacing w:line="360" w:lineRule="auto"/>
        <w:rPr>
          <w:rFonts w:hAnsi="宋体"/>
          <w:color w:val="000000" w:themeColor="text1"/>
          <w:sz w:val="21"/>
          <w:szCs w:val="21"/>
          <w:highlight w:val="none"/>
          <w14:textFill>
            <w14:solidFill>
              <w14:schemeClr w14:val="tx1"/>
            </w14:solidFill>
          </w14:textFill>
        </w:rPr>
      </w:pP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本节无格式要求，供应商可根据自身实际情况以及磋商文件规定的“磋商采购项目要求”等进行编制。</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一、</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二、</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三、</w:t>
      </w:r>
      <w:r>
        <w:rPr>
          <w:rFonts w:hAnsi="宋体"/>
          <w:bCs/>
          <w:color w:val="000000" w:themeColor="text1"/>
          <w:sz w:val="21"/>
          <w:szCs w:val="21"/>
          <w:highlight w:val="none"/>
          <w14:textFill>
            <w14:solidFill>
              <w14:schemeClr w14:val="tx1"/>
            </w14:solidFill>
          </w14:textFill>
        </w:rPr>
        <w:t>...</w:t>
      </w:r>
    </w:p>
    <w:p>
      <w:pPr>
        <w:pStyle w:val="7"/>
        <w:spacing w:line="360" w:lineRule="auto"/>
        <w:rPr>
          <w:rFonts w:hAnsi="宋体"/>
          <w:bCs/>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四、</w:t>
      </w:r>
      <w:r>
        <w:rPr>
          <w:rFonts w:hAnsi="宋体"/>
          <w:bCs/>
          <w:color w:val="000000" w:themeColor="text1"/>
          <w:sz w:val="2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7"/>
        <w:spacing w:line="360" w:lineRule="auto"/>
        <w:rPr>
          <w:rFonts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7"/>
        <w:spacing w:line="360" w:lineRule="auto"/>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bookmarkStart w:id="378" w:name="_Toc434832511"/>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7"/>
        <w:ind w:firstLine="0"/>
        <w:rPr>
          <w:rFonts w:hAnsi="宋体"/>
          <w:color w:val="000000" w:themeColor="text1"/>
          <w:highlight w:val="none"/>
          <w14:textFill>
            <w14:solidFill>
              <w14:schemeClr w14:val="tx1"/>
            </w14:solidFill>
          </w14:textFill>
        </w:rPr>
      </w:pPr>
    </w:p>
    <w:p>
      <w:pPr>
        <w:pStyle w:val="5"/>
        <w:numPr>
          <w:ilvl w:val="1"/>
          <w:numId w:val="0"/>
        </w:numPr>
        <w:spacing w:line="360" w:lineRule="auto"/>
        <w:rPr>
          <w:rFonts w:ascii="宋体" w:hAnsi="宋体"/>
          <w:color w:val="000000" w:themeColor="text1"/>
          <w:sz w:val="52"/>
          <w:highlight w:val="none"/>
          <w14:textFill>
            <w14:solidFill>
              <w14:schemeClr w14:val="tx1"/>
            </w14:solidFill>
          </w14:textFill>
        </w:rPr>
      </w:pPr>
      <w:bookmarkStart w:id="379" w:name="_Toc19328"/>
      <w:bookmarkStart w:id="380" w:name="_Toc469160806"/>
      <w:r>
        <w:rPr>
          <w:rFonts w:hint="eastAsia" w:ascii="宋体" w:hAnsi="宋体"/>
          <w:color w:val="000000" w:themeColor="text1"/>
          <w:sz w:val="52"/>
          <w:highlight w:val="none"/>
          <w14:textFill>
            <w14:solidFill>
              <w14:schemeClr w14:val="tx1"/>
            </w14:solidFill>
          </w14:textFill>
        </w:rPr>
        <w:t>其 他 格 式</w:t>
      </w:r>
      <w:bookmarkEnd w:id="378"/>
      <w:bookmarkEnd w:id="379"/>
      <w:bookmarkEnd w:id="38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b/>
          <w:color w:val="000000" w:themeColor="text1"/>
          <w:highlight w:val="none"/>
          <w14:textFill>
            <w14:solidFill>
              <w14:schemeClr w14:val="tx1"/>
            </w14:solidFill>
          </w14:textFill>
        </w:rPr>
      </w:pPr>
    </w:p>
    <w:p>
      <w:pPr>
        <w:pStyle w:val="6"/>
        <w:numPr>
          <w:ilvl w:val="2"/>
          <w:numId w:val="0"/>
        </w:numPr>
        <w:spacing w:afterLines="50"/>
        <w:jc w:val="center"/>
        <w:rPr>
          <w:rFonts w:ascii="宋体" w:hAnsi="宋体" w:eastAsia="宋体"/>
          <w:color w:val="000000" w:themeColor="text1"/>
          <w:sz w:val="28"/>
          <w:highlight w:val="none"/>
          <w14:textFill>
            <w14:solidFill>
              <w14:schemeClr w14:val="tx1"/>
            </w14:solidFill>
          </w14:textFill>
        </w:rPr>
      </w:pPr>
      <w:bookmarkStart w:id="381" w:name="_Toc31402"/>
      <w:bookmarkStart w:id="382" w:name="_Toc469160807"/>
      <w:r>
        <w:rPr>
          <w:rFonts w:hint="eastAsia" w:ascii="宋体" w:hAnsi="宋体" w:eastAsia="宋体"/>
          <w:color w:val="000000" w:themeColor="text1"/>
          <w:sz w:val="28"/>
          <w:highlight w:val="none"/>
          <w14:textFill>
            <w14:solidFill>
              <w14:schemeClr w14:val="tx1"/>
            </w14:solidFill>
          </w14:textFill>
        </w:rPr>
        <w:t>投标保证金退付书</w:t>
      </w:r>
      <w:bookmarkEnd w:id="381"/>
      <w:bookmarkEnd w:id="382"/>
    </w:p>
    <w:p>
      <w:pPr>
        <w:spacing w:line="360" w:lineRule="auto"/>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致：广东业信采购招标有限公司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51"/>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阳江市公安局阳东分局交通违法及事故车辆拖车、保管项目（二次招标）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hint="eastAsia" w:ascii="宋体" w:hAnsi="宋体"/>
                <w:color w:val="000000" w:themeColor="text1"/>
                <w:spacing w:val="10"/>
                <w:sz w:val="21"/>
                <w:szCs w:val="21"/>
                <w:highlight w:val="none"/>
                <w:lang w:val="zh-CN"/>
                <w14:textFill>
                  <w14:solidFill>
                    <w14:schemeClr w14:val="tx1"/>
                  </w14:solidFill>
                </w14:textFill>
              </w:rPr>
              <w:t>YXCG-20210812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136"/>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136"/>
                <w:rFonts w:ascii="宋体" w:hAnsi="宋体" w:eastAsia="宋体"/>
                <w:color w:val="000000" w:themeColor="text1"/>
                <w:spacing w:val="10"/>
                <w:sz w:val="21"/>
                <w:szCs w:val="21"/>
                <w:highlight w:val="none"/>
                <w:u w:val="single"/>
                <w:lang w:val="zh-CN"/>
                <w14:textFill>
                  <w14:solidFill>
                    <w14:schemeClr w14:val="tx1"/>
                  </w14:solidFill>
                </w14:textFill>
              </w:rPr>
            </w:pPr>
            <w:r>
              <w:rPr>
                <w:rStyle w:val="136"/>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r>
              <w:rPr>
                <w:rStyle w:val="136"/>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136"/>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136"/>
                <w:rFonts w:ascii="宋体" w:hAnsi="宋体" w:eastAsia="宋体"/>
                <w:color w:val="000000" w:themeColor="text1"/>
                <w:spacing w:val="10"/>
                <w:sz w:val="21"/>
                <w:szCs w:val="21"/>
                <w:highlight w:val="none"/>
                <w:lang w:val="zh-CN"/>
                <w14:textFill>
                  <w14:solidFill>
                    <w14:schemeClr w14:val="tx1"/>
                  </w14:solidFill>
                </w14:textFill>
              </w:rPr>
            </w:pPr>
            <w:r>
              <w:rPr>
                <w:rStyle w:val="136"/>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136"/>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51"/>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pStyle w:val="7"/>
        <w:rPr>
          <w:rFonts w:hint="eastAsia" w:ascii="宋体" w:hAnsi="宋体"/>
          <w:b/>
          <w:color w:val="000000" w:themeColor="text1"/>
          <w:sz w:val="28"/>
          <w:szCs w:val="28"/>
          <w:highlight w:val="none"/>
          <w14:textFill>
            <w14:solidFill>
              <w14:schemeClr w14:val="tx1"/>
            </w14:solidFill>
          </w14:textFill>
        </w:rPr>
      </w:pPr>
    </w:p>
    <w:p>
      <w:pPr>
        <w:spacing w:line="360" w:lineRule="auto"/>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询问函、质疑函格式</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p>
    <w:p>
      <w:pPr>
        <w:pStyle w:val="46"/>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1：询问函格式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我单位已报名并准备参与</w:t>
      </w:r>
      <w:r>
        <w:rPr>
          <w:rFonts w:hint="eastAsia" w:ascii="宋体" w:hAnsi="宋体"/>
          <w:color w:val="000000" w:themeColor="text1"/>
          <w:szCs w:val="21"/>
          <w:highlight w:val="none"/>
          <w:u w:val="singl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项目（采购文件编号：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tabs>
          <w:tab w:val="left" w:pos="6300"/>
        </w:tabs>
        <w:snapToGrid w:val="0"/>
        <w:spacing w:line="360" w:lineRule="auto"/>
        <w:ind w:firstLine="1260" w:firstLineChars="600"/>
        <w:jc w:val="left"/>
        <w:rPr>
          <w:rFonts w:ascii="宋体" w:hAnsi="宋体"/>
          <w:color w:val="000000" w:themeColor="text1"/>
          <w:szCs w:val="21"/>
          <w:highlight w:val="none"/>
          <w14:textFill>
            <w14:solidFill>
              <w14:schemeClr w14:val="tx1"/>
            </w14:solidFill>
          </w14:textFill>
        </w:rPr>
      </w:pPr>
    </w:p>
    <w:p>
      <w:pPr>
        <w:spacing w:line="360" w:lineRule="auto"/>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snapToGrid w:val="0"/>
        <w:spacing w:line="360" w:lineRule="auto"/>
        <w:ind w:firstLine="378" w:firstLineChars="180"/>
        <w:rPr>
          <w:rFonts w:ascii="宋体" w:hAnsi="宋体"/>
          <w:color w:val="000000" w:themeColor="text1"/>
          <w:szCs w:val="21"/>
          <w:highlight w:val="none"/>
          <w14:textFill>
            <w14:solidFill>
              <w14:schemeClr w14:val="tx1"/>
            </w14:solidFill>
          </w14:textFill>
        </w:rPr>
      </w:pPr>
    </w:p>
    <w:p>
      <w:pPr>
        <w:pStyle w:val="46"/>
        <w:adjustRightInd w:val="0"/>
        <w:snapToGrid w:val="0"/>
        <w:spacing w:before="0" w:beforeAutospacing="0" w:after="0" w:afterAutospacing="0" w:line="360" w:lineRule="auto"/>
        <w:jc w:val="both"/>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br w:type="page"/>
      </w:r>
      <w:r>
        <w:rPr>
          <w:rFonts w:hint="eastAsia"/>
          <w:color w:val="000000" w:themeColor="text1"/>
          <w:sz w:val="21"/>
          <w:szCs w:val="21"/>
          <w:highlight w:val="none"/>
          <w14:textFill>
            <w14:solidFill>
              <w14:schemeClr w14:val="tx1"/>
            </w14:solidFill>
          </w14:textFill>
        </w:rPr>
        <w:t>2：质疑函格式</w:t>
      </w:r>
    </w:p>
    <w:p>
      <w:pPr>
        <w:pStyle w:val="46"/>
        <w:spacing w:before="0" w:beforeAutospacing="0" w:after="0" w:afterAutospacing="0" w:line="360" w:lineRule="auto"/>
        <w:jc w:val="center"/>
        <w:rPr>
          <w:rStyle w:val="54"/>
          <w:rFonts w:cs="Times New Roman"/>
          <w:b w:val="0"/>
          <w:color w:val="000000" w:themeColor="text1"/>
          <w:sz w:val="21"/>
          <w:szCs w:val="21"/>
          <w:highlight w:val="none"/>
          <w14:textFill>
            <w14:solidFill>
              <w14:schemeClr w14:val="tx1"/>
            </w14:solidFill>
          </w14:textFill>
        </w:rPr>
      </w:pPr>
      <w:r>
        <w:rPr>
          <w:rStyle w:val="54"/>
          <w:rFonts w:hint="eastAsia" w:cs="Times New Roman"/>
          <w:b w:val="0"/>
          <w:color w:val="000000" w:themeColor="text1"/>
          <w:sz w:val="21"/>
          <w:szCs w:val="2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质疑供应商：</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联系人：</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授权代表：</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联系电话：</w:t>
      </w:r>
      <w:r>
        <w:rPr>
          <w:rFonts w:hint="eastAsia" w:ascii="宋体" w:hAnsi="宋体" w:cs="仿宋"/>
          <w:color w:val="000000" w:themeColor="text1"/>
          <w:szCs w:val="21"/>
          <w:highlight w:val="none"/>
          <w:u w:val="dotted"/>
          <w14:textFill>
            <w14:solidFill>
              <w14:schemeClr w14:val="tx1"/>
            </w14:solidFill>
          </w14:textFill>
        </w:rPr>
        <w:t xml:space="preserve">                                           </w:t>
      </w:r>
      <w:r>
        <w:rPr>
          <w:rFonts w:ascii="宋体" w:hAnsi="宋体" w:cs="仿宋"/>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地址：</w:t>
      </w:r>
      <w:r>
        <w:rPr>
          <w:rFonts w:ascii="宋体" w:hAnsi="宋体" w:cs="仿宋"/>
          <w:color w:val="000000" w:themeColor="text1"/>
          <w:szCs w:val="21"/>
          <w:highlight w:val="none"/>
          <w14:textFill>
            <w14:solidFill>
              <w14:schemeClr w14:val="tx1"/>
            </w14:solidFill>
          </w14:textFill>
        </w:rPr>
        <w:t xml:space="preserve"> </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邮编：</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质疑项目的编号：</w:t>
      </w:r>
      <w:r>
        <w:rPr>
          <w:rFonts w:hint="eastAsia" w:ascii="宋体" w:hAnsi="宋体" w:cs="仿宋"/>
          <w:color w:val="000000" w:themeColor="text1"/>
          <w:szCs w:val="21"/>
          <w:highlight w:val="none"/>
          <w:u w:val="dotted"/>
          <w14:textFill>
            <w14:solidFill>
              <w14:schemeClr w14:val="tx1"/>
            </w14:solidFill>
          </w14:textFill>
        </w:rPr>
        <w:t xml:space="preserve">               </w:t>
      </w:r>
      <w:r>
        <w:rPr>
          <w:rFonts w:hint="eastAsia" w:ascii="宋体" w:hAnsi="宋体" w:cs="仿宋"/>
          <w:color w:val="000000" w:themeColor="text1"/>
          <w:szCs w:val="21"/>
          <w:highlight w:val="none"/>
          <w14:textFill>
            <w14:solidFill>
              <w14:schemeClr w14:val="tx1"/>
            </w14:solidFill>
          </w14:textFill>
        </w:rPr>
        <w:t>包号：</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采购人名称：</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采购文件获取日期：</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质疑事项1：</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事实依据：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法律依据：</w:t>
      </w: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Cs w:val="21"/>
          <w:highlight w:val="none"/>
          <w14:textFill>
            <w14:solidFill>
              <w14:schemeClr w14:val="tx1"/>
            </w14:solidFill>
          </w14:textFill>
        </w:rPr>
      </w:pPr>
      <w:r>
        <w:rPr>
          <w:rFonts w:hint="eastAsia" w:ascii="宋体" w:hAnsi="宋体" w:cs="仿宋"/>
          <w:bCs/>
          <w:color w:val="000000" w:themeColor="text1"/>
          <w:szCs w:val="21"/>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Cs w:val="21"/>
          <w:highlight w:val="none"/>
          <w:u w:val="dotted"/>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请求：</w:t>
      </w:r>
      <w:r>
        <w:rPr>
          <w:rFonts w:hint="eastAsia" w:ascii="宋体" w:hAnsi="宋体" w:cs="仿宋"/>
          <w:color w:val="000000" w:themeColor="text1"/>
          <w:szCs w:val="21"/>
          <w:highlight w:val="none"/>
          <w:u w:val="dotted"/>
          <w14:textFill>
            <w14:solidFill>
              <w14:schemeClr w14:val="tx1"/>
            </w14:solidFill>
          </w14:textFill>
        </w:rPr>
        <w:t xml:space="preserve">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签字(签章)：                   公章：                      </w:t>
      </w:r>
    </w:p>
    <w:p>
      <w:pPr>
        <w:rPr>
          <w:rFonts w:ascii="宋体" w:hAnsi="宋体"/>
          <w:color w:val="000000" w:themeColor="text1"/>
          <w:szCs w:val="21"/>
          <w:highlight w:val="none"/>
          <w14:textFill>
            <w14:solidFill>
              <w14:schemeClr w14:val="tx1"/>
            </w14:solidFill>
          </w14:textFill>
        </w:rPr>
      </w:pPr>
    </w:p>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adjustRightInd w:val="0"/>
        <w:snapToGrid w:val="0"/>
        <w:spacing w:line="360" w:lineRule="auto"/>
        <w:rPr>
          <w:rFonts w:ascii="宋体" w:hAnsi="宋体" w:cs="仿宋"/>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spacing w:line="360" w:lineRule="auto"/>
        <w:ind w:firstLine="420" w:firstLineChars="200"/>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5"/>
      </w:rPr>
    </w:pPr>
    <w:r>
      <w:fldChar w:fldCharType="begin"/>
    </w:r>
    <w:r>
      <w:rPr>
        <w:rStyle w:val="55"/>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25</w:t>
    </w:r>
    <w:r>
      <w:rPr>
        <w:szCs w:val="21"/>
      </w:rPr>
      <w:fldChar w:fldCharType="end"/>
    </w:r>
    <w:r>
      <w:rPr>
        <w:rFonts w:hint="eastAsia"/>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F1033"/>
    <w:multiLevelType w:val="singleLevel"/>
    <w:tmpl w:val="914F1033"/>
    <w:lvl w:ilvl="0" w:tentative="0">
      <w:start w:val="1"/>
      <w:numFmt w:val="decimal"/>
      <w:suff w:val="nothing"/>
      <w:lvlText w:val="%1．"/>
      <w:lvlJc w:val="left"/>
      <w:pPr>
        <w:ind w:left="0" w:firstLine="400"/>
      </w:pPr>
      <w:rPr>
        <w:rFonts w:hint="default"/>
      </w:rPr>
    </w:lvl>
  </w:abstractNum>
  <w:abstractNum w:abstractNumId="1">
    <w:nsid w:val="00000001"/>
    <w:multiLevelType w:val="multilevel"/>
    <w:tmpl w:val="00000001"/>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3">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5">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singleLevel"/>
    <w:tmpl w:val="0000000F"/>
    <w:lvl w:ilvl="0" w:tentative="0">
      <w:start w:val="1"/>
      <w:numFmt w:val="decimal"/>
      <w:pStyle w:val="29"/>
      <w:lvlText w:val="%1."/>
      <w:lvlJc w:val="left"/>
      <w:pPr>
        <w:tabs>
          <w:tab w:val="left" w:pos="425"/>
        </w:tabs>
        <w:ind w:left="425" w:hanging="425"/>
      </w:pPr>
      <w:rPr>
        <w:rFonts w:hint="eastAsia"/>
      </w:rPr>
    </w:lvl>
  </w:abstractNum>
  <w:abstractNum w:abstractNumId="7">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9">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6958" w:hanging="720"/>
      </w:pPr>
      <w:rPr>
        <w:rFonts w:hint="default"/>
      </w:rPr>
    </w:lvl>
    <w:lvl w:ilvl="8" w:tentative="0">
      <w:start w:val="1"/>
      <w:numFmt w:val="lowerRoman"/>
      <w:lvlText w:val="%9."/>
      <w:lvlJc w:val="right"/>
      <w:pPr>
        <w:tabs>
          <w:tab w:val="left" w:pos="3780"/>
        </w:tabs>
        <w:ind w:left="3780" w:hanging="420"/>
      </w:pPr>
    </w:lvl>
  </w:abstractNum>
  <w:abstractNum w:abstractNumId="10">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11">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2">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5">
    <w:nsid w:val="0000001A"/>
    <w:multiLevelType w:val="multilevel"/>
    <w:tmpl w:val="0000001A"/>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6">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8">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0">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21">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1"/>
    <w:multiLevelType w:val="singleLevel"/>
    <w:tmpl w:val="00000021"/>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23">
    <w:nsid w:val="00000024"/>
    <w:multiLevelType w:val="multilevel"/>
    <w:tmpl w:val="00000024"/>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4">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5">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2E"/>
    <w:multiLevelType w:val="multilevel"/>
    <w:tmpl w:val="0000002E"/>
    <w:lvl w:ilvl="0" w:tentative="0">
      <w:start w:val="1"/>
      <w:numFmt w:val="chineseCountingThousand"/>
      <w:lvlText w:val="(%1)"/>
      <w:lvlJc w:val="left"/>
      <w:pPr>
        <w:ind w:left="84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0000004E"/>
    <w:multiLevelType w:val="multilevel"/>
    <w:tmpl w:val="0000004E"/>
    <w:lvl w:ilvl="0" w:tentative="0">
      <w:start w:val="1"/>
      <w:numFmt w:val="decimal"/>
      <w:lvlText w:val="%1."/>
      <w:lvlJc w:val="left"/>
      <w:pPr>
        <w:ind w:left="841"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1A9CBEEC"/>
    <w:multiLevelType w:val="singleLevel"/>
    <w:tmpl w:val="1A9CBEEC"/>
    <w:lvl w:ilvl="0" w:tentative="0">
      <w:start w:val="1"/>
      <w:numFmt w:val="decimal"/>
      <w:suff w:val="nothing"/>
      <w:lvlText w:val="%1．"/>
      <w:lvlJc w:val="left"/>
      <w:pPr>
        <w:ind w:left="0" w:firstLine="400"/>
      </w:pPr>
      <w:rPr>
        <w:rFonts w:hint="default"/>
      </w:rPr>
    </w:lvl>
  </w:abstractNum>
  <w:abstractNum w:abstractNumId="29">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A78EE8D"/>
    <w:multiLevelType w:val="singleLevel"/>
    <w:tmpl w:val="7A78EE8D"/>
    <w:lvl w:ilvl="0" w:tentative="0">
      <w:start w:val="1"/>
      <w:numFmt w:val="decimal"/>
      <w:lvlText w:val="%1."/>
      <w:lvlJc w:val="left"/>
      <w:pPr>
        <w:tabs>
          <w:tab w:val="left" w:pos="312"/>
        </w:tabs>
      </w:pPr>
    </w:lvl>
  </w:abstractNum>
  <w:num w:numId="1">
    <w:abstractNumId w:val="15"/>
  </w:num>
  <w:num w:numId="2">
    <w:abstractNumId w:val="22"/>
  </w:num>
  <w:num w:numId="3">
    <w:abstractNumId w:val="23"/>
  </w:num>
  <w:num w:numId="4">
    <w:abstractNumId w:val="6"/>
  </w:num>
  <w:num w:numId="5">
    <w:abstractNumId w:val="13"/>
  </w:num>
  <w:num w:numId="6">
    <w:abstractNumId w:val="9"/>
  </w:num>
  <w:num w:numId="7">
    <w:abstractNumId w:val="12"/>
  </w:num>
  <w:num w:numId="8">
    <w:abstractNumId w:val="19"/>
  </w:num>
  <w:num w:numId="9">
    <w:abstractNumId w:val="8"/>
  </w:num>
  <w:num w:numId="10">
    <w:abstractNumId w:val="3"/>
  </w:num>
  <w:num w:numId="11">
    <w:abstractNumId w:val="7"/>
  </w:num>
  <w:num w:numId="12">
    <w:abstractNumId w:val="17"/>
  </w:num>
  <w:num w:numId="13">
    <w:abstractNumId w:val="5"/>
  </w:num>
  <w:num w:numId="14">
    <w:abstractNumId w:val="24"/>
  </w:num>
  <w:num w:numId="15">
    <w:abstractNumId w:val="11"/>
  </w:num>
  <w:num w:numId="16">
    <w:abstractNumId w:val="10"/>
  </w:num>
  <w:num w:numId="17">
    <w:abstractNumId w:val="2"/>
  </w:num>
  <w:num w:numId="18">
    <w:abstractNumId w:val="4"/>
  </w:num>
  <w:num w:numId="19">
    <w:abstractNumId w:val="14"/>
  </w:num>
  <w:num w:numId="20">
    <w:abstractNumId w:val="18"/>
  </w:num>
  <w:num w:numId="21">
    <w:abstractNumId w:val="16"/>
  </w:num>
  <w:num w:numId="22">
    <w:abstractNumId w:val="21"/>
  </w:num>
  <w:num w:numId="23">
    <w:abstractNumId w:val="26"/>
  </w:num>
  <w:num w:numId="24">
    <w:abstractNumId w:val="1"/>
    <w:lvlOverride w:ilvl="0">
      <w:startOverride w:val="1"/>
    </w:lvlOverride>
  </w:num>
  <w:num w:numId="25">
    <w:abstractNumId w:val="27"/>
  </w:num>
  <w:num w:numId="26">
    <w:abstractNumId w:val="28"/>
  </w:num>
  <w:num w:numId="27">
    <w:abstractNumId w:val="0"/>
  </w:num>
  <w:num w:numId="28">
    <w:abstractNumId w:val="31"/>
  </w:num>
  <w:num w:numId="29">
    <w:abstractNumId w:val="29"/>
  </w:num>
  <w:num w:numId="30">
    <w:abstractNumId w:val="30"/>
  </w:num>
  <w:num w:numId="31">
    <w:abstractNumId w:val="2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715"/>
    <w:rsid w:val="00015EFC"/>
    <w:rsid w:val="00022A82"/>
    <w:rsid w:val="000351F0"/>
    <w:rsid w:val="00043F63"/>
    <w:rsid w:val="00044719"/>
    <w:rsid w:val="000545F6"/>
    <w:rsid w:val="00057014"/>
    <w:rsid w:val="0006223B"/>
    <w:rsid w:val="00065D85"/>
    <w:rsid w:val="00081E6B"/>
    <w:rsid w:val="000A02A9"/>
    <w:rsid w:val="000A6122"/>
    <w:rsid w:val="000B78E5"/>
    <w:rsid w:val="000D107A"/>
    <w:rsid w:val="000F5037"/>
    <w:rsid w:val="00100AA2"/>
    <w:rsid w:val="001177C2"/>
    <w:rsid w:val="00127F6A"/>
    <w:rsid w:val="0013494F"/>
    <w:rsid w:val="00136D79"/>
    <w:rsid w:val="00151D5C"/>
    <w:rsid w:val="00172A27"/>
    <w:rsid w:val="0018765F"/>
    <w:rsid w:val="00193EE1"/>
    <w:rsid w:val="001A3E95"/>
    <w:rsid w:val="001A7A72"/>
    <w:rsid w:val="001B171D"/>
    <w:rsid w:val="001C182A"/>
    <w:rsid w:val="001C29B5"/>
    <w:rsid w:val="001C7D6D"/>
    <w:rsid w:val="001D1B42"/>
    <w:rsid w:val="001D2131"/>
    <w:rsid w:val="001D4265"/>
    <w:rsid w:val="001E0218"/>
    <w:rsid w:val="001E0C1B"/>
    <w:rsid w:val="0021687A"/>
    <w:rsid w:val="00222B53"/>
    <w:rsid w:val="0023140D"/>
    <w:rsid w:val="00234769"/>
    <w:rsid w:val="00250CF1"/>
    <w:rsid w:val="002562AD"/>
    <w:rsid w:val="00260A93"/>
    <w:rsid w:val="00273E20"/>
    <w:rsid w:val="00283364"/>
    <w:rsid w:val="00283BEA"/>
    <w:rsid w:val="002A2C48"/>
    <w:rsid w:val="002B07A0"/>
    <w:rsid w:val="002D10C6"/>
    <w:rsid w:val="002D6B63"/>
    <w:rsid w:val="00312BE3"/>
    <w:rsid w:val="00321E5F"/>
    <w:rsid w:val="00335E4A"/>
    <w:rsid w:val="00341880"/>
    <w:rsid w:val="003502B3"/>
    <w:rsid w:val="00360111"/>
    <w:rsid w:val="00377AED"/>
    <w:rsid w:val="00384BF0"/>
    <w:rsid w:val="003B027A"/>
    <w:rsid w:val="003B2155"/>
    <w:rsid w:val="003B57CC"/>
    <w:rsid w:val="003B5E67"/>
    <w:rsid w:val="003C6F29"/>
    <w:rsid w:val="003D6964"/>
    <w:rsid w:val="00404842"/>
    <w:rsid w:val="00424329"/>
    <w:rsid w:val="004369FC"/>
    <w:rsid w:val="00460ED6"/>
    <w:rsid w:val="00474A02"/>
    <w:rsid w:val="004917A7"/>
    <w:rsid w:val="004B5D2D"/>
    <w:rsid w:val="004C23C7"/>
    <w:rsid w:val="004C65B0"/>
    <w:rsid w:val="00503324"/>
    <w:rsid w:val="00503F38"/>
    <w:rsid w:val="005132F4"/>
    <w:rsid w:val="00514D43"/>
    <w:rsid w:val="0053004E"/>
    <w:rsid w:val="00530198"/>
    <w:rsid w:val="00533BC8"/>
    <w:rsid w:val="005552B4"/>
    <w:rsid w:val="005752A1"/>
    <w:rsid w:val="00585993"/>
    <w:rsid w:val="005874FF"/>
    <w:rsid w:val="0059146A"/>
    <w:rsid w:val="00592019"/>
    <w:rsid w:val="005A0C5D"/>
    <w:rsid w:val="005A44E6"/>
    <w:rsid w:val="005C4010"/>
    <w:rsid w:val="005D7F9C"/>
    <w:rsid w:val="005E6F10"/>
    <w:rsid w:val="00612EA4"/>
    <w:rsid w:val="00613975"/>
    <w:rsid w:val="00614290"/>
    <w:rsid w:val="00627224"/>
    <w:rsid w:val="0065577A"/>
    <w:rsid w:val="00673A22"/>
    <w:rsid w:val="00683D26"/>
    <w:rsid w:val="006A11E6"/>
    <w:rsid w:val="006E2EF3"/>
    <w:rsid w:val="007052A3"/>
    <w:rsid w:val="00722460"/>
    <w:rsid w:val="00747549"/>
    <w:rsid w:val="007566D0"/>
    <w:rsid w:val="007650CF"/>
    <w:rsid w:val="00797633"/>
    <w:rsid w:val="007C1727"/>
    <w:rsid w:val="007C24B2"/>
    <w:rsid w:val="007E59D4"/>
    <w:rsid w:val="008123D8"/>
    <w:rsid w:val="00825F44"/>
    <w:rsid w:val="00827C44"/>
    <w:rsid w:val="00846AE8"/>
    <w:rsid w:val="008502BA"/>
    <w:rsid w:val="00863411"/>
    <w:rsid w:val="0086799B"/>
    <w:rsid w:val="00873084"/>
    <w:rsid w:val="00881EBB"/>
    <w:rsid w:val="008A23C4"/>
    <w:rsid w:val="008D24F3"/>
    <w:rsid w:val="008E0973"/>
    <w:rsid w:val="008F44CD"/>
    <w:rsid w:val="009006C0"/>
    <w:rsid w:val="009035E3"/>
    <w:rsid w:val="00912CA6"/>
    <w:rsid w:val="00915061"/>
    <w:rsid w:val="00916367"/>
    <w:rsid w:val="009457C7"/>
    <w:rsid w:val="00957B46"/>
    <w:rsid w:val="009675CA"/>
    <w:rsid w:val="00977DB6"/>
    <w:rsid w:val="00984A80"/>
    <w:rsid w:val="009A07F1"/>
    <w:rsid w:val="009A5A4C"/>
    <w:rsid w:val="009B2FF3"/>
    <w:rsid w:val="009C6A15"/>
    <w:rsid w:val="009E6A50"/>
    <w:rsid w:val="009F5C05"/>
    <w:rsid w:val="00A00D54"/>
    <w:rsid w:val="00A217AC"/>
    <w:rsid w:val="00A21EBA"/>
    <w:rsid w:val="00A22967"/>
    <w:rsid w:val="00A3151C"/>
    <w:rsid w:val="00A31DEE"/>
    <w:rsid w:val="00A36356"/>
    <w:rsid w:val="00A431A0"/>
    <w:rsid w:val="00A5681E"/>
    <w:rsid w:val="00A65E3F"/>
    <w:rsid w:val="00A746D0"/>
    <w:rsid w:val="00A9202D"/>
    <w:rsid w:val="00AA00AC"/>
    <w:rsid w:val="00AB493A"/>
    <w:rsid w:val="00AF7220"/>
    <w:rsid w:val="00B004AE"/>
    <w:rsid w:val="00B047C2"/>
    <w:rsid w:val="00B06AAE"/>
    <w:rsid w:val="00B15C14"/>
    <w:rsid w:val="00B170E6"/>
    <w:rsid w:val="00B22016"/>
    <w:rsid w:val="00B37F75"/>
    <w:rsid w:val="00B4320B"/>
    <w:rsid w:val="00B64C13"/>
    <w:rsid w:val="00B80AA9"/>
    <w:rsid w:val="00B83610"/>
    <w:rsid w:val="00B86D88"/>
    <w:rsid w:val="00B95F27"/>
    <w:rsid w:val="00BC7ED8"/>
    <w:rsid w:val="00BD071E"/>
    <w:rsid w:val="00BE75FC"/>
    <w:rsid w:val="00BF7601"/>
    <w:rsid w:val="00C01F69"/>
    <w:rsid w:val="00C062D9"/>
    <w:rsid w:val="00C06892"/>
    <w:rsid w:val="00C133DC"/>
    <w:rsid w:val="00C1416A"/>
    <w:rsid w:val="00C14800"/>
    <w:rsid w:val="00C157E1"/>
    <w:rsid w:val="00C2614B"/>
    <w:rsid w:val="00C30816"/>
    <w:rsid w:val="00C36823"/>
    <w:rsid w:val="00C41A1B"/>
    <w:rsid w:val="00C43A8D"/>
    <w:rsid w:val="00C53ACB"/>
    <w:rsid w:val="00C74BD8"/>
    <w:rsid w:val="00C75A7F"/>
    <w:rsid w:val="00CC284F"/>
    <w:rsid w:val="00CF6E66"/>
    <w:rsid w:val="00D01958"/>
    <w:rsid w:val="00D2469D"/>
    <w:rsid w:val="00D30ACA"/>
    <w:rsid w:val="00D44D99"/>
    <w:rsid w:val="00D7340E"/>
    <w:rsid w:val="00DA67BE"/>
    <w:rsid w:val="00DB3973"/>
    <w:rsid w:val="00DB7998"/>
    <w:rsid w:val="00DC21F0"/>
    <w:rsid w:val="00DF5D8B"/>
    <w:rsid w:val="00E03510"/>
    <w:rsid w:val="00E076D2"/>
    <w:rsid w:val="00E12ACA"/>
    <w:rsid w:val="00E23B70"/>
    <w:rsid w:val="00E338BC"/>
    <w:rsid w:val="00E449D5"/>
    <w:rsid w:val="00E52135"/>
    <w:rsid w:val="00E56839"/>
    <w:rsid w:val="00E647EC"/>
    <w:rsid w:val="00E77F45"/>
    <w:rsid w:val="00E8147C"/>
    <w:rsid w:val="00EB0735"/>
    <w:rsid w:val="00EB0FB7"/>
    <w:rsid w:val="00EB1640"/>
    <w:rsid w:val="00EC10D8"/>
    <w:rsid w:val="00EC293F"/>
    <w:rsid w:val="00ED1659"/>
    <w:rsid w:val="00ED27D1"/>
    <w:rsid w:val="00F37254"/>
    <w:rsid w:val="00F401A0"/>
    <w:rsid w:val="00F40DCF"/>
    <w:rsid w:val="00F44B52"/>
    <w:rsid w:val="00F451DC"/>
    <w:rsid w:val="00F57490"/>
    <w:rsid w:val="00F63276"/>
    <w:rsid w:val="00F67AB2"/>
    <w:rsid w:val="00F714A3"/>
    <w:rsid w:val="00F7740A"/>
    <w:rsid w:val="00F81494"/>
    <w:rsid w:val="00F843CA"/>
    <w:rsid w:val="00F93CC1"/>
    <w:rsid w:val="00FA3136"/>
    <w:rsid w:val="00FA5439"/>
    <w:rsid w:val="00FB4F8E"/>
    <w:rsid w:val="00FB5933"/>
    <w:rsid w:val="00FC1758"/>
    <w:rsid w:val="00FD6B2A"/>
    <w:rsid w:val="00FE2BF1"/>
    <w:rsid w:val="01DE7400"/>
    <w:rsid w:val="01E0205E"/>
    <w:rsid w:val="054713CE"/>
    <w:rsid w:val="073554C8"/>
    <w:rsid w:val="07D84806"/>
    <w:rsid w:val="09745930"/>
    <w:rsid w:val="0A9874FC"/>
    <w:rsid w:val="0D8F09A3"/>
    <w:rsid w:val="0DD91273"/>
    <w:rsid w:val="0E041BB2"/>
    <w:rsid w:val="0E5865C8"/>
    <w:rsid w:val="0E771E3A"/>
    <w:rsid w:val="12791834"/>
    <w:rsid w:val="14C55117"/>
    <w:rsid w:val="1927177D"/>
    <w:rsid w:val="1A7747F8"/>
    <w:rsid w:val="1B3C31D9"/>
    <w:rsid w:val="1C3546D5"/>
    <w:rsid w:val="1CB3139F"/>
    <w:rsid w:val="1F37728D"/>
    <w:rsid w:val="204F64FF"/>
    <w:rsid w:val="20D20A0B"/>
    <w:rsid w:val="21DE1D05"/>
    <w:rsid w:val="223D39E3"/>
    <w:rsid w:val="22B03DF7"/>
    <w:rsid w:val="234617B1"/>
    <w:rsid w:val="245A6D1C"/>
    <w:rsid w:val="245E6D0E"/>
    <w:rsid w:val="24642FF5"/>
    <w:rsid w:val="252B7067"/>
    <w:rsid w:val="253141B0"/>
    <w:rsid w:val="25373D8A"/>
    <w:rsid w:val="26780EA0"/>
    <w:rsid w:val="27684AB5"/>
    <w:rsid w:val="29832358"/>
    <w:rsid w:val="2E904A59"/>
    <w:rsid w:val="2EB87E40"/>
    <w:rsid w:val="2FBA03A8"/>
    <w:rsid w:val="30BC53E1"/>
    <w:rsid w:val="30F93773"/>
    <w:rsid w:val="34A3334A"/>
    <w:rsid w:val="34C84E0E"/>
    <w:rsid w:val="375A5C12"/>
    <w:rsid w:val="382904C4"/>
    <w:rsid w:val="3AD93283"/>
    <w:rsid w:val="3BCA7106"/>
    <w:rsid w:val="3C193277"/>
    <w:rsid w:val="3FEF58C3"/>
    <w:rsid w:val="40181B35"/>
    <w:rsid w:val="404D5E1F"/>
    <w:rsid w:val="41082E2C"/>
    <w:rsid w:val="4436313C"/>
    <w:rsid w:val="44D761EB"/>
    <w:rsid w:val="4B1B16AF"/>
    <w:rsid w:val="4C2204AB"/>
    <w:rsid w:val="4D192075"/>
    <w:rsid w:val="4ED96841"/>
    <w:rsid w:val="4F600D1B"/>
    <w:rsid w:val="4F710397"/>
    <w:rsid w:val="500048CF"/>
    <w:rsid w:val="502E26BA"/>
    <w:rsid w:val="5298688A"/>
    <w:rsid w:val="53843EB4"/>
    <w:rsid w:val="54A10FCC"/>
    <w:rsid w:val="54C417BE"/>
    <w:rsid w:val="55216298"/>
    <w:rsid w:val="58E11D64"/>
    <w:rsid w:val="5B0B240B"/>
    <w:rsid w:val="5CE11034"/>
    <w:rsid w:val="5DCF662C"/>
    <w:rsid w:val="5E535F82"/>
    <w:rsid w:val="60B7738C"/>
    <w:rsid w:val="627B0387"/>
    <w:rsid w:val="63072F17"/>
    <w:rsid w:val="63665889"/>
    <w:rsid w:val="645E0B81"/>
    <w:rsid w:val="65B211AA"/>
    <w:rsid w:val="66E97CC6"/>
    <w:rsid w:val="673F5ADC"/>
    <w:rsid w:val="67CE204C"/>
    <w:rsid w:val="69353C95"/>
    <w:rsid w:val="6A6D06CA"/>
    <w:rsid w:val="6D387C77"/>
    <w:rsid w:val="6DB60386"/>
    <w:rsid w:val="6F901A03"/>
    <w:rsid w:val="70002416"/>
    <w:rsid w:val="70465A7E"/>
    <w:rsid w:val="71520ED5"/>
    <w:rsid w:val="72312A3A"/>
    <w:rsid w:val="73B93270"/>
    <w:rsid w:val="76E3696D"/>
    <w:rsid w:val="7B6B1039"/>
    <w:rsid w:val="7F7111D4"/>
    <w:rsid w:val="7FBB7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8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6">
    <w:name w:val="heading 3"/>
    <w:basedOn w:val="1"/>
    <w:next w:val="7"/>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7"/>
    <w:link w:val="6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7"/>
    <w:link w:val="148"/>
    <w:qFormat/>
    <w:uiPriority w:val="0"/>
    <w:pPr>
      <w:keepNext/>
      <w:keepLines/>
      <w:spacing w:before="280" w:after="290" w:line="376" w:lineRule="auto"/>
      <w:outlineLvl w:val="4"/>
    </w:pPr>
    <w:rPr>
      <w:b/>
      <w:sz w:val="28"/>
      <w:szCs w:val="20"/>
    </w:rPr>
  </w:style>
  <w:style w:type="paragraph" w:styleId="10">
    <w:name w:val="heading 6"/>
    <w:basedOn w:val="1"/>
    <w:next w:val="7"/>
    <w:link w:val="113"/>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7"/>
    <w:link w:val="141"/>
    <w:qFormat/>
    <w:uiPriority w:val="0"/>
    <w:pPr>
      <w:keepNext/>
      <w:keepLines/>
      <w:spacing w:before="240" w:after="64" w:line="320" w:lineRule="auto"/>
      <w:outlineLvl w:val="6"/>
    </w:pPr>
    <w:rPr>
      <w:b/>
      <w:bCs/>
      <w:sz w:val="24"/>
    </w:rPr>
  </w:style>
  <w:style w:type="paragraph" w:styleId="12">
    <w:name w:val="heading 8"/>
    <w:basedOn w:val="1"/>
    <w:next w:val="7"/>
    <w:link w:val="12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7"/>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paragraph" w:styleId="3">
    <w:name w:val="Body Text Indent"/>
    <w:basedOn w:val="1"/>
    <w:link w:val="130"/>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7">
    <w:name w:val="Normal Indent"/>
    <w:basedOn w:val="1"/>
    <w:link w:val="124"/>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link w:val="120"/>
    <w:qFormat/>
    <w:uiPriority w:val="0"/>
    <w:pPr>
      <w:spacing w:line="360" w:lineRule="auto"/>
    </w:pPr>
    <w:rPr>
      <w:rFonts w:ascii="Arial" w:hAnsi="Arial" w:eastAsia="黑体"/>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szCs w:val="20"/>
    </w:rPr>
  </w:style>
  <w:style w:type="paragraph" w:styleId="19">
    <w:name w:val="annotation text"/>
    <w:basedOn w:val="1"/>
    <w:link w:val="70"/>
    <w:qFormat/>
    <w:uiPriority w:val="0"/>
    <w:pPr>
      <w:spacing w:line="360" w:lineRule="auto"/>
      <w:jc w:val="left"/>
    </w:pPr>
    <w:rPr>
      <w:szCs w:val="20"/>
    </w:rPr>
  </w:style>
  <w:style w:type="paragraph" w:styleId="20">
    <w:name w:val="Body Text 3"/>
    <w:basedOn w:val="1"/>
    <w:link w:val="78"/>
    <w:qFormat/>
    <w:uiPriority w:val="0"/>
    <w:pPr>
      <w:spacing w:after="120"/>
    </w:pPr>
    <w:rPr>
      <w:sz w:val="16"/>
      <w:szCs w:val="16"/>
    </w:rPr>
  </w:style>
  <w:style w:type="paragraph" w:styleId="21">
    <w:name w:val="Body Text"/>
    <w:basedOn w:val="1"/>
    <w:link w:val="94"/>
    <w:qFormat/>
    <w:uiPriority w:val="0"/>
    <w:pPr>
      <w:spacing w:after="120"/>
    </w:pPr>
  </w:style>
  <w:style w:type="paragraph" w:styleId="22">
    <w:name w:val="List Bullet 2"/>
    <w:basedOn w:val="1"/>
    <w:qFormat/>
    <w:uiPriority w:val="0"/>
    <w:pPr>
      <w:numPr>
        <w:ilvl w:val="0"/>
        <w:numId w:val="2"/>
      </w:numPr>
    </w:pPr>
  </w:style>
  <w:style w:type="paragraph" w:styleId="23">
    <w:name w:val="HTML Address"/>
    <w:basedOn w:val="1"/>
    <w:link w:val="115"/>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91"/>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index 3"/>
    <w:basedOn w:val="1"/>
    <w:next w:val="1"/>
    <w:qFormat/>
    <w:uiPriority w:val="0"/>
    <w:pPr>
      <w:ind w:left="400" w:leftChars="400"/>
    </w:pPr>
  </w:style>
  <w:style w:type="paragraph" w:styleId="29">
    <w:name w:val="Date"/>
    <w:basedOn w:val="1"/>
    <w:next w:val="1"/>
    <w:link w:val="72"/>
    <w:qFormat/>
    <w:uiPriority w:val="0"/>
    <w:pPr>
      <w:numPr>
        <w:ilvl w:val="0"/>
        <w:numId w:val="4"/>
      </w:numPr>
      <w:ind w:left="100" w:leftChars="2500"/>
    </w:pPr>
  </w:style>
  <w:style w:type="paragraph" w:styleId="30">
    <w:name w:val="Body Text Indent 2"/>
    <w:basedOn w:val="1"/>
    <w:link w:val="122"/>
    <w:qFormat/>
    <w:uiPriority w:val="0"/>
    <w:pPr>
      <w:spacing w:line="480" w:lineRule="exact"/>
      <w:ind w:left="810" w:firstLine="675"/>
    </w:pPr>
    <w:rPr>
      <w:rFonts w:eastAsia="仿宋_GB2312"/>
      <w:kern w:val="0"/>
      <w:sz w:val="30"/>
      <w:szCs w:val="20"/>
    </w:rPr>
  </w:style>
  <w:style w:type="paragraph" w:styleId="31">
    <w:name w:val="Balloon Text"/>
    <w:basedOn w:val="1"/>
    <w:link w:val="151"/>
    <w:qFormat/>
    <w:uiPriority w:val="0"/>
    <w:rPr>
      <w:sz w:val="18"/>
      <w:szCs w:val="18"/>
    </w:rPr>
  </w:style>
  <w:style w:type="paragraph" w:styleId="32">
    <w:name w:val="footer"/>
    <w:basedOn w:val="1"/>
    <w:link w:val="84"/>
    <w:qFormat/>
    <w:uiPriority w:val="0"/>
    <w:pPr>
      <w:tabs>
        <w:tab w:val="center" w:pos="4153"/>
        <w:tab w:val="right" w:pos="8306"/>
      </w:tabs>
      <w:snapToGrid w:val="0"/>
      <w:jc w:val="left"/>
    </w:pPr>
    <w:rPr>
      <w:kern w:val="0"/>
      <w:sz w:val="18"/>
      <w:szCs w:val="18"/>
    </w:rPr>
  </w:style>
  <w:style w:type="paragraph" w:styleId="33">
    <w:name w:val="header"/>
    <w:basedOn w:val="1"/>
    <w:link w:val="134"/>
    <w:qFormat/>
    <w:uiPriority w:val="0"/>
    <w:pPr>
      <w:pBdr>
        <w:bottom w:val="single" w:color="auto" w:sz="6" w:space="1"/>
      </w:pBdr>
      <w:tabs>
        <w:tab w:val="center" w:pos="4153"/>
        <w:tab w:val="right" w:pos="8306"/>
      </w:tabs>
      <w:snapToGrid w:val="0"/>
      <w:jc w:val="center"/>
    </w:pPr>
    <w:rPr>
      <w:sz w:val="18"/>
      <w:szCs w:val="20"/>
    </w:rPr>
  </w:style>
  <w:style w:type="paragraph" w:styleId="34">
    <w:name w:val="toc 1"/>
    <w:basedOn w:val="1"/>
    <w:next w:val="1"/>
    <w:qFormat/>
    <w:uiPriority w:val="39"/>
    <w:pPr>
      <w:tabs>
        <w:tab w:val="right" w:leader="dot" w:pos="8949"/>
      </w:tabs>
      <w:spacing w:before="120" w:after="120"/>
      <w:jc w:val="left"/>
    </w:pPr>
    <w:rPr>
      <w:b/>
      <w:bCs/>
      <w:caps/>
      <w:szCs w:val="21"/>
    </w:rPr>
  </w:style>
  <w:style w:type="paragraph" w:styleId="35">
    <w:name w:val="toc 4"/>
    <w:basedOn w:val="1"/>
    <w:next w:val="1"/>
    <w:qFormat/>
    <w:uiPriority w:val="0"/>
    <w:pPr>
      <w:ind w:left="600" w:leftChars="600"/>
    </w:pPr>
    <w:rPr>
      <w:rFonts w:ascii="Calibri" w:hAnsi="Calibri"/>
      <w:szCs w:val="22"/>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Subtitle"/>
    <w:basedOn w:val="1"/>
    <w:next w:val="1"/>
    <w:link w:val="125"/>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9">
    <w:name w:val="List"/>
    <w:basedOn w:val="1"/>
    <w:qFormat/>
    <w:uiPriority w:val="0"/>
    <w:pPr>
      <w:ind w:left="200" w:hanging="200" w:hangingChars="200"/>
    </w:pPr>
  </w:style>
  <w:style w:type="paragraph" w:styleId="40">
    <w:name w:val="toc 6"/>
    <w:basedOn w:val="1"/>
    <w:next w:val="1"/>
    <w:qFormat/>
    <w:uiPriority w:val="0"/>
    <w:pPr>
      <w:ind w:left="1000" w:leftChars="1000"/>
    </w:pPr>
    <w:rPr>
      <w:rFonts w:ascii="Calibri" w:hAnsi="Calibri"/>
      <w:szCs w:val="22"/>
    </w:rPr>
  </w:style>
  <w:style w:type="paragraph" w:styleId="41">
    <w:name w:val="Body Text Indent 3"/>
    <w:basedOn w:val="1"/>
    <w:link w:val="85"/>
    <w:qFormat/>
    <w:uiPriority w:val="0"/>
    <w:pPr>
      <w:widowControl/>
      <w:tabs>
        <w:tab w:val="left" w:pos="502"/>
      </w:tabs>
      <w:adjustRightInd w:val="0"/>
      <w:snapToGrid w:val="0"/>
      <w:spacing w:line="360" w:lineRule="auto"/>
      <w:ind w:left="540" w:leftChars="257"/>
    </w:pPr>
    <w:rPr>
      <w:rFonts w:ascii="宋体" w:hAnsi="宋体"/>
    </w:rPr>
  </w:style>
  <w:style w:type="paragraph" w:styleId="42">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3">
    <w:name w:val="toc 9"/>
    <w:basedOn w:val="1"/>
    <w:next w:val="1"/>
    <w:qFormat/>
    <w:uiPriority w:val="0"/>
    <w:pPr>
      <w:ind w:left="1600" w:leftChars="1600"/>
    </w:pPr>
    <w:rPr>
      <w:rFonts w:ascii="Calibri" w:hAnsi="Calibri"/>
      <w:szCs w:val="22"/>
    </w:rPr>
  </w:style>
  <w:style w:type="paragraph" w:styleId="44">
    <w:name w:val="Body Text 2"/>
    <w:basedOn w:val="1"/>
    <w:link w:val="97"/>
    <w:qFormat/>
    <w:uiPriority w:val="0"/>
    <w:pPr>
      <w:spacing w:line="360" w:lineRule="auto"/>
    </w:pPr>
    <w:rPr>
      <w:rFonts w:ascii="仿宋_GB2312" w:eastAsia="仿宋_GB2312"/>
      <w:sz w:val="32"/>
    </w:rPr>
  </w:style>
  <w:style w:type="paragraph" w:styleId="45">
    <w:name w:val="HTML Preformatted"/>
    <w:basedOn w:val="1"/>
    <w:link w:val="1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7">
    <w:name w:val="index 2"/>
    <w:basedOn w:val="1"/>
    <w:next w:val="1"/>
    <w:qFormat/>
    <w:uiPriority w:val="0"/>
    <w:pPr>
      <w:ind w:left="420" w:hanging="210"/>
      <w:jc w:val="left"/>
    </w:pPr>
    <w:rPr>
      <w:sz w:val="20"/>
      <w:szCs w:val="20"/>
    </w:rPr>
  </w:style>
  <w:style w:type="paragraph" w:styleId="48">
    <w:name w:val="Title"/>
    <w:basedOn w:val="1"/>
    <w:next w:val="1"/>
    <w:link w:val="90"/>
    <w:qFormat/>
    <w:uiPriority w:val="0"/>
    <w:pPr>
      <w:spacing w:before="240" w:after="60"/>
      <w:jc w:val="center"/>
      <w:outlineLvl w:val="0"/>
    </w:pPr>
    <w:rPr>
      <w:rFonts w:ascii="Cambria" w:hAnsi="Cambria"/>
      <w:b/>
      <w:bCs/>
      <w:sz w:val="32"/>
      <w:szCs w:val="32"/>
    </w:rPr>
  </w:style>
  <w:style w:type="paragraph" w:styleId="49">
    <w:name w:val="annotation subject"/>
    <w:basedOn w:val="19"/>
    <w:next w:val="19"/>
    <w:link w:val="127"/>
    <w:qFormat/>
    <w:uiPriority w:val="0"/>
    <w:pPr>
      <w:spacing w:line="240" w:lineRule="auto"/>
    </w:pPr>
    <w:rPr>
      <w:b/>
      <w:bCs/>
      <w:szCs w:val="24"/>
    </w:rPr>
  </w:style>
  <w:style w:type="paragraph" w:styleId="50">
    <w:name w:val="Body Text First Indent"/>
    <w:basedOn w:val="21"/>
    <w:link w:val="158"/>
    <w:qFormat/>
    <w:uiPriority w:val="0"/>
    <w:pPr>
      <w:ind w:firstLine="100" w:firstLineChars="100"/>
    </w:pPr>
    <w:rPr>
      <w:rFonts w:ascii="Calibri" w:hAnsi="Calibri"/>
      <w:szCs w:val="22"/>
    </w:rPr>
  </w:style>
  <w:style w:type="table" w:styleId="52">
    <w:name w:val="Table Grid"/>
    <w:basedOn w:val="5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文档正文 Char1"/>
    <w:link w:val="61"/>
    <w:qFormat/>
    <w:uiPriority w:val="0"/>
    <w:rPr>
      <w:rFonts w:ascii="Arial Narrow" w:hAnsi="Arial Narrow"/>
      <w:sz w:val="24"/>
      <w:szCs w:val="24"/>
      <w:lang w:val="en-US" w:eastAsia="zh-CN" w:bidi="ar-SA"/>
    </w:rPr>
  </w:style>
  <w:style w:type="paragraph" w:customStyle="1" w:styleId="61">
    <w:name w:val="文档正文"/>
    <w:link w:val="6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qFormat/>
    <w:uiPriority w:val="0"/>
    <w:rPr>
      <w:sz w:val="18"/>
      <w:szCs w:val="18"/>
      <w:u w:val="none"/>
    </w:rPr>
  </w:style>
  <w:style w:type="character" w:customStyle="1" w:styleId="63">
    <w:name w:val="标题 4 Char"/>
    <w:link w:val="8"/>
    <w:qFormat/>
    <w:uiPriority w:val="0"/>
    <w:rPr>
      <w:rFonts w:ascii="Arial" w:hAnsi="Arial" w:eastAsia="黑体"/>
      <w:b/>
      <w:bCs/>
      <w:kern w:val="2"/>
      <w:sz w:val="28"/>
      <w:szCs w:val="28"/>
      <w:lang w:val="en-US" w:eastAsia="zh-CN" w:bidi="ar-SA"/>
    </w:rPr>
  </w:style>
  <w:style w:type="character" w:customStyle="1" w:styleId="64">
    <w:name w:val="font21"/>
    <w:qFormat/>
    <w:uiPriority w:val="0"/>
    <w:rPr>
      <w:rFonts w:hint="default" w:ascii="Arial" w:hAnsi="Arial" w:cs="Arial"/>
      <w:color w:val="000000"/>
      <w:sz w:val="24"/>
      <w:szCs w:val="24"/>
      <w:u w:val="none"/>
    </w:rPr>
  </w:style>
  <w:style w:type="character" w:customStyle="1" w:styleId="65">
    <w:name w:val="正文首行缩进 2 Char"/>
    <w:link w:val="2"/>
    <w:qFormat/>
    <w:uiPriority w:val="0"/>
    <w:rPr>
      <w:rFonts w:ascii="Calibri" w:hAnsi="Calibri" w:eastAsia="仿宋_GB2312"/>
      <w:kern w:val="2"/>
      <w:sz w:val="21"/>
      <w:szCs w:val="22"/>
      <w:lang w:val="en-US" w:eastAsia="zh-CN" w:bidi="ar-SA"/>
    </w:rPr>
  </w:style>
  <w:style w:type="character" w:customStyle="1" w:styleId="66">
    <w:name w:val="类目1 Char Char"/>
    <w:link w:val="67"/>
    <w:qFormat/>
    <w:uiPriority w:val="0"/>
    <w:rPr>
      <w:b/>
      <w:color w:val="17365D"/>
      <w:kern w:val="2"/>
      <w:sz w:val="28"/>
      <w:szCs w:val="28"/>
      <w:lang w:bidi="ar-SA"/>
    </w:rPr>
  </w:style>
  <w:style w:type="paragraph" w:customStyle="1" w:styleId="67">
    <w:name w:val="类目1"/>
    <w:basedOn w:val="1"/>
    <w:link w:val="66"/>
    <w:qFormat/>
    <w:uiPriority w:val="0"/>
    <w:pPr>
      <w:adjustRightInd w:val="0"/>
      <w:snapToGrid w:val="0"/>
      <w:spacing w:line="220" w:lineRule="atLeast"/>
    </w:pPr>
    <w:rPr>
      <w:b/>
      <w:color w:val="17365D"/>
      <w:sz w:val="28"/>
      <w:szCs w:val="28"/>
    </w:rPr>
  </w:style>
  <w:style w:type="character" w:customStyle="1" w:styleId="68">
    <w:name w:val="text1"/>
    <w:qFormat/>
    <w:uiPriority w:val="0"/>
    <w:rPr>
      <w:sz w:val="20"/>
      <w:szCs w:val="20"/>
    </w:rPr>
  </w:style>
  <w:style w:type="character" w:customStyle="1" w:styleId="69">
    <w:name w:val="ca-5"/>
    <w:basedOn w:val="53"/>
    <w:qFormat/>
    <w:uiPriority w:val="0"/>
  </w:style>
  <w:style w:type="character" w:customStyle="1" w:styleId="70">
    <w:name w:val="批注文字 Char"/>
    <w:link w:val="19"/>
    <w:qFormat/>
    <w:uiPriority w:val="0"/>
    <w:rPr>
      <w:kern w:val="2"/>
      <w:sz w:val="21"/>
      <w:lang w:bidi="ar-SA"/>
    </w:rPr>
  </w:style>
  <w:style w:type="character" w:customStyle="1" w:styleId="71">
    <w:name w:val="Char Char14"/>
    <w:qFormat/>
    <w:uiPriority w:val="0"/>
    <w:rPr>
      <w:rFonts w:ascii="宋体" w:eastAsia="宋体"/>
      <w:sz w:val="34"/>
      <w:lang w:val="en-US" w:eastAsia="zh-CN" w:bidi="ar-SA"/>
    </w:rPr>
  </w:style>
  <w:style w:type="character" w:customStyle="1" w:styleId="72">
    <w:name w:val="日期 Char"/>
    <w:link w:val="29"/>
    <w:qFormat/>
    <w:uiPriority w:val="0"/>
    <w:rPr>
      <w:kern w:val="2"/>
      <w:sz w:val="21"/>
      <w:szCs w:val="24"/>
    </w:rPr>
  </w:style>
  <w:style w:type="character" w:customStyle="1" w:styleId="73">
    <w:name w:val="font11"/>
    <w:qFormat/>
    <w:uiPriority w:val="0"/>
    <w:rPr>
      <w:rFonts w:hint="eastAsia" w:ascii="宋体" w:hAnsi="宋体" w:eastAsia="宋体"/>
      <w:color w:val="000000"/>
      <w:sz w:val="24"/>
      <w:szCs w:val="24"/>
      <w:u w:val="none"/>
    </w:rPr>
  </w:style>
  <w:style w:type="character" w:customStyle="1" w:styleId="74">
    <w:name w:val="apple-converted-space"/>
    <w:qFormat/>
    <w:uiPriority w:val="0"/>
    <w:rPr>
      <w:rFonts w:cs="Times New Roman"/>
    </w:rPr>
  </w:style>
  <w:style w:type="character" w:customStyle="1" w:styleId="75">
    <w:name w:val="标题 1 Char2"/>
    <w:qFormat/>
    <w:uiPriority w:val="0"/>
    <w:rPr>
      <w:rFonts w:ascii="黑体" w:eastAsia="黑体"/>
      <w:bCs/>
      <w:kern w:val="44"/>
      <w:sz w:val="24"/>
      <w:szCs w:val="24"/>
    </w:rPr>
  </w:style>
  <w:style w:type="character" w:customStyle="1" w:styleId="76">
    <w:name w:val="ca-8"/>
    <w:basedOn w:val="53"/>
    <w:qFormat/>
    <w:uiPriority w:val="0"/>
  </w:style>
  <w:style w:type="character" w:customStyle="1" w:styleId="77">
    <w:name w:val="Char Char3"/>
    <w:qFormat/>
    <w:uiPriority w:val="0"/>
    <w:rPr>
      <w:rFonts w:eastAsia="宋体"/>
      <w:kern w:val="2"/>
      <w:sz w:val="18"/>
      <w:lang w:val="en-US" w:eastAsia="zh-CN" w:bidi="ar-SA"/>
    </w:rPr>
  </w:style>
  <w:style w:type="character" w:customStyle="1" w:styleId="78">
    <w:name w:val="正文文本 3 Char"/>
    <w:link w:val="20"/>
    <w:qFormat/>
    <w:uiPriority w:val="0"/>
    <w:rPr>
      <w:kern w:val="2"/>
      <w:sz w:val="16"/>
      <w:szCs w:val="16"/>
    </w:rPr>
  </w:style>
  <w:style w:type="character" w:customStyle="1" w:styleId="79">
    <w:name w:val="标题 5 Char Char"/>
    <w:qFormat/>
    <w:uiPriority w:val="0"/>
    <w:rPr>
      <w:rFonts w:eastAsia="宋体"/>
      <w:b/>
      <w:bCs/>
      <w:kern w:val="2"/>
      <w:sz w:val="28"/>
      <w:szCs w:val="28"/>
      <w:lang w:val="en-US" w:eastAsia="zh-CN" w:bidi="ar-SA"/>
    </w:rPr>
  </w:style>
  <w:style w:type="character" w:customStyle="1" w:styleId="80">
    <w:name w:val="ca-10"/>
    <w:basedOn w:val="53"/>
    <w:qFormat/>
    <w:uiPriority w:val="0"/>
  </w:style>
  <w:style w:type="character" w:customStyle="1" w:styleId="81">
    <w:name w:val="Char Char9"/>
    <w:qFormat/>
    <w:uiPriority w:val="0"/>
    <w:rPr>
      <w:rFonts w:ascii="宋体" w:hAnsi="Courier New" w:eastAsia="宋体"/>
      <w:kern w:val="2"/>
      <w:sz w:val="21"/>
      <w:lang w:val="en-US" w:eastAsia="zh-CN" w:bidi="ar-SA"/>
    </w:rPr>
  </w:style>
  <w:style w:type="character" w:customStyle="1" w:styleId="82">
    <w:name w:val="标题 2 Char"/>
    <w:link w:val="5"/>
    <w:qFormat/>
    <w:uiPriority w:val="0"/>
    <w:rPr>
      <w:rFonts w:ascii="Cambria" w:hAnsi="Cambria" w:eastAsia="宋体"/>
      <w:b/>
      <w:bCs/>
      <w:kern w:val="2"/>
      <w:sz w:val="32"/>
      <w:szCs w:val="32"/>
      <w:lang w:val="en-US" w:eastAsia="zh-CN" w:bidi="ar-SA"/>
    </w:rPr>
  </w:style>
  <w:style w:type="character" w:customStyle="1" w:styleId="83">
    <w:name w:val="mark8"/>
    <w:qFormat/>
    <w:uiPriority w:val="0"/>
    <w:rPr>
      <w:b/>
      <w:bCs/>
      <w:sz w:val="21"/>
      <w:szCs w:val="21"/>
    </w:rPr>
  </w:style>
  <w:style w:type="character" w:customStyle="1" w:styleId="84">
    <w:name w:val="页脚 Char"/>
    <w:link w:val="32"/>
    <w:qFormat/>
    <w:uiPriority w:val="0"/>
    <w:rPr>
      <w:rFonts w:eastAsia="宋体"/>
      <w:sz w:val="18"/>
      <w:szCs w:val="18"/>
      <w:lang w:bidi="ar-SA"/>
    </w:rPr>
  </w:style>
  <w:style w:type="character" w:customStyle="1" w:styleId="85">
    <w:name w:val="正文文本缩进 3 Char"/>
    <w:link w:val="41"/>
    <w:qFormat/>
    <w:uiPriority w:val="0"/>
    <w:rPr>
      <w:rFonts w:ascii="宋体" w:hAnsi="宋体" w:eastAsia="宋体"/>
      <w:kern w:val="2"/>
      <w:sz w:val="21"/>
      <w:szCs w:val="24"/>
      <w:lang w:val="en-US" w:eastAsia="zh-CN" w:bidi="ar-SA"/>
    </w:rPr>
  </w:style>
  <w:style w:type="character" w:customStyle="1" w:styleId="86">
    <w:name w:val="List Paragraph Char Char"/>
    <w:link w:val="87"/>
    <w:qFormat/>
    <w:uiPriority w:val="0"/>
    <w:rPr>
      <w:kern w:val="2"/>
      <w:sz w:val="21"/>
      <w:szCs w:val="24"/>
    </w:rPr>
  </w:style>
  <w:style w:type="paragraph" w:customStyle="1" w:styleId="87">
    <w:name w:val="列出段落1"/>
    <w:basedOn w:val="1"/>
    <w:link w:val="86"/>
    <w:qFormat/>
    <w:uiPriority w:val="0"/>
    <w:pPr>
      <w:ind w:firstLine="420" w:firstLineChars="200"/>
    </w:pPr>
  </w:style>
  <w:style w:type="character" w:customStyle="1" w:styleId="88">
    <w:name w:val="标题 3 Char"/>
    <w:link w:val="6"/>
    <w:qFormat/>
    <w:uiPriority w:val="0"/>
    <w:rPr>
      <w:rFonts w:ascii="黑体" w:eastAsia="黑体"/>
      <w:bCs/>
      <w:color w:val="000000"/>
      <w:kern w:val="2"/>
      <w:sz w:val="21"/>
      <w:szCs w:val="24"/>
    </w:rPr>
  </w:style>
  <w:style w:type="character" w:customStyle="1" w:styleId="89">
    <w:name w:val="标题 2 Char1"/>
    <w:qFormat/>
    <w:uiPriority w:val="0"/>
    <w:rPr>
      <w:rFonts w:ascii="Arial" w:hAnsi="Arial" w:eastAsia="黑体"/>
      <w:b/>
      <w:bCs/>
      <w:kern w:val="2"/>
      <w:sz w:val="32"/>
      <w:szCs w:val="32"/>
    </w:rPr>
  </w:style>
  <w:style w:type="character" w:customStyle="1" w:styleId="90">
    <w:name w:val="标题 Char"/>
    <w:link w:val="48"/>
    <w:qFormat/>
    <w:uiPriority w:val="0"/>
    <w:rPr>
      <w:rFonts w:ascii="Cambria" w:hAnsi="Cambria"/>
      <w:b/>
      <w:bCs/>
      <w:kern w:val="2"/>
      <w:sz w:val="32"/>
      <w:szCs w:val="32"/>
    </w:rPr>
  </w:style>
  <w:style w:type="character" w:customStyle="1" w:styleId="91">
    <w:name w:val="纯文本 Char"/>
    <w:link w:val="26"/>
    <w:qFormat/>
    <w:uiPriority w:val="0"/>
    <w:rPr>
      <w:rFonts w:ascii="宋体" w:hAnsi="Courier New"/>
      <w:kern w:val="2"/>
      <w:sz w:val="21"/>
      <w:lang w:bidi="ar-SA"/>
    </w:rPr>
  </w:style>
  <w:style w:type="character" w:customStyle="1" w:styleId="92">
    <w:name w:val="flname7"/>
    <w:basedOn w:val="53"/>
    <w:qFormat/>
    <w:uiPriority w:val="0"/>
  </w:style>
  <w:style w:type="character" w:customStyle="1" w:styleId="93">
    <w:name w:val="content"/>
    <w:qFormat/>
    <w:uiPriority w:val="0"/>
  </w:style>
  <w:style w:type="character" w:customStyle="1" w:styleId="94">
    <w:name w:val="正文文本 Char"/>
    <w:link w:val="21"/>
    <w:qFormat/>
    <w:uiPriority w:val="0"/>
    <w:rPr>
      <w:rFonts w:eastAsia="宋体"/>
      <w:kern w:val="2"/>
      <w:sz w:val="21"/>
      <w:szCs w:val="24"/>
      <w:lang w:val="en-US" w:eastAsia="zh-CN" w:bidi="ar-SA"/>
    </w:rPr>
  </w:style>
  <w:style w:type="character" w:customStyle="1" w:styleId="95">
    <w:name w:val="标题 9 Char"/>
    <w:link w:val="13"/>
    <w:qFormat/>
    <w:uiPriority w:val="0"/>
    <w:rPr>
      <w:rFonts w:ascii="Arial" w:hAnsi="Arial" w:eastAsia="黑体"/>
      <w:kern w:val="2"/>
      <w:sz w:val="21"/>
      <w:szCs w:val="21"/>
      <w:lang w:val="en-US" w:eastAsia="zh-CN" w:bidi="ar-SA"/>
    </w:rPr>
  </w:style>
  <w:style w:type="character" w:customStyle="1" w:styleId="96">
    <w:name w:val="c_666"/>
    <w:basedOn w:val="53"/>
    <w:qFormat/>
    <w:uiPriority w:val="0"/>
  </w:style>
  <w:style w:type="character" w:customStyle="1" w:styleId="97">
    <w:name w:val="正文文本 2 Char"/>
    <w:link w:val="44"/>
    <w:qFormat/>
    <w:uiPriority w:val="0"/>
    <w:rPr>
      <w:rFonts w:ascii="仿宋_GB2312" w:eastAsia="仿宋_GB2312"/>
      <w:kern w:val="2"/>
      <w:sz w:val="32"/>
      <w:szCs w:val="24"/>
      <w:lang w:val="en-US" w:eastAsia="zh-CN" w:bidi="ar-SA"/>
    </w:rPr>
  </w:style>
  <w:style w:type="character" w:customStyle="1" w:styleId="98">
    <w:name w:val="书籍标题3 Char1"/>
    <w:link w:val="99"/>
    <w:qFormat/>
    <w:uiPriority w:val="0"/>
    <w:rPr>
      <w:b/>
      <w:bCs/>
      <w:spacing w:val="20"/>
      <w:kern w:val="2"/>
      <w:sz w:val="28"/>
      <w:szCs w:val="28"/>
    </w:rPr>
  </w:style>
  <w:style w:type="paragraph" w:customStyle="1" w:styleId="99">
    <w:name w:val="书籍标题3"/>
    <w:basedOn w:val="100"/>
    <w:link w:val="98"/>
    <w:qFormat/>
    <w:uiPriority w:val="0"/>
    <w:pPr>
      <w:numPr>
        <w:ilvl w:val="2"/>
      </w:numPr>
      <w:tabs>
        <w:tab w:val="left" w:pos="840"/>
      </w:tabs>
      <w:outlineLvl w:val="2"/>
    </w:pPr>
    <w:rPr>
      <w:rFonts w:cs="Times New Roman"/>
      <w:sz w:val="28"/>
      <w:szCs w:val="28"/>
    </w:rPr>
  </w:style>
  <w:style w:type="paragraph" w:customStyle="1" w:styleId="100">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qFormat/>
    <w:uiPriority w:val="0"/>
    <w:rPr>
      <w:rFonts w:ascii="黑体" w:eastAsia="黑体"/>
      <w:bCs/>
      <w:kern w:val="44"/>
      <w:sz w:val="24"/>
      <w:lang w:val="en-US" w:eastAsia="zh-CN" w:bidi="ar-SA"/>
    </w:rPr>
  </w:style>
  <w:style w:type="character" w:customStyle="1" w:styleId="102">
    <w:name w:val="列出段落 Char"/>
    <w:link w:val="103"/>
    <w:qFormat/>
    <w:uiPriority w:val="0"/>
    <w:rPr>
      <w:kern w:val="2"/>
      <w:sz w:val="21"/>
      <w:szCs w:val="24"/>
    </w:rPr>
  </w:style>
  <w:style w:type="paragraph" w:styleId="103">
    <w:name w:val="List Paragraph"/>
    <w:basedOn w:val="1"/>
    <w:link w:val="102"/>
    <w:qFormat/>
    <w:uiPriority w:val="0"/>
    <w:pPr>
      <w:ind w:firstLine="420" w:firstLineChars="200"/>
    </w:pPr>
  </w:style>
  <w:style w:type="character" w:customStyle="1" w:styleId="104">
    <w:name w:val="标题 3 Char1"/>
    <w:qFormat/>
    <w:uiPriority w:val="0"/>
    <w:rPr>
      <w:rFonts w:ascii="宋体" w:hAnsi="Times New Roman"/>
    </w:rPr>
  </w:style>
  <w:style w:type="character" w:customStyle="1" w:styleId="105">
    <w:name w:val="样式 样式 宋体 小四 行距: 1.5 倍行距 + ˎ̥ 黑色 Char Char"/>
    <w:link w:val="106"/>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2"/>
    <w:link w:val="105"/>
    <w:qFormat/>
    <w:uiPriority w:val="0"/>
  </w:style>
  <w:style w:type="character" w:customStyle="1" w:styleId="107">
    <w:name w:val="样式5 Char Char"/>
    <w:link w:val="108"/>
    <w:qFormat/>
    <w:uiPriority w:val="0"/>
    <w:rPr>
      <w:rFonts w:ascii="宋体" w:hAnsi="宋体" w:eastAsia="宋体" w:cs="Arial"/>
      <w:b/>
      <w:kern w:val="2"/>
      <w:sz w:val="24"/>
      <w:szCs w:val="24"/>
      <w:lang w:val="en-US" w:eastAsia="zh-CN" w:bidi="ar-SA"/>
    </w:rPr>
  </w:style>
  <w:style w:type="paragraph" w:customStyle="1" w:styleId="108">
    <w:name w:val="样式5"/>
    <w:basedOn w:val="1"/>
    <w:link w:val="107"/>
    <w:qFormat/>
    <w:uiPriority w:val="0"/>
    <w:pPr>
      <w:spacing w:line="400" w:lineRule="exact"/>
      <w:ind w:left="482"/>
    </w:pPr>
    <w:rPr>
      <w:rFonts w:ascii="宋体" w:hAnsi="宋体" w:cs="Arial"/>
      <w:b/>
      <w:sz w:val="24"/>
    </w:rPr>
  </w:style>
  <w:style w:type="character" w:customStyle="1" w:styleId="109">
    <w:name w:val="标题 1 Char1"/>
    <w:qFormat/>
    <w:uiPriority w:val="0"/>
    <w:rPr>
      <w:b/>
      <w:bCs/>
      <w:kern w:val="44"/>
      <w:sz w:val="44"/>
      <w:szCs w:val="44"/>
    </w:rPr>
  </w:style>
  <w:style w:type="character" w:customStyle="1" w:styleId="110">
    <w:name w:val="lineitems1"/>
    <w:qFormat/>
    <w:uiPriority w:val="0"/>
    <w:rPr>
      <w:sz w:val="17"/>
      <w:szCs w:val="17"/>
    </w:rPr>
  </w:style>
  <w:style w:type="character" w:customStyle="1" w:styleId="111">
    <w:name w:val="font31"/>
    <w:qFormat/>
    <w:uiPriority w:val="0"/>
    <w:rPr>
      <w:rFonts w:hint="eastAsia" w:ascii="宋体" w:hAnsi="宋体" w:eastAsia="宋体" w:cs="宋体"/>
      <w:color w:val="000000"/>
      <w:sz w:val="20"/>
      <w:szCs w:val="20"/>
      <w:u w:val="none"/>
    </w:rPr>
  </w:style>
  <w:style w:type="character" w:customStyle="1" w:styleId="112">
    <w:name w:val="不明显参考1"/>
    <w:qFormat/>
    <w:uiPriority w:val="0"/>
    <w:rPr>
      <w:smallCaps/>
      <w:color w:val="C0504D"/>
      <w:u w:val="single"/>
    </w:rPr>
  </w:style>
  <w:style w:type="character" w:customStyle="1" w:styleId="113">
    <w:name w:val="标题 6 Char"/>
    <w:link w:val="10"/>
    <w:qFormat/>
    <w:uiPriority w:val="0"/>
    <w:rPr>
      <w:rFonts w:ascii="Arial" w:hAnsi="Arial" w:eastAsia="黑体"/>
      <w:b/>
      <w:bCs/>
      <w:kern w:val="2"/>
      <w:sz w:val="24"/>
      <w:szCs w:val="24"/>
      <w:lang w:val="en-US" w:eastAsia="zh-CN" w:bidi="ar-SA"/>
    </w:rPr>
  </w:style>
  <w:style w:type="character" w:customStyle="1" w:styleId="114">
    <w:name w:val="style71"/>
    <w:qFormat/>
    <w:uiPriority w:val="0"/>
    <w:rPr>
      <w:sz w:val="21"/>
      <w:szCs w:val="21"/>
    </w:rPr>
  </w:style>
  <w:style w:type="character" w:customStyle="1" w:styleId="115">
    <w:name w:val="HTML 地址 Char"/>
    <w:link w:val="23"/>
    <w:qFormat/>
    <w:uiPriority w:val="0"/>
    <w:rPr>
      <w:i/>
      <w:kern w:val="2"/>
      <w:sz w:val="21"/>
      <w:szCs w:val="24"/>
    </w:rPr>
  </w:style>
  <w:style w:type="character" w:customStyle="1" w:styleId="116">
    <w:name w:val="细目1 Char Char"/>
    <w:link w:val="117"/>
    <w:qFormat/>
    <w:uiPriority w:val="0"/>
    <w:rPr>
      <w:b/>
      <w:color w:val="215868"/>
      <w:kern w:val="2"/>
      <w:sz w:val="24"/>
      <w:szCs w:val="24"/>
    </w:rPr>
  </w:style>
  <w:style w:type="paragraph" w:customStyle="1" w:styleId="117">
    <w:name w:val="细目1"/>
    <w:basedOn w:val="1"/>
    <w:link w:val="11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qFormat/>
    <w:uiPriority w:val="0"/>
    <w:rPr>
      <w:rFonts w:ascii="宋体" w:hAnsi="宋体"/>
      <w:sz w:val="21"/>
      <w:szCs w:val="21"/>
    </w:rPr>
  </w:style>
  <w:style w:type="paragraph" w:customStyle="1" w:styleId="119">
    <w:name w:val="xl25"/>
    <w:basedOn w:val="1"/>
    <w:link w:val="118"/>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5"/>
    <w:qFormat/>
    <w:uiPriority w:val="0"/>
    <w:rPr>
      <w:rFonts w:ascii="Arial" w:hAnsi="Arial" w:eastAsia="黑体" w:cs="Arial"/>
      <w:kern w:val="2"/>
    </w:rPr>
  </w:style>
  <w:style w:type="character" w:customStyle="1" w:styleId="121">
    <w:name w:val="标题 8 Char"/>
    <w:link w:val="12"/>
    <w:qFormat/>
    <w:uiPriority w:val="0"/>
    <w:rPr>
      <w:rFonts w:ascii="Arial" w:hAnsi="Arial" w:eastAsia="黑体"/>
      <w:kern w:val="2"/>
      <w:sz w:val="24"/>
      <w:szCs w:val="24"/>
      <w:lang w:val="en-US" w:eastAsia="zh-CN" w:bidi="ar-SA"/>
    </w:rPr>
  </w:style>
  <w:style w:type="character" w:customStyle="1" w:styleId="122">
    <w:name w:val="正文文本缩进 2 Char"/>
    <w:link w:val="30"/>
    <w:qFormat/>
    <w:uiPriority w:val="0"/>
    <w:rPr>
      <w:rFonts w:eastAsia="仿宋_GB2312"/>
      <w:sz w:val="30"/>
      <w:lang w:bidi="ar-SA"/>
    </w:rPr>
  </w:style>
  <w:style w:type="character" w:customStyle="1" w:styleId="123">
    <w:name w:val="ca-11"/>
    <w:basedOn w:val="53"/>
    <w:qFormat/>
    <w:uiPriority w:val="0"/>
  </w:style>
  <w:style w:type="character" w:customStyle="1" w:styleId="124">
    <w:name w:val="正文缩进 Char"/>
    <w:link w:val="7"/>
    <w:qFormat/>
    <w:uiPriority w:val="0"/>
    <w:rPr>
      <w:rFonts w:ascii="宋体" w:eastAsia="宋体"/>
      <w:sz w:val="34"/>
      <w:lang w:val="en-US" w:eastAsia="zh-CN" w:bidi="ar-SA"/>
    </w:rPr>
  </w:style>
  <w:style w:type="character" w:customStyle="1" w:styleId="125">
    <w:name w:val="副标题 Char"/>
    <w:link w:val="38"/>
    <w:qFormat/>
    <w:uiPriority w:val="0"/>
    <w:rPr>
      <w:rFonts w:ascii="Calibri Light" w:hAnsi="Calibri Light"/>
      <w:b/>
      <w:bCs/>
      <w:kern w:val="28"/>
      <w:sz w:val="32"/>
      <w:szCs w:val="32"/>
    </w:rPr>
  </w:style>
  <w:style w:type="character" w:customStyle="1" w:styleId="126">
    <w:name w:val="页眉 Char Char"/>
    <w:qFormat/>
    <w:uiPriority w:val="0"/>
    <w:rPr>
      <w:rFonts w:eastAsia="宋体"/>
      <w:sz w:val="18"/>
      <w:szCs w:val="18"/>
      <w:lang w:bidi="ar-SA"/>
    </w:rPr>
  </w:style>
  <w:style w:type="character" w:customStyle="1" w:styleId="127">
    <w:name w:val="批注主题 Char"/>
    <w:link w:val="49"/>
    <w:qFormat/>
    <w:uiPriority w:val="0"/>
    <w:rPr>
      <w:b/>
      <w:bCs/>
      <w:kern w:val="2"/>
      <w:sz w:val="21"/>
      <w:szCs w:val="24"/>
    </w:rPr>
  </w:style>
  <w:style w:type="character" w:customStyle="1" w:styleId="128">
    <w:name w:val="p12"/>
    <w:basedOn w:val="53"/>
    <w:qFormat/>
    <w:uiPriority w:val="0"/>
  </w:style>
  <w:style w:type="character" w:customStyle="1" w:styleId="129">
    <w:name w:val="表格内容"/>
    <w:qFormat/>
    <w:uiPriority w:val="0"/>
    <w:rPr>
      <w:sz w:val="24"/>
    </w:rPr>
  </w:style>
  <w:style w:type="character" w:customStyle="1" w:styleId="130">
    <w:name w:val="正文文本缩进 Char"/>
    <w:link w:val="3"/>
    <w:qFormat/>
    <w:uiPriority w:val="0"/>
    <w:rPr>
      <w:rFonts w:ascii="仿宋_GB2312" w:eastAsia="仿宋_GB2312"/>
      <w:sz w:val="28"/>
      <w:lang w:val="en-US" w:eastAsia="zh-CN" w:bidi="ar-SA"/>
    </w:rPr>
  </w:style>
  <w:style w:type="character" w:customStyle="1" w:styleId="131">
    <w:name w:val="HTML 预设格式 Char"/>
    <w:link w:val="45"/>
    <w:qFormat/>
    <w:uiPriority w:val="0"/>
    <w:rPr>
      <w:rFonts w:ascii="黑体" w:hAnsi="Courier New" w:eastAsia="黑体" w:cs="Courier New"/>
      <w:kern w:val="2"/>
      <w:sz w:val="21"/>
      <w:szCs w:val="24"/>
      <w:lang w:val="en-US" w:eastAsia="zh-CN" w:bidi="ar-SA"/>
    </w:rPr>
  </w:style>
  <w:style w:type="character" w:customStyle="1" w:styleId="132">
    <w:name w:val="纯文本 Char1"/>
    <w:qFormat/>
    <w:uiPriority w:val="0"/>
    <w:rPr>
      <w:rFonts w:ascii="宋体" w:hAnsi="Courier New" w:eastAsia="宋体" w:cs="Times New Roman"/>
      <w:kern w:val="0"/>
      <w:sz w:val="20"/>
      <w:szCs w:val="20"/>
    </w:rPr>
  </w:style>
  <w:style w:type="character" w:customStyle="1" w:styleId="133">
    <w:name w:val="正文首行缩进 Char Char"/>
    <w:qFormat/>
    <w:uiPriority w:val="0"/>
    <w:rPr>
      <w:rFonts w:eastAsia="仿宋_GB2312"/>
      <w:kern w:val="2"/>
      <w:sz w:val="28"/>
      <w:szCs w:val="24"/>
      <w:lang w:bidi="ar-SA"/>
    </w:rPr>
  </w:style>
  <w:style w:type="character" w:customStyle="1" w:styleId="134">
    <w:name w:val="页眉 Char"/>
    <w:link w:val="33"/>
    <w:qFormat/>
    <w:uiPriority w:val="0"/>
    <w:rPr>
      <w:rFonts w:eastAsia="宋体"/>
      <w:kern w:val="2"/>
      <w:sz w:val="18"/>
      <w:lang w:val="en-US" w:eastAsia="zh-CN" w:bidi="ar-SA"/>
    </w:rPr>
  </w:style>
  <w:style w:type="character" w:customStyle="1" w:styleId="135">
    <w:name w:val="标题 1 Char Char"/>
    <w:qFormat/>
    <w:uiPriority w:val="0"/>
    <w:rPr>
      <w:rFonts w:eastAsia="宋体"/>
      <w:b/>
      <w:bCs/>
      <w:kern w:val="44"/>
      <w:sz w:val="44"/>
      <w:szCs w:val="44"/>
      <w:lang w:val="en-US" w:eastAsia="zh-CN" w:bidi="ar-SA"/>
    </w:rPr>
  </w:style>
  <w:style w:type="character" w:customStyle="1" w:styleId="136">
    <w:name w:val="Font Style17"/>
    <w:qFormat/>
    <w:uiPriority w:val="0"/>
    <w:rPr>
      <w:rFonts w:ascii="黑体" w:eastAsia="黑体" w:cs="黑体"/>
      <w:sz w:val="28"/>
      <w:szCs w:val="28"/>
    </w:rPr>
  </w:style>
  <w:style w:type="character" w:customStyle="1" w:styleId="137">
    <w:name w:val="Char Char10"/>
    <w:qFormat/>
    <w:uiPriority w:val="0"/>
    <w:rPr>
      <w:rFonts w:eastAsia="宋体"/>
      <w:kern w:val="2"/>
      <w:sz w:val="18"/>
      <w:szCs w:val="18"/>
      <w:lang w:val="en-US" w:eastAsia="zh-CN" w:bidi="ar-SA"/>
    </w:rPr>
  </w:style>
  <w:style w:type="character" w:customStyle="1" w:styleId="138">
    <w:name w:val="正文文本缩进 3 Char Char"/>
    <w:qFormat/>
    <w:uiPriority w:val="0"/>
    <w:rPr>
      <w:kern w:val="2"/>
      <w:sz w:val="16"/>
      <w:szCs w:val="16"/>
      <w:lang w:bidi="ar-SA"/>
    </w:rPr>
  </w:style>
  <w:style w:type="character" w:customStyle="1" w:styleId="139">
    <w:name w:val="标题 3 Char Char"/>
    <w:qFormat/>
    <w:uiPriority w:val="0"/>
    <w:rPr>
      <w:rFonts w:eastAsia="宋体"/>
      <w:b/>
      <w:bCs/>
      <w:kern w:val="2"/>
      <w:sz w:val="32"/>
      <w:szCs w:val="32"/>
      <w:lang w:val="en-US" w:eastAsia="zh-CN" w:bidi="ar-SA"/>
    </w:rPr>
  </w:style>
  <w:style w:type="character" w:customStyle="1" w:styleId="140">
    <w:name w:val="nine-11"/>
    <w:qFormat/>
    <w:uiPriority w:val="0"/>
    <w:rPr>
      <w:rFonts w:hint="default"/>
      <w:sz w:val="18"/>
      <w:szCs w:val="18"/>
    </w:rPr>
  </w:style>
  <w:style w:type="character" w:customStyle="1" w:styleId="141">
    <w:name w:val="标题 7 Char"/>
    <w:link w:val="11"/>
    <w:qFormat/>
    <w:uiPriority w:val="0"/>
    <w:rPr>
      <w:rFonts w:eastAsia="宋体"/>
      <w:b/>
      <w:bCs/>
      <w:kern w:val="2"/>
      <w:sz w:val="24"/>
      <w:szCs w:val="24"/>
      <w:lang w:val="en-US" w:eastAsia="zh-CN" w:bidi="ar-SA"/>
    </w:rPr>
  </w:style>
  <w:style w:type="character" w:customStyle="1" w:styleId="142">
    <w:name w:val="题注 Char1"/>
    <w:qFormat/>
    <w:uiPriority w:val="0"/>
    <w:rPr>
      <w:rFonts w:ascii="Arial" w:hAnsi="Arial" w:eastAsia="宋体" w:cs="Arial"/>
      <w:kern w:val="2"/>
      <w:lang w:val="en-US" w:eastAsia="zh-CN" w:bidi="ar-SA"/>
    </w:rPr>
  </w:style>
  <w:style w:type="character" w:customStyle="1" w:styleId="143">
    <w:name w:val="正文缩进 Char2"/>
    <w:link w:val="144"/>
    <w:qFormat/>
    <w:uiPriority w:val="0"/>
    <w:rPr>
      <w:rFonts w:ascii="宋体" w:eastAsia="宋体"/>
      <w:sz w:val="34"/>
      <w:lang w:bidi="ar-SA"/>
    </w:rPr>
  </w:style>
  <w:style w:type="paragraph" w:customStyle="1" w:styleId="144">
    <w:name w:val="Normal Indent1"/>
    <w:basedOn w:val="1"/>
    <w:link w:val="143"/>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qFormat/>
    <w:uiPriority w:val="0"/>
    <w:rPr>
      <w:b/>
    </w:rPr>
  </w:style>
  <w:style w:type="paragraph" w:customStyle="1" w:styleId="146">
    <w:name w:val="表标题"/>
    <w:basedOn w:val="7"/>
    <w:link w:val="145"/>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qFormat/>
    <w:uiPriority w:val="0"/>
    <w:rPr>
      <w:rFonts w:ascii="宋体" w:hAnsi="Courier New" w:eastAsia="宋体"/>
      <w:kern w:val="2"/>
      <w:sz w:val="21"/>
      <w:lang w:val="en-US" w:eastAsia="zh-CN" w:bidi="ar-SA"/>
    </w:rPr>
  </w:style>
  <w:style w:type="character" w:customStyle="1" w:styleId="148">
    <w:name w:val="标题 5 Char"/>
    <w:link w:val="9"/>
    <w:qFormat/>
    <w:uiPriority w:val="0"/>
    <w:rPr>
      <w:rFonts w:eastAsia="宋体"/>
      <w:b/>
      <w:kern w:val="2"/>
      <w:sz w:val="28"/>
      <w:lang w:val="en-US" w:eastAsia="zh-CN" w:bidi="ar-SA"/>
    </w:rPr>
  </w:style>
  <w:style w:type="character" w:customStyle="1" w:styleId="149">
    <w:name w:val="Char Char5"/>
    <w:qFormat/>
    <w:uiPriority w:val="0"/>
    <w:rPr>
      <w:rFonts w:eastAsia="宋体"/>
      <w:kern w:val="2"/>
      <w:sz w:val="18"/>
      <w:lang w:val="en-US" w:eastAsia="zh-CN" w:bidi="ar-SA"/>
    </w:rPr>
  </w:style>
  <w:style w:type="character" w:customStyle="1" w:styleId="150">
    <w:name w:val="style18"/>
    <w:qFormat/>
    <w:uiPriority w:val="0"/>
  </w:style>
  <w:style w:type="character" w:customStyle="1" w:styleId="151">
    <w:name w:val="批注框文本 Char"/>
    <w:link w:val="31"/>
    <w:qFormat/>
    <w:uiPriority w:val="0"/>
    <w:rPr>
      <w:rFonts w:eastAsia="宋体"/>
      <w:kern w:val="2"/>
      <w:sz w:val="18"/>
      <w:szCs w:val="18"/>
      <w:lang w:val="en-US" w:eastAsia="zh-CN" w:bidi="ar-SA"/>
    </w:rPr>
  </w:style>
  <w:style w:type="character" w:customStyle="1" w:styleId="152">
    <w:name w:val="mark"/>
    <w:basedOn w:val="53"/>
    <w:qFormat/>
    <w:uiPriority w:val="0"/>
  </w:style>
  <w:style w:type="character" w:customStyle="1" w:styleId="153">
    <w:name w:val="样式2"/>
    <w:qFormat/>
    <w:uiPriority w:val="0"/>
    <w:rPr>
      <w:rFonts w:eastAsia="华文楷体"/>
      <w:b/>
      <w:sz w:val="32"/>
    </w:rPr>
  </w:style>
  <w:style w:type="character" w:customStyle="1" w:styleId="154">
    <w:name w:val="ALT+Z Char"/>
    <w:qFormat/>
    <w:uiPriority w:val="0"/>
    <w:rPr>
      <w:rFonts w:ascii="宋体"/>
      <w:sz w:val="34"/>
    </w:rPr>
  </w:style>
  <w:style w:type="character" w:customStyle="1" w:styleId="155">
    <w:name w:val="标题 1 Char"/>
    <w:link w:val="4"/>
    <w:qFormat/>
    <w:uiPriority w:val="0"/>
    <w:rPr>
      <w:rFonts w:ascii="黑体" w:eastAsia="黑体"/>
      <w:bCs/>
      <w:kern w:val="44"/>
      <w:sz w:val="24"/>
      <w:szCs w:val="24"/>
    </w:rPr>
  </w:style>
  <w:style w:type="character" w:customStyle="1" w:styleId="156">
    <w:name w:val="正文 A Char Char"/>
    <w:link w:val="157"/>
    <w:qFormat/>
    <w:uiPriority w:val="0"/>
    <w:rPr>
      <w:rFonts w:ascii="仿宋_GB2312" w:hAnsi="Heiti SC Light" w:eastAsia="仿宋_GB2312"/>
      <w:kern w:val="2"/>
      <w:sz w:val="24"/>
      <w:lang w:val="en-US" w:eastAsia="zh-CN" w:bidi="ar-SA"/>
    </w:rPr>
  </w:style>
  <w:style w:type="paragraph" w:customStyle="1" w:styleId="157">
    <w:name w:val="正文 A"/>
    <w:link w:val="156"/>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50"/>
    <w:qFormat/>
    <w:uiPriority w:val="0"/>
    <w:rPr>
      <w:rFonts w:ascii="Calibri" w:hAnsi="Calibri" w:eastAsia="宋体"/>
      <w:kern w:val="2"/>
      <w:sz w:val="21"/>
      <w:szCs w:val="22"/>
      <w:lang w:val="en-US" w:eastAsia="zh-CN" w:bidi="ar-SA"/>
    </w:rPr>
  </w:style>
  <w:style w:type="character" w:customStyle="1" w:styleId="159">
    <w:name w:val="ca-9"/>
    <w:basedOn w:val="53"/>
    <w:qFormat/>
    <w:uiPriority w:val="0"/>
  </w:style>
  <w:style w:type="character" w:customStyle="1" w:styleId="160">
    <w:name w:val="正文（缩进） Char Char"/>
    <w:link w:val="161"/>
    <w:qFormat/>
    <w:uiPriority w:val="0"/>
    <w:rPr>
      <w:rFonts w:eastAsia="宋体"/>
      <w:kern w:val="2"/>
      <w:sz w:val="24"/>
      <w:szCs w:val="24"/>
      <w:lang w:val="en-US" w:eastAsia="zh-CN" w:bidi="ar-SA"/>
    </w:rPr>
  </w:style>
  <w:style w:type="paragraph" w:customStyle="1" w:styleId="161">
    <w:name w:val="正文（缩进）"/>
    <w:basedOn w:val="1"/>
    <w:link w:val="160"/>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qFormat/>
    <w:uiPriority w:val="0"/>
    <w:pPr>
      <w:widowControl/>
      <w:spacing w:after="40" w:line="360" w:lineRule="auto"/>
      <w:ind w:firstLine="200" w:firstLineChars="200"/>
    </w:pPr>
    <w:rPr>
      <w:kern w:val="0"/>
      <w:sz w:val="24"/>
    </w:rPr>
  </w:style>
  <w:style w:type="paragraph" w:customStyle="1" w:styleId="16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8"/>
    <w:qFormat/>
    <w:uiPriority w:val="0"/>
    <w:pPr>
      <w:numPr>
        <w:ilvl w:val="3"/>
        <w:numId w:val="8"/>
      </w:numPr>
      <w:tabs>
        <w:tab w:val="left" w:pos="425"/>
        <w:tab w:val="clear" w:pos="1984"/>
      </w:tabs>
    </w:pPr>
    <w:rPr>
      <w:bCs w:val="0"/>
    </w:rPr>
  </w:style>
  <w:style w:type="paragraph" w:customStyle="1" w:styleId="170">
    <w:name w:val="p0"/>
    <w:basedOn w:val="1"/>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8"/>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5"/>
    <w:qFormat/>
    <w:uiPriority w:val="0"/>
    <w:pPr>
      <w:ind w:left="-132" w:leftChars="-64" w:right="-105" w:rightChars="-50" w:hanging="2"/>
      <w:jc w:val="center"/>
    </w:pPr>
    <w:rPr>
      <w:b/>
      <w:color w:val="FF0000"/>
      <w:szCs w:val="21"/>
      <w:lang w:val="en-GB"/>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qFormat/>
    <w:uiPriority w:val="0"/>
    <w:pPr>
      <w:numPr>
        <w:ilvl w:val="0"/>
        <w:numId w:val="11"/>
      </w:numPr>
      <w:spacing w:line="360" w:lineRule="auto"/>
    </w:pPr>
    <w:rPr>
      <w:sz w:val="24"/>
    </w:rPr>
  </w:style>
  <w:style w:type="paragraph" w:customStyle="1" w:styleId="19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qFormat/>
    <w:uiPriority w:val="0"/>
    <w:rPr>
      <w:rFonts w:ascii="Tahoma" w:hAnsi="Tahoma"/>
      <w:sz w:val="24"/>
      <w:szCs w:val="20"/>
    </w:rPr>
  </w:style>
  <w:style w:type="paragraph" w:customStyle="1" w:styleId="194">
    <w:name w:val="段"/>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qFormat/>
    <w:uiPriority w:val="0"/>
    <w:pPr>
      <w:spacing w:line="360" w:lineRule="auto"/>
      <w:ind w:firstLine="200" w:firstLineChars="200"/>
    </w:pPr>
    <w:rPr>
      <w:rFonts w:ascii="宋体" w:hAnsi="宋体" w:cs="宋体"/>
      <w:sz w:val="24"/>
    </w:rPr>
  </w:style>
  <w:style w:type="paragraph" w:customStyle="1" w:styleId="20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qFormat/>
    <w:uiPriority w:val="0"/>
    <w:pPr>
      <w:widowControl/>
      <w:spacing w:before="150" w:after="150"/>
      <w:jc w:val="left"/>
    </w:pPr>
    <w:rPr>
      <w:rFonts w:ascii="宋体" w:hAnsi="宋体" w:cs="宋体"/>
      <w:kern w:val="0"/>
      <w:sz w:val="24"/>
    </w:rPr>
  </w:style>
  <w:style w:type="paragraph" w:customStyle="1" w:styleId="205">
    <w:name w:val="MM Topic 5"/>
    <w:basedOn w:val="9"/>
    <w:qFormat/>
    <w:uiPriority w:val="0"/>
    <w:pPr>
      <w:numPr>
        <w:ilvl w:val="4"/>
        <w:numId w:val="8"/>
      </w:numPr>
      <w:tabs>
        <w:tab w:val="left" w:pos="425"/>
        <w:tab w:val="clear" w:pos="2551"/>
      </w:tabs>
    </w:pPr>
    <w:rPr>
      <w:bCs/>
      <w:szCs w:val="28"/>
    </w:rPr>
  </w:style>
  <w:style w:type="paragraph" w:customStyle="1" w:styleId="20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qFormat/>
    <w:uiPriority w:val="0"/>
    <w:pPr>
      <w:widowControl/>
      <w:spacing w:before="100" w:beforeAutospacing="1" w:after="100" w:afterAutospacing="1"/>
      <w:jc w:val="left"/>
    </w:pPr>
    <w:rPr>
      <w:kern w:val="0"/>
      <w:sz w:val="22"/>
      <w:szCs w:val="22"/>
    </w:rPr>
  </w:style>
  <w:style w:type="paragraph" w:customStyle="1" w:styleId="20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5"/>
    <w:qFormat/>
    <w:uiPriority w:val="0"/>
    <w:pPr>
      <w:jc w:val="center"/>
    </w:pPr>
    <w:rPr>
      <w:b/>
      <w:color w:val="000000"/>
      <w:sz w:val="24"/>
      <w:szCs w:val="21"/>
    </w:rPr>
  </w:style>
  <w:style w:type="paragraph" w:customStyle="1" w:styleId="21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qFormat/>
    <w:uiPriority w:val="0"/>
    <w:pPr>
      <w:tabs>
        <w:tab w:val="left" w:pos="425"/>
      </w:tabs>
      <w:ind w:left="425" w:hanging="425"/>
    </w:pPr>
    <w:rPr>
      <w:rFonts w:eastAsia="仿宋_GB2312"/>
      <w:kern w:val="24"/>
      <w:sz w:val="24"/>
    </w:rPr>
  </w:style>
  <w:style w:type="paragraph" w:customStyle="1" w:styleId="215">
    <w:name w:val="Char"/>
    <w:basedOn w:val="1"/>
    <w:qFormat/>
    <w:uiPriority w:val="0"/>
    <w:pPr>
      <w:tabs>
        <w:tab w:val="left" w:pos="1365"/>
      </w:tabs>
      <w:ind w:left="1365" w:hanging="360"/>
    </w:pPr>
    <w:rPr>
      <w:sz w:val="24"/>
    </w:rPr>
  </w:style>
  <w:style w:type="paragraph" w:customStyle="1" w:styleId="216">
    <w:name w:val="font15"/>
    <w:basedOn w:val="1"/>
    <w:qFormat/>
    <w:uiPriority w:val="0"/>
    <w:pPr>
      <w:widowControl/>
      <w:spacing w:before="100" w:beforeAutospacing="1" w:after="100" w:afterAutospacing="1"/>
      <w:jc w:val="left"/>
    </w:pPr>
    <w:rPr>
      <w:kern w:val="0"/>
      <w:sz w:val="20"/>
      <w:szCs w:val="20"/>
    </w:rPr>
  </w:style>
  <w:style w:type="paragraph" w:customStyle="1" w:styleId="21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qFormat/>
    <w:uiPriority w:val="0"/>
    <w:pPr>
      <w:widowControl/>
      <w:spacing w:before="100" w:beforeAutospacing="1" w:after="100" w:afterAutospacing="1"/>
      <w:jc w:val="left"/>
    </w:pPr>
    <w:rPr>
      <w:kern w:val="0"/>
      <w:sz w:val="20"/>
      <w:szCs w:val="20"/>
    </w:rPr>
  </w:style>
  <w:style w:type="paragraph" w:customStyle="1" w:styleId="221">
    <w:name w:val="Char2"/>
    <w:basedOn w:val="1"/>
    <w:qFormat/>
    <w:uiPriority w:val="0"/>
    <w:pPr>
      <w:tabs>
        <w:tab w:val="left" w:pos="425"/>
      </w:tabs>
      <w:ind w:left="425" w:hanging="425"/>
    </w:pPr>
    <w:rPr>
      <w:sz w:val="24"/>
    </w:rPr>
  </w:style>
  <w:style w:type="paragraph" w:customStyle="1" w:styleId="222">
    <w:name w:val="书籍标题4"/>
    <w:basedOn w:val="99"/>
    <w:next w:val="1"/>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qFormat/>
    <w:uiPriority w:val="0"/>
    <w:pPr>
      <w:numPr>
        <w:ilvl w:val="3"/>
        <w:numId w:val="13"/>
      </w:numPr>
      <w:tabs>
        <w:tab w:val="clear" w:pos="1914"/>
      </w:tabs>
    </w:pPr>
    <w:rPr>
      <w:color w:val="auto"/>
    </w:rPr>
  </w:style>
  <w:style w:type="paragraph" w:customStyle="1" w:styleId="224">
    <w:name w:val="表格"/>
    <w:basedOn w:val="1"/>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qFormat/>
    <w:uiPriority w:val="0"/>
    <w:pPr>
      <w:spacing w:line="360" w:lineRule="auto"/>
      <w:ind w:firstLine="200" w:firstLineChars="200"/>
    </w:pPr>
    <w:rPr>
      <w:rFonts w:cs="宋体"/>
      <w:sz w:val="24"/>
      <w:szCs w:val="20"/>
    </w:rPr>
  </w:style>
  <w:style w:type="paragraph" w:customStyle="1" w:styleId="22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4"/>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qFormat/>
    <w:uiPriority w:val="34"/>
    <w:pPr>
      <w:ind w:firstLine="200" w:firstLineChars="200"/>
    </w:pPr>
    <w:rPr>
      <w:rFonts w:ascii="Calibri" w:hAnsi="Calibri"/>
      <w:szCs w:val="22"/>
    </w:rPr>
  </w:style>
  <w:style w:type="paragraph" w:customStyle="1" w:styleId="241">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qFormat/>
    <w:uiPriority w:val="0"/>
    <w:pPr>
      <w:numPr>
        <w:ilvl w:val="2"/>
        <w:numId w:val="9"/>
      </w:numPr>
      <w:spacing w:before="60"/>
    </w:pPr>
  </w:style>
  <w:style w:type="paragraph" w:customStyle="1" w:styleId="24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249">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qFormat/>
    <w:uiPriority w:val="0"/>
    <w:pPr>
      <w:ind w:left="1365" w:hanging="360"/>
    </w:pPr>
    <w:rPr>
      <w:sz w:val="24"/>
    </w:rPr>
  </w:style>
  <w:style w:type="paragraph" w:customStyle="1" w:styleId="254">
    <w:name w:val="MM Topic 2"/>
    <w:basedOn w:val="5"/>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10"/>
    <w:qFormat/>
    <w:uiPriority w:val="0"/>
    <w:pPr>
      <w:numPr>
        <w:ilvl w:val="5"/>
        <w:numId w:val="8"/>
      </w:numPr>
      <w:tabs>
        <w:tab w:val="left" w:pos="425"/>
        <w:tab w:val="clear" w:pos="3260"/>
      </w:tabs>
      <w:spacing w:line="319" w:lineRule="auto"/>
    </w:pPr>
    <w:rPr>
      <w:bCs w:val="0"/>
    </w:rPr>
  </w:style>
  <w:style w:type="paragraph" w:customStyle="1" w:styleId="260">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8"/>
    <w:qFormat/>
    <w:uiPriority w:val="0"/>
    <w:pPr>
      <w:spacing w:line="560" w:lineRule="atLeast"/>
    </w:pPr>
    <w:rPr>
      <w:rFonts w:ascii="宋体" w:hAnsi="Arial"/>
      <w:bCs w:val="0"/>
      <w:sz w:val="44"/>
      <w:szCs w:val="20"/>
    </w:rPr>
  </w:style>
  <w:style w:type="paragraph" w:customStyle="1" w:styleId="264">
    <w:name w:val="List Paragraph1"/>
    <w:basedOn w:val="1"/>
    <w:qFormat/>
    <w:uiPriority w:val="0"/>
    <w:pPr>
      <w:ind w:firstLine="420" w:firstLineChars="200"/>
    </w:pPr>
    <w:rPr>
      <w:rFonts w:ascii="Calibri" w:hAnsi="Calibri" w:cs="黑体"/>
      <w:szCs w:val="22"/>
    </w:rPr>
  </w:style>
  <w:style w:type="paragraph" w:customStyle="1" w:styleId="26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qFormat/>
    <w:uiPriority w:val="0"/>
    <w:pPr>
      <w:autoSpaceDE w:val="0"/>
      <w:autoSpaceDN w:val="0"/>
      <w:adjustRightInd w:val="0"/>
      <w:jc w:val="left"/>
    </w:pPr>
    <w:rPr>
      <w:kern w:val="0"/>
      <w:sz w:val="24"/>
    </w:rPr>
  </w:style>
  <w:style w:type="paragraph" w:customStyle="1" w:styleId="267">
    <w:name w:val="正文 + 宋体"/>
    <w:basedOn w:val="1"/>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7"/>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qFormat/>
    <w:uiPriority w:val="0"/>
    <w:rPr>
      <w:rFonts w:ascii="Tahoma" w:hAnsi="Tahoma"/>
      <w:sz w:val="24"/>
      <w:szCs w:val="20"/>
    </w:rPr>
  </w:style>
  <w:style w:type="paragraph" w:customStyle="1" w:styleId="27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qFormat/>
    <w:uiPriority w:val="0"/>
    <w:pPr>
      <w:widowControl/>
      <w:spacing w:line="400" w:lineRule="exact"/>
      <w:jc w:val="center"/>
    </w:pPr>
    <w:rPr>
      <w:rFonts w:ascii="Verdana" w:hAnsi="Verdana"/>
      <w:kern w:val="0"/>
      <w:szCs w:val="20"/>
      <w:lang w:eastAsia="en-US"/>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qFormat/>
    <w:uiPriority w:val="0"/>
    <w:pPr>
      <w:spacing w:beforeLines="50" w:afterLines="50"/>
    </w:pPr>
  </w:style>
  <w:style w:type="paragraph" w:customStyle="1" w:styleId="277">
    <w:name w:val="Char28"/>
    <w:basedOn w:val="1"/>
    <w:qFormat/>
    <w:uiPriority w:val="0"/>
    <w:pPr>
      <w:adjustRightInd w:val="0"/>
      <w:spacing w:line="360" w:lineRule="auto"/>
    </w:pPr>
  </w:style>
  <w:style w:type="paragraph" w:customStyle="1" w:styleId="27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2"/>
    <w:qFormat/>
    <w:uiPriority w:val="0"/>
  </w:style>
  <w:style w:type="paragraph" w:customStyle="1" w:styleId="28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qFormat/>
    <w:uiPriority w:val="0"/>
    <w:pPr>
      <w:jc w:val="center"/>
    </w:pPr>
    <w:rPr>
      <w:position w:val="6"/>
      <w:szCs w:val="20"/>
    </w:rPr>
  </w:style>
  <w:style w:type="paragraph" w:customStyle="1" w:styleId="284">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qFormat/>
    <w:uiPriority w:val="0"/>
    <w:rPr>
      <w:rFonts w:ascii="Arial" w:hAnsi="Arial" w:cs="Arial"/>
      <w:sz w:val="20"/>
      <w:szCs w:val="20"/>
    </w:rPr>
  </w:style>
  <w:style w:type="paragraph" w:customStyle="1" w:styleId="2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6"/>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qFormat/>
    <w:uiPriority w:val="0"/>
    <w:pPr>
      <w:spacing w:line="360" w:lineRule="auto"/>
      <w:ind w:firstLine="200" w:firstLineChars="200"/>
    </w:pPr>
    <w:rPr>
      <w:rFonts w:ascii="宋体" w:hAnsi="宋体" w:cs="宋体"/>
      <w:sz w:val="24"/>
    </w:rPr>
  </w:style>
  <w:style w:type="paragraph" w:customStyle="1" w:styleId="29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qFormat/>
    <w:uiPriority w:val="0"/>
    <w:pPr>
      <w:widowControl/>
      <w:spacing w:after="160" w:line="240" w:lineRule="exact"/>
      <w:jc w:val="left"/>
    </w:pPr>
  </w:style>
  <w:style w:type="paragraph" w:customStyle="1" w:styleId="30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qFormat/>
    <w:uiPriority w:val="0"/>
    <w:pPr>
      <w:widowControl/>
      <w:spacing w:after="160" w:line="240" w:lineRule="exact"/>
      <w:jc w:val="left"/>
    </w:pPr>
    <w:rPr>
      <w:sz w:val="32"/>
      <w:szCs w:val="20"/>
    </w:rPr>
  </w:style>
  <w:style w:type="paragraph" w:customStyle="1" w:styleId="310">
    <w:name w:val="pa-3"/>
    <w:basedOn w:val="1"/>
    <w:qFormat/>
    <w:uiPriority w:val="0"/>
    <w:pPr>
      <w:widowControl/>
      <w:spacing w:before="150" w:after="150"/>
      <w:jc w:val="left"/>
    </w:pPr>
    <w:rPr>
      <w:rFonts w:ascii="宋体" w:hAnsi="宋体" w:cs="宋体"/>
      <w:kern w:val="0"/>
      <w:sz w:val="24"/>
    </w:rPr>
  </w:style>
  <w:style w:type="paragraph" w:customStyle="1" w:styleId="31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qFormat/>
    <w:uiPriority w:val="0"/>
    <w:rPr>
      <w:rFonts w:ascii="宋体" w:hAnsi="宋体"/>
      <w:b/>
      <w:sz w:val="28"/>
      <w:szCs w:val="28"/>
    </w:rPr>
  </w:style>
  <w:style w:type="paragraph" w:customStyle="1" w:styleId="314">
    <w:name w:val="_Style 2"/>
    <w:basedOn w:val="1"/>
    <w:qFormat/>
    <w:uiPriority w:val="0"/>
    <w:pPr>
      <w:ind w:firstLine="420" w:firstLineChars="200"/>
    </w:pPr>
  </w:style>
  <w:style w:type="paragraph" w:customStyle="1" w:styleId="315">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qFormat/>
    <w:uiPriority w:val="0"/>
  </w:style>
  <w:style w:type="paragraph" w:customStyle="1" w:styleId="317">
    <w:name w:val="Char Char Char Char Char Char Char Char Char1"/>
    <w:basedOn w:val="1"/>
    <w:qFormat/>
    <w:uiPriority w:val="0"/>
    <w:rPr>
      <w:sz w:val="28"/>
    </w:rPr>
  </w:style>
  <w:style w:type="paragraph" w:customStyle="1" w:styleId="31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qFormat/>
    <w:uiPriority w:val="0"/>
    <w:pPr>
      <w:numPr>
        <w:ilvl w:val="3"/>
        <w:numId w:val="9"/>
      </w:numPr>
      <w:spacing w:before="60"/>
    </w:pPr>
  </w:style>
  <w:style w:type="paragraph" w:customStyle="1" w:styleId="325">
    <w:name w:val="特点标题"/>
    <w:basedOn w:val="1"/>
    <w:next w:val="41"/>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qFormat/>
    <w:uiPriority w:val="0"/>
    <w:pPr>
      <w:spacing w:line="360" w:lineRule="auto"/>
      <w:ind w:firstLine="482"/>
    </w:pPr>
    <w:rPr>
      <w:rFonts w:cs="宋体"/>
      <w:sz w:val="24"/>
      <w:szCs w:val="20"/>
    </w:rPr>
  </w:style>
  <w:style w:type="paragraph" w:customStyle="1" w:styleId="33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qFormat/>
    <w:uiPriority w:val="0"/>
    <w:pPr>
      <w:spacing w:line="360" w:lineRule="auto"/>
    </w:pPr>
    <w:rPr>
      <w:rFonts w:ascii="宋体" w:hAnsi="宋体"/>
      <w:sz w:val="24"/>
    </w:rPr>
  </w:style>
  <w:style w:type="paragraph" w:styleId="33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qFormat/>
    <w:uiPriority w:val="0"/>
    <w:pPr>
      <w:widowControl/>
      <w:spacing w:before="150" w:after="150"/>
      <w:jc w:val="left"/>
    </w:pPr>
    <w:rPr>
      <w:rFonts w:ascii="宋体" w:hAnsi="宋体" w:cs="宋体"/>
      <w:kern w:val="0"/>
      <w:sz w:val="24"/>
    </w:rPr>
  </w:style>
  <w:style w:type="paragraph" w:customStyle="1" w:styleId="339">
    <w:name w:val="font9"/>
    <w:basedOn w:val="1"/>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qFormat/>
    <w:uiPriority w:val="0"/>
    <w:pPr>
      <w:widowControl/>
      <w:spacing w:before="150" w:after="150"/>
      <w:jc w:val="left"/>
    </w:pPr>
    <w:rPr>
      <w:rFonts w:ascii="宋体" w:hAnsi="宋体" w:cs="宋体"/>
      <w:kern w:val="0"/>
      <w:sz w:val="24"/>
    </w:rPr>
  </w:style>
  <w:style w:type="paragraph" w:customStyle="1" w:styleId="342">
    <w:name w:val="列表数字1"/>
    <w:next w:val="50"/>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qFormat/>
    <w:uiPriority w:val="0"/>
    <w:pPr>
      <w:numPr>
        <w:ilvl w:val="0"/>
        <w:numId w:val="20"/>
      </w:numPr>
      <w:jc w:val="left"/>
    </w:pPr>
  </w:style>
  <w:style w:type="paragraph" w:customStyle="1" w:styleId="34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50"/>
    <w:qFormat/>
    <w:uiPriority w:val="0"/>
    <w:pPr>
      <w:spacing w:after="0" w:line="360" w:lineRule="auto"/>
      <w:ind w:firstLine="200" w:firstLineChars="200"/>
    </w:pPr>
    <w:rPr>
      <w:sz w:val="24"/>
      <w:szCs w:val="24"/>
    </w:rPr>
  </w:style>
  <w:style w:type="paragraph" w:customStyle="1" w:styleId="347">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45</Pages>
  <Words>4839</Words>
  <Characters>27583</Characters>
  <Lines>229</Lines>
  <Paragraphs>64</Paragraphs>
  <TotalTime>7</TotalTime>
  <ScaleCrop>false</ScaleCrop>
  <LinksUpToDate>false</LinksUpToDate>
  <CharactersWithSpaces>32358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业信</cp:lastModifiedBy>
  <cp:lastPrinted>2017-03-06T09:32:00Z</cp:lastPrinted>
  <dcterms:modified xsi:type="dcterms:W3CDTF">2021-09-02T06:29:32Z</dcterms:modified>
  <dc:title>货物公开招标</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F695CC53363F4A56B4E9D58D43024BE5</vt:lpwstr>
  </property>
</Properties>
</file>