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6"/>
        <w:widowControl/>
        <w:adjustRightInd w:val="0"/>
        <w:snapToGrid w:val="0"/>
        <w:spacing w:line="360" w:lineRule="auto"/>
        <w:jc w:val="center"/>
        <w:rPr>
          <w:rFonts w:hint="eastAsia"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6"/>
        <w:widowControl/>
        <w:adjustRightInd w:val="0"/>
        <w:snapToGrid w:val="0"/>
        <w:spacing w:line="360" w:lineRule="auto"/>
        <w:jc w:val="center"/>
        <w:rPr>
          <w:rFonts w:hint="eastAsia" w:hAnsi="宋体" w:eastAsia="宋体"/>
          <w:b/>
          <w:bCs/>
          <w:color w:val="000000" w:themeColor="text1"/>
          <w:sz w:val="52"/>
          <w:szCs w:val="52"/>
          <w:highlight w:val="none"/>
          <w:lang w:eastAsia="zh-CN"/>
          <w14:textFill>
            <w14:solidFill>
              <w14:schemeClr w14:val="tx1"/>
            </w14:solidFill>
          </w14:textFill>
        </w:rPr>
      </w:pPr>
      <w:r>
        <w:rPr>
          <w:rFonts w:hint="eastAsia" w:hAnsi="宋体"/>
          <w:b/>
          <w:bCs/>
          <w:color w:val="000000" w:themeColor="text1"/>
          <w:sz w:val="52"/>
          <w:szCs w:val="52"/>
          <w:highlight w:val="none"/>
          <w:lang w:eastAsia="zh-CN"/>
          <w14:textFill>
            <w14:solidFill>
              <w14:schemeClr w14:val="tx1"/>
            </w14:solidFill>
          </w14:textFill>
        </w:rPr>
        <w:t>（</w:t>
      </w:r>
      <w:r>
        <w:rPr>
          <w:rFonts w:hint="eastAsia" w:hAnsi="宋体"/>
          <w:b/>
          <w:bCs/>
          <w:color w:val="000000" w:themeColor="text1"/>
          <w:sz w:val="52"/>
          <w:szCs w:val="52"/>
          <w:highlight w:val="none"/>
          <w:lang w:val="en-US" w:eastAsia="zh-CN"/>
          <w14:textFill>
            <w14:solidFill>
              <w14:schemeClr w14:val="tx1"/>
            </w14:solidFill>
          </w14:textFill>
        </w:rPr>
        <w:t>论证版</w:t>
      </w:r>
      <w:r>
        <w:rPr>
          <w:rFonts w:hint="eastAsia" w:hAnsi="宋体"/>
          <w:b/>
          <w:bCs/>
          <w:color w:val="000000" w:themeColor="text1"/>
          <w:sz w:val="52"/>
          <w:szCs w:val="52"/>
          <w:highlight w:val="none"/>
          <w:lang w:eastAsia="zh-CN"/>
          <w14:textFill>
            <w14:solidFill>
              <w14:schemeClr w14:val="tx1"/>
            </w14:solidFill>
          </w14:textFill>
        </w:rPr>
        <w:t>）</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32"/>
          <w:szCs w:val="3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36"/>
          <w:szCs w:val="36"/>
          <w:highlight w:val="none"/>
          <w14:textFill>
            <w14:solidFill>
              <w14:schemeClr w14:val="tx1"/>
            </w14:solidFill>
          </w14:textFill>
        </w:rPr>
      </w:pPr>
    </w:p>
    <w:tbl>
      <w:tblPr>
        <w:tblStyle w:val="51"/>
        <w:tblW w:w="9752" w:type="dxa"/>
        <w:tblInd w:w="0" w:type="dxa"/>
        <w:tblLayout w:type="fixed"/>
        <w:tblCellMar>
          <w:top w:w="0" w:type="dxa"/>
          <w:left w:w="108" w:type="dxa"/>
          <w:bottom w:w="0" w:type="dxa"/>
          <w:right w:w="108" w:type="dxa"/>
        </w:tblCellMar>
      </w:tblPr>
      <w:tblGrid>
        <w:gridCol w:w="1951"/>
        <w:gridCol w:w="284"/>
        <w:gridCol w:w="7517"/>
      </w:tblGrid>
      <w:tr>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YXCG-20210812</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阳江市公安局阳东分局交通违法及事故车辆拖车、保管项目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eastAsia="zh-CN"/>
          <w14:textFill>
            <w14:solidFill>
              <w14:schemeClr w14:val="tx1"/>
            </w14:solidFill>
          </w14:textFill>
        </w:rPr>
        <w:t>二一</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eastAsia="zh-CN"/>
          <w14:textFill>
            <w14:solidFill>
              <w14:schemeClr w14:val="tx1"/>
            </w14:solidFill>
          </w14:textFill>
        </w:rPr>
        <w:t>八</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709" w:hanging="709"/>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磋商响应文件</w:t>
      </w:r>
      <w:r>
        <w:rPr>
          <w:rFonts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_Toc21489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_Toc8356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_Toc10900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YXCG-20210812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_Toc7004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阳江市公安局阳东分局交通违法及事故车辆拖车、保管项目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_Toc16682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_Toc15226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_Toc19660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一、项目</w:t>
      </w:r>
      <w:r>
        <w:rPr>
          <w:rFonts w:hint="eastAsia" w:ascii="宋体" w:hAnsi="宋体" w:eastAsia="宋体" w:cs="宋体"/>
          <w:color w:val="000000" w:themeColor="text1"/>
          <w:szCs w:val="2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_Toc3521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_Toc19217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_Toc13766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_Toc25646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_Toc18960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_Toc15971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_Toc13609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_Toc24520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_Toc6483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_Toc3305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_Toc11314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_Toc4134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_Toc20238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_Toc20108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_Toc25939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第六部分磋商响应文件格式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_Toc26138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_Toc5851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_Toc9221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_Toc13362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_Toc23260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_Toc9911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_Toc28161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_Toc18862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_Toc19404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_Toc23729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_Toc8248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_Toc32562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_Toc3324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_Toc11188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_Toc25317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_Toc7361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_Toc30484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9019954"/>
      <w:bookmarkStart w:id="2" w:name="_Toc330459945"/>
      <w:bookmarkStart w:id="3" w:name="_Toc336681537"/>
      <w:bookmarkStart w:id="4" w:name="_Toc333238571"/>
      <w:bookmarkStart w:id="5" w:name="_Toc331512856"/>
      <w:bookmarkStart w:id="6" w:name="_Toc365985108"/>
      <w:bookmarkStart w:id="7" w:name="_Toc345513762"/>
      <w:bookmarkStart w:id="8" w:name="_Toc333237723"/>
      <w:bookmarkStart w:id="9" w:name="_Toc337632315"/>
      <w:bookmarkStart w:id="10" w:name="_Toc350438702"/>
      <w:bookmarkStart w:id="11" w:name="_Toc332206657"/>
      <w:bookmarkStart w:id="12" w:name="_Toc365967002"/>
      <w:bookmarkStart w:id="13" w:name="_Toc333935278"/>
      <w:bookmarkStart w:id="14" w:name="_Toc21489"/>
      <w:bookmarkStart w:id="15" w:name="_Toc340672830"/>
      <w:bookmarkStart w:id="16" w:name="_Toc336681892"/>
      <w:bookmarkStart w:id="17" w:name="_Toc340507403"/>
      <w:bookmarkStart w:id="18" w:name="_Toc339441044"/>
      <w:bookmarkStart w:id="19" w:name="_Toc333237612"/>
      <w:bookmarkStart w:id="20" w:name="_Toc349143546"/>
      <w:bookmarkStart w:id="21" w:name="_Toc340677031"/>
      <w:bookmarkStart w:id="22" w:name="_Toc342296708"/>
      <w:bookmarkStart w:id="23" w:name="_Toc332270305"/>
      <w:bookmarkStart w:id="24" w:name="_Toc339019828"/>
      <w:bookmarkStart w:id="25" w:name="_Toc350756403"/>
      <w:bookmarkStart w:id="26" w:name="_Toc341348291"/>
      <w:bookmarkStart w:id="27" w:name="_Toc333935619"/>
      <w:bookmarkStart w:id="28" w:name="_Toc349127583"/>
      <w:bookmarkStart w:id="29" w:name="_Toc339020186"/>
      <w:bookmarkStart w:id="30" w:name="_Toc339362257"/>
      <w:bookmarkStart w:id="31" w:name="_Toc339020048"/>
      <w:bookmarkStart w:id="32" w:name="_Toc342060322"/>
      <w:bookmarkStart w:id="33" w:name="_Toc366072457"/>
      <w:bookmarkStart w:id="34" w:name="_Toc331683994"/>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阳江市公安局阳东分局交通违法及事故车辆拖车、保管项目</w:t>
      </w:r>
      <w:r>
        <w:rPr>
          <w:rFonts w:hint="eastAsia" w:ascii="宋体" w:hAnsi="宋体"/>
          <w:bCs/>
          <w:color w:val="000000" w:themeColor="text1"/>
          <w:highlight w:val="none"/>
          <w14:textFill>
            <w14:solidFill>
              <w14:schemeClr w14:val="tx1"/>
            </w14:solidFill>
          </w14:textFill>
        </w:rPr>
        <w:t>进行竞争性磋商 (项目编号:</w:t>
      </w:r>
      <w:r>
        <w:rPr>
          <w:rFonts w:hint="eastAsia" w:ascii="宋体" w:hAnsi="宋体"/>
          <w:bCs/>
          <w:color w:val="000000" w:themeColor="text1"/>
          <w:highlight w:val="none"/>
          <w:lang w:eastAsia="zh-CN"/>
          <w14:textFill>
            <w14:solidFill>
              <w14:schemeClr w14:val="tx1"/>
            </w14:solidFill>
          </w14:textFill>
        </w:rPr>
        <w:t>YXCG-20210812</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阳江市公安局阳东分局交通违法及事故车辆拖车、保管项目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YXCG-20210812</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lang w:val="en-US" w:eastAsia="zh-CN"/>
          <w14:textFill>
            <w14:solidFill>
              <w14:schemeClr w14:val="tx1"/>
            </w14:solidFill>
          </w14:textFill>
        </w:rPr>
        <w:t>3900000.00元，每年1300000.00元，共3年。</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超出该上限的投标报价将作为无效投标处理）</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5.服务期：自合同签订之日起3年</w:t>
      </w:r>
      <w:r>
        <w:rPr>
          <w:rFonts w:hint="eastAsia" w:ascii="宋体" w:hAnsi="宋体"/>
          <w:bCs/>
          <w:color w:val="000000" w:themeColor="text1"/>
          <w:szCs w:val="21"/>
          <w:highlight w:val="none"/>
          <w:lang w:eastAsia="zh-CN"/>
          <w14:textFill>
            <w14:solidFill>
              <w14:schemeClr w14:val="tx1"/>
            </w14:solidFill>
          </w14:textFill>
        </w:rPr>
        <w:t>，20</w:t>
      </w:r>
      <w:r>
        <w:rPr>
          <w:rFonts w:hint="eastAsia" w:ascii="宋体" w:hAnsi="宋体"/>
          <w:bCs/>
          <w:color w:val="000000" w:themeColor="text1"/>
          <w:szCs w:val="21"/>
          <w:highlight w:val="none"/>
          <w:lang w:val="en-US" w:eastAsia="zh-CN"/>
          <w14:textFill>
            <w14:solidFill>
              <w14:schemeClr w14:val="tx1"/>
            </w14:solidFill>
          </w14:textFill>
        </w:rPr>
        <w:t>21</w:t>
      </w:r>
      <w:r>
        <w:rPr>
          <w:rFonts w:hint="eastAsia" w:ascii="宋体" w:hAnsi="宋体"/>
          <w:bCs/>
          <w:color w:val="000000" w:themeColor="text1"/>
          <w:szCs w:val="21"/>
          <w:highlight w:val="none"/>
          <w:lang w:eastAsia="zh-CN"/>
          <w14:textFill>
            <w14:solidFill>
              <w14:schemeClr w14:val="tx1"/>
            </w14:solidFill>
          </w14:textFill>
        </w:rPr>
        <w:t>-202</w:t>
      </w: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lang w:eastAsia="zh-CN"/>
          <w14:textFill>
            <w14:solidFill>
              <w14:schemeClr w14:val="tx1"/>
            </w14:solidFill>
          </w14:textFill>
        </w:rPr>
        <w:t>年三个年度。在此轮服务期限内，</w:t>
      </w:r>
      <w:r>
        <w:rPr>
          <w:rFonts w:hint="eastAsia" w:ascii="宋体" w:hAnsi="宋体"/>
          <w:bCs/>
          <w:color w:val="000000" w:themeColor="text1"/>
          <w:szCs w:val="21"/>
          <w:highlight w:val="none"/>
          <w:lang w:val="en-US" w:eastAsia="zh-CN"/>
          <w14:textFill>
            <w14:solidFill>
              <w14:schemeClr w14:val="tx1"/>
            </w14:solidFill>
          </w14:textFill>
        </w:rPr>
        <w:t>中标</w:t>
      </w:r>
      <w:r>
        <w:rPr>
          <w:rFonts w:hint="eastAsia" w:ascii="宋体" w:hAnsi="宋体"/>
          <w:bCs/>
          <w:color w:val="000000" w:themeColor="text1"/>
          <w:szCs w:val="21"/>
          <w:highlight w:val="none"/>
          <w:lang w:eastAsia="zh-CN"/>
          <w14:textFill>
            <w14:solidFill>
              <w14:schemeClr w14:val="tx1"/>
            </w14:solidFill>
          </w14:textFill>
        </w:rPr>
        <w:t>供应商须根据要求，做好相应的安排。</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少于</w:t>
      </w:r>
      <w:r>
        <w:rPr>
          <w:rFonts w:hint="eastAsia" w:ascii="宋体" w:hAnsi="宋体"/>
          <w:bCs/>
          <w:color w:val="000000" w:themeColor="text1"/>
          <w:szCs w:val="21"/>
          <w:highlight w:val="none"/>
          <w14:textFill>
            <w14:solidFill>
              <w14:schemeClr w14:val="tx1"/>
            </w14:solidFill>
          </w14:textFill>
        </w:rPr>
        <w:t>该服务期将作为无效投标处理）。</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投标人须是中华人民共和国境内合法注册，能独立承担民事责任并具有相关经营范围（包括拖车，吊车，停车保管服务等）的法人或其他组织；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2021年8月27日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2021年8月27日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w:t>
      </w:r>
      <w:r>
        <w:rPr>
          <w:rFonts w:hint="eastAsia" w:ascii="宋体" w:hAnsi="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8"/>
          <w:rFonts w:hint="eastAsia" w:ascii="宋体" w:hAnsi="宋体"/>
          <w:bCs/>
          <w:color w:val="000000" w:themeColor="text1"/>
          <w:szCs w:val="21"/>
          <w:highlight w:val="none"/>
          <w14:textFill>
            <w14:solidFill>
              <w14:schemeClr w14:val="tx1"/>
            </w14:solidFill>
          </w14:textFill>
        </w:rPr>
        <w:t>http://www.yjcg.cc</w:t>
      </w:r>
      <w:r>
        <w:rPr>
          <w:rStyle w:val="58"/>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2021年9月1日</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2021年9月1日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3.递交磋商响应文件地点、开标地点：阳江市江城区康泰路60号四楼开标室。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阳江市公安局阳东分局</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址：阳江市阳东区始兴北路22号</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黄敏纳</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0662-6635985</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bookmarkStart w:id="383" w:name="_GoBack"/>
      <w:bookmarkEnd w:id="383"/>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58"/>
          <w:rFonts w:ascii="宋体" w:hAnsi="宋体"/>
          <w:bCs/>
          <w:color w:val="000000" w:themeColor="text1"/>
          <w:highlight w:val="none"/>
          <w14:textFill>
            <w14:solidFill>
              <w14:schemeClr w14:val="tx1"/>
            </w14:solidFill>
          </w14:textFill>
        </w:rPr>
        <w:t>http://www.</w:t>
      </w:r>
      <w:r>
        <w:rPr>
          <w:rStyle w:val="58"/>
          <w:rFonts w:hint="eastAsia" w:ascii="宋体" w:hAnsi="宋体"/>
          <w:bCs/>
          <w:color w:val="000000" w:themeColor="text1"/>
          <w:highlight w:val="none"/>
          <w14:textFill>
            <w14:solidFill>
              <w14:schemeClr w14:val="tx1"/>
            </w14:solidFill>
          </w14:textFill>
        </w:rPr>
        <w:t>yjcg</w:t>
      </w:r>
      <w:r>
        <w:rPr>
          <w:rStyle w:val="58"/>
          <w:rFonts w:ascii="宋体" w:hAnsi="宋体"/>
          <w:bCs/>
          <w:color w:val="000000" w:themeColor="text1"/>
          <w:highlight w:val="none"/>
          <w14:textFill>
            <w14:solidFill>
              <w14:schemeClr w14:val="tx1"/>
            </w14:solidFill>
          </w14:textFill>
        </w:rPr>
        <w:t>.</w:t>
      </w:r>
      <w:r>
        <w:rPr>
          <w:rStyle w:val="58"/>
          <w:rFonts w:hint="eastAsia" w:ascii="宋体" w:hAnsi="宋体"/>
          <w:bCs/>
          <w:color w:val="000000" w:themeColor="text1"/>
          <w:highlight w:val="none"/>
          <w14:textFill>
            <w14:solidFill>
              <w14:schemeClr w14:val="tx1"/>
            </w14:solidFill>
          </w14:textFill>
        </w:rPr>
        <w:t>cc</w:t>
      </w:r>
      <w:r>
        <w:rPr>
          <w:rStyle w:val="58"/>
          <w:rFonts w:hint="eastAsia" w:ascii="宋体" w:hAnsi="宋体"/>
          <w:bCs/>
          <w:color w:val="000000" w:themeColor="text1"/>
          <w:highlight w:val="none"/>
          <w14:textFill>
            <w14:solidFill>
              <w14:schemeClr w14:val="tx1"/>
            </w14:solidFill>
          </w14:textFill>
        </w:rPr>
        <w:fldChar w:fldCharType="end"/>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b/>
          <w:color w:val="000000" w:themeColor="text1"/>
          <w:highlight w:val="none"/>
          <w14:textFill>
            <w14:solidFill>
              <w14:schemeClr w14:val="tx1"/>
            </w14:solidFill>
          </w14:textFill>
        </w:rPr>
      </w:pPr>
      <w:bookmarkStart w:id="37" w:name="_Toc336681538"/>
      <w:bookmarkStart w:id="38" w:name="_Toc333238572"/>
      <w:bookmarkStart w:id="39" w:name="_Toc339441045"/>
      <w:bookmarkStart w:id="40" w:name="_Toc339362258"/>
      <w:bookmarkStart w:id="41" w:name="_Toc342060323"/>
      <w:bookmarkStart w:id="42" w:name="_Toc349127584"/>
      <w:bookmarkStart w:id="43" w:name="_Toc365967003"/>
      <w:bookmarkStart w:id="44" w:name="_Toc337632316"/>
      <w:bookmarkStart w:id="45" w:name="_Toc332206658"/>
      <w:bookmarkStart w:id="46" w:name="_Toc340677032"/>
      <w:bookmarkStart w:id="47" w:name="_Toc333935279"/>
      <w:bookmarkStart w:id="48" w:name="_Toc339019955"/>
      <w:bookmarkStart w:id="49" w:name="_Toc333935620"/>
      <w:bookmarkStart w:id="50" w:name="_Toc340507404"/>
      <w:bookmarkStart w:id="51" w:name="_Toc349143547"/>
      <w:bookmarkStart w:id="52" w:name="_Toc339020187"/>
      <w:bookmarkStart w:id="53" w:name="_Toc366072458"/>
      <w:bookmarkStart w:id="54" w:name="_Toc342296709"/>
      <w:bookmarkStart w:id="55" w:name="_Toc345513763"/>
      <w:bookmarkStart w:id="56" w:name="_Toc350756404"/>
      <w:bookmarkStart w:id="57" w:name="_Toc336681893"/>
      <w:bookmarkStart w:id="58" w:name="_Toc333237613"/>
      <w:bookmarkStart w:id="59" w:name="_Toc331512857"/>
      <w:bookmarkStart w:id="60" w:name="_Toc350438703"/>
      <w:bookmarkStart w:id="61" w:name="_Toc330459946"/>
      <w:bookmarkStart w:id="62" w:name="_Toc340672831"/>
      <w:bookmarkStart w:id="63" w:name="_Toc332270306"/>
      <w:bookmarkStart w:id="64" w:name="_Toc331683995"/>
      <w:bookmarkStart w:id="65" w:name="_Toc333237724"/>
      <w:bookmarkStart w:id="66" w:name="_Toc341348292"/>
      <w:bookmarkStart w:id="67" w:name="_Toc365985109"/>
      <w:bookmarkStart w:id="68" w:name="_Toc339019829"/>
      <w:bookmarkStart w:id="69" w:name="_Toc339020049"/>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2021年8月20日</w:t>
      </w:r>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8356"/>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725"/>
      <w:bookmarkStart w:id="75" w:name="_Toc333237614"/>
      <w:bookmarkStart w:id="76" w:name="_Toc333935621"/>
      <w:bookmarkStart w:id="77" w:name="_Toc75570886"/>
      <w:bookmarkStart w:id="78" w:name="_Toc333935280"/>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1"/>
          <w:numId w:val="0"/>
        </w:numPr>
        <w:spacing w:beforeLines="150" w:after="0" w:line="360" w:lineRule="auto"/>
        <w:jc w:val="left"/>
        <w:rPr>
          <w:rFonts w:hint="eastAsia" w:ascii="宋体" w:hAnsi="宋体" w:eastAsia="宋体"/>
          <w:color w:val="000000" w:themeColor="text1"/>
          <w:sz w:val="21"/>
          <w:szCs w:val="21"/>
          <w:highlight w:val="none"/>
          <w:lang w:eastAsia="zh-CN"/>
          <w14:textFill>
            <w14:solidFill>
              <w14:schemeClr w14:val="tx1"/>
            </w14:solidFill>
          </w14:textFill>
        </w:rPr>
      </w:pPr>
      <w:bookmarkStart w:id="79" w:name="_Toc10900"/>
      <w:bookmarkStart w:id="80" w:name="_Toc349143556"/>
      <w:bookmarkStart w:id="81" w:name="_Toc333935313"/>
      <w:bookmarkStart w:id="82" w:name="_Toc333238600"/>
      <w:bookmarkStart w:id="83" w:name="_Toc365985146"/>
      <w:bookmarkStart w:id="84" w:name="_Toc341348305"/>
      <w:bookmarkStart w:id="85" w:name="_Toc350438716"/>
      <w:bookmarkStart w:id="86" w:name="_Toc340507409"/>
      <w:bookmarkStart w:id="87" w:name="_Toc349127593"/>
      <w:bookmarkStart w:id="88" w:name="_Toc332270313"/>
      <w:bookmarkStart w:id="89" w:name="_Toc339362267"/>
      <w:bookmarkStart w:id="90" w:name="_Toc339020062"/>
      <w:bookmarkStart w:id="91" w:name="_Toc340677037"/>
      <w:bookmarkStart w:id="92" w:name="_Toc331684005"/>
      <w:bookmarkStart w:id="93" w:name="_Toc342296727"/>
      <w:bookmarkStart w:id="94" w:name="_Toc336681547"/>
      <w:bookmarkStart w:id="95" w:name="_Toc332206675"/>
      <w:bookmarkStart w:id="96" w:name="_Toc331512865"/>
      <w:bookmarkStart w:id="97" w:name="_Toc350756417"/>
      <w:bookmarkStart w:id="98" w:name="_Toc366072495"/>
      <w:bookmarkStart w:id="99" w:name="_Toc342060341"/>
      <w:bookmarkStart w:id="100" w:name="_Toc333237755"/>
      <w:bookmarkStart w:id="101" w:name="_Toc330459952"/>
      <w:bookmarkStart w:id="102" w:name="_Toc365967040"/>
      <w:bookmarkStart w:id="103" w:name="_Toc345513834"/>
      <w:bookmarkStart w:id="104" w:name="_Toc339441054"/>
      <w:bookmarkStart w:id="105" w:name="_Toc339019856"/>
      <w:bookmarkStart w:id="106" w:name="_Toc336681902"/>
      <w:bookmarkStart w:id="107" w:name="_Toc333237644"/>
      <w:bookmarkStart w:id="108" w:name="_Toc339020200"/>
      <w:bookmarkStart w:id="109" w:name="_Toc339019982"/>
      <w:bookmarkStart w:id="110" w:name="_Toc333935654"/>
      <w:bookmarkStart w:id="111" w:name="_Toc340672836"/>
      <w:bookmarkStart w:id="112" w:name="_Toc337632325"/>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YXCG-20210812</w:t>
      </w:r>
      <w:bookmarkEnd w:id="79"/>
    </w:p>
    <w:p>
      <w:pPr>
        <w:pStyle w:val="5"/>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7004"/>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阳江市公安局阳东分局交通违法及事故车辆拖车、保管项目</w:t>
      </w:r>
      <w:bookmarkEnd w:id="113"/>
    </w:p>
    <w:p>
      <w:pPr>
        <w:pStyle w:val="5"/>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668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报价应为人民币含税全包价，包括所有的费用。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项目费用结算方式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合同签订生效后，按年度中标价格的1/4，每季度结算一次。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验收标准</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以国家现行相关规范为验收标准。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中标供应商</w:t>
            </w:r>
            <w:r>
              <w:rPr>
                <w:rFonts w:hint="eastAsia"/>
                <w:b/>
                <w:color w:val="000000" w:themeColor="text1"/>
                <w:highlight w:val="none"/>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接到中标通知书后10天内向采购人提供</w:t>
            </w:r>
            <w:r>
              <w:rPr>
                <w:rFonts w:hint="eastAsia" w:ascii="宋体" w:hAnsi="宋体" w:eastAsia="宋体" w:cs="宋体"/>
                <w:color w:val="000000" w:themeColor="text1"/>
                <w:highlight w:val="none"/>
                <w:lang w:eastAsia="zh-CN"/>
                <w14:textFill>
                  <w14:solidFill>
                    <w14:schemeClr w14:val="tx1"/>
                  </w14:solidFill>
                </w14:textFill>
              </w:rPr>
              <w:t>拖</w:t>
            </w:r>
            <w:r>
              <w:rPr>
                <w:rFonts w:hint="eastAsia" w:ascii="宋体" w:hAnsi="宋体" w:eastAsia="宋体" w:cs="宋体"/>
                <w:color w:val="000000" w:themeColor="text1"/>
                <w:highlight w:val="none"/>
                <w14:textFill>
                  <w14:solidFill>
                    <w14:schemeClr w14:val="tx1"/>
                  </w14:solidFill>
                </w14:textFill>
              </w:rPr>
              <w:t>车服务的拯救车辆的行驶证复印件。</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车辆为租赁的，</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须承诺于接到中标通知书10天内提交期限为覆盖合同服务期的车辆租赁合同原件及车辆行驶证复印件。</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提供失效或不真实证件的，视为</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自动放弃中标资格，采购人有权向该</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追讨因此造成的一切损失和依法追究其法律责任。</w:t>
            </w:r>
          </w:p>
          <w:p>
            <w:pPr>
              <w:spacing w:line="320" w:lineRule="exac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未能在规定的期限内按以上规定提交相关证件的，采购人有权向监督部门汇报取消其中标资格，由第二中标候选人作为该项目的</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管理及监督</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采购人协助</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进行相关服务工作。采购人将派专人监督响应供应商相关服务工作标准，并有权不定期对</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的相关服务工作进行满意度调查。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工作人员必须 24 小时全天候值班，在</w:t>
            </w:r>
            <w:r>
              <w:rPr>
                <w:rFonts w:hint="eastAsia" w:ascii="宋体" w:hAnsi="宋体" w:eastAsia="宋体" w:cs="宋体"/>
                <w:color w:val="000000" w:themeColor="text1"/>
                <w:sz w:val="21"/>
                <w:szCs w:val="21"/>
                <w:highlight w:val="none"/>
                <w14:textFill>
                  <w14:solidFill>
                    <w14:schemeClr w14:val="tx1"/>
                  </w14:solidFill>
                </w14:textFill>
              </w:rPr>
              <w:t>接到拖车通知后，</w:t>
            </w:r>
            <w:r>
              <w:rPr>
                <w:rFonts w:hint="eastAsia" w:ascii="宋体" w:hAnsi="宋体" w:cs="宋体"/>
                <w:color w:val="000000" w:themeColor="text1"/>
                <w:sz w:val="21"/>
                <w:szCs w:val="21"/>
                <w:highlight w:val="none"/>
                <w:lang w:val="en-US" w:eastAsia="zh-CN"/>
                <w14:textFill>
                  <w14:solidFill>
                    <w14:schemeClr w14:val="tx1"/>
                  </w14:solidFill>
                </w14:textFill>
              </w:rPr>
              <w:t>阳东城区2</w:t>
            </w:r>
            <w:r>
              <w:rPr>
                <w:rFonts w:hint="eastAsia" w:ascii="宋体" w:hAnsi="宋体" w:eastAsia="宋体" w:cs="宋体"/>
                <w:color w:val="000000" w:themeColor="text1"/>
                <w:sz w:val="21"/>
                <w:szCs w:val="21"/>
                <w:highlight w:val="none"/>
                <w14:textFill>
                  <w14:solidFill>
                    <w14:schemeClr w14:val="tx1"/>
                  </w14:solidFill>
                </w14:textFill>
              </w:rPr>
              <w:t>0分钟、村庄偏僻路段</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分钟内赶到现场提供</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w:t>
            </w:r>
            <w:r>
              <w:rPr>
                <w:rFonts w:hint="eastAsia"/>
                <w:color w:val="000000" w:themeColor="text1"/>
                <w:highlight w:val="none"/>
                <w:lang w:val="en-US" w:eastAsia="zh-CN"/>
                <w14:textFill>
                  <w14:solidFill>
                    <w14:schemeClr w14:val="tx1"/>
                  </w14:solidFill>
                </w14:textFill>
              </w:rPr>
              <w:t>，超过规定时间未能到达现场的，每次按合同金额的千分之一罚款，超过三次终止合同。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eastAsia="宋体"/>
                <w:b/>
                <w:color w:val="000000" w:themeColor="text1"/>
                <w:highlight w:val="none"/>
                <w:lang w:eastAsia="zh-CN"/>
                <w14:textFill>
                  <w14:solidFill>
                    <w14:schemeClr w14:val="tx1"/>
                  </w14:solidFill>
                </w14:textFill>
              </w:rPr>
            </w:pPr>
            <w:r>
              <w:rPr>
                <w:rFonts w:hint="eastAsia" w:ascii="宋体"/>
                <w:b/>
                <w:color w:val="000000" w:themeColor="text1"/>
                <w:highlight w:val="none"/>
                <w:lang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在中标后的整个作业期间，中标供应商应当做好以下工作：</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1）中标供应商为所有作业人员提供安全作业所需的一切设备，确保作业人员人身安全，并要求作业人员按相关规定做好安全防范措施下作业。中标供应商在整个作业期间含上下班期间，若发生作业人员意外伤残、身及财物或其它损失的，无论何种原因所致，采购人均不负责。 </w:t>
            </w:r>
          </w:p>
          <w:p>
            <w:pPr>
              <w:spacing w:line="320" w:lineRule="exact"/>
              <w:rPr>
                <w:rFonts w:hint="default" w:ascii="宋体" w:hAnsi="宋体"/>
                <w:b/>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（2）中标供应商应当定期召开作业人员工作会议，邀请采购人代表人参加，听取采购人的建议和意见，以及作业期间存在的问题，并提出改进意见。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叁万玖仟元整</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39</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jc w:val="both"/>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5"/>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15226"/>
      <w:r>
        <w:rPr>
          <w:rFonts w:hint="eastAsia" w:ascii="宋体" w:hAnsi="宋体"/>
          <w:color w:val="000000" w:themeColor="text1"/>
          <w:kern w:val="0"/>
          <w:sz w:val="24"/>
          <w:highlight w:val="none"/>
          <w14:textFill>
            <w14:solidFill>
              <w14:schemeClr w14:val="tx1"/>
            </w14:solidFill>
          </w14:textFill>
        </w:rPr>
        <w:t>B  技术要求</w:t>
      </w:r>
      <w:bookmarkEnd w:id="115"/>
    </w:p>
    <w:p>
      <w:pPr>
        <w:keepNext w:val="0"/>
        <w:keepLines w:val="0"/>
        <w:pageBreakBefore w:val="0"/>
        <w:widowControl w:val="0"/>
        <w:numPr>
          <w:ilvl w:val="0"/>
          <w:numId w:val="0"/>
        </w:numPr>
        <w:tabs>
          <w:tab w:val="left" w:pos="426"/>
        </w:tabs>
        <w:kinsoku/>
        <w:wordWrap/>
        <w:overflowPunct/>
        <w:topLinePunct w:val="0"/>
        <w:autoSpaceDE/>
        <w:autoSpaceDN/>
        <w:bidi w:val="0"/>
        <w:snapToGrid w:val="0"/>
        <w:spacing w:before="120" w:beforeLines="50" w:line="360" w:lineRule="auto"/>
        <w:ind w:leftChars="0"/>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116" w:name="_Toc19660"/>
      <w:r>
        <w:rPr>
          <w:rFonts w:hint="eastAsia" w:ascii="宋体" w:hAnsi="宋体" w:eastAsia="宋体" w:cs="宋体"/>
          <w:b/>
          <w:color w:val="000000" w:themeColor="text1"/>
          <w:sz w:val="21"/>
          <w:szCs w:val="21"/>
          <w:highlight w:val="none"/>
          <w:lang w:val="en-US" w:eastAsia="zh-CN"/>
          <w14:textFill>
            <w14:solidFill>
              <w14:schemeClr w14:val="tx1"/>
            </w14:solidFill>
          </w14:textFill>
        </w:rPr>
        <w:t>一、项目</w:t>
      </w:r>
      <w:r>
        <w:rPr>
          <w:rFonts w:hint="eastAsia" w:ascii="宋体" w:hAnsi="宋体" w:eastAsia="宋体" w:cs="宋体"/>
          <w:b/>
          <w:color w:val="000000" w:themeColor="text1"/>
          <w:sz w:val="21"/>
          <w:szCs w:val="21"/>
          <w:highlight w:val="none"/>
          <w14:textFill>
            <w14:solidFill>
              <w14:schemeClr w14:val="tx1"/>
            </w14:solidFill>
          </w14:textFill>
        </w:rPr>
        <w:t>要求</w:t>
      </w:r>
      <w:bookmarkEnd w:id="116"/>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须按服务要求提供足够的车辆，以满足采购人的拖车要求；如遇特大交通事故或自然灾害需要大型拖车的，</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须及时调配或租赁向采购人提供大型拖车满足采购人拯救需求；提供拖车服务的车辆应具有</w:t>
      </w:r>
      <w:r>
        <w:rPr>
          <w:rFonts w:hint="eastAsia" w:ascii="宋体" w:hAnsi="宋体" w:eastAsia="宋体" w:cs="宋体"/>
          <w:b/>
          <w:color w:val="000000" w:themeColor="text1"/>
          <w:sz w:val="21"/>
          <w:szCs w:val="21"/>
          <w:highlight w:val="none"/>
          <w:u w:val="single"/>
          <w14:textFill>
            <w14:solidFill>
              <w14:schemeClr w14:val="tx1"/>
            </w14:solidFill>
          </w14:textFill>
        </w:rPr>
        <w:t>合法、有效、完备</w:t>
      </w:r>
      <w:r>
        <w:rPr>
          <w:rFonts w:hint="eastAsia" w:ascii="宋体" w:hAnsi="宋体" w:eastAsia="宋体" w:cs="宋体"/>
          <w:color w:val="000000" w:themeColor="text1"/>
          <w:sz w:val="21"/>
          <w:szCs w:val="21"/>
          <w:highlight w:val="none"/>
          <w14:textFill>
            <w14:solidFill>
              <w14:schemeClr w14:val="tx1"/>
            </w14:solidFill>
          </w14:textFill>
        </w:rPr>
        <w:t>的证照，状况</w:t>
      </w:r>
      <w:r>
        <w:rPr>
          <w:rFonts w:hint="eastAsia" w:ascii="宋体" w:hAnsi="宋体" w:eastAsia="宋体" w:cs="宋体"/>
          <w:color w:val="000000" w:themeColor="text1"/>
          <w:sz w:val="21"/>
          <w:szCs w:val="21"/>
          <w:highlight w:val="none"/>
          <w:u w:val="none"/>
          <w14:textFill>
            <w14:solidFill>
              <w14:schemeClr w14:val="tx1"/>
            </w14:solidFill>
          </w14:textFill>
        </w:rPr>
        <w:t>良好，配备足够、完好的拖车辅助设备（包括拖车辅助轮等）、通讯工具，确保拖车能力与通信畅通。</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不得提供报废、非法拯救车辆参与拖车作业，违者，采购人有权终止合同，由此造成的一切后果，</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承担全部责任</w:t>
      </w:r>
      <w:r>
        <w:rPr>
          <w:rFonts w:hint="eastAsia" w:ascii="宋体" w:hAnsi="宋体" w:eastAsia="宋体" w:cs="宋体"/>
          <w:bCs/>
          <w:color w:val="000000" w:themeColor="text1"/>
          <w:sz w:val="21"/>
          <w:szCs w:val="21"/>
          <w:highlight w:val="none"/>
          <w:u w:val="none"/>
          <w14:textFill>
            <w14:solidFill>
              <w14:schemeClr w14:val="tx1"/>
            </w14:solidFill>
          </w14:textFill>
        </w:rPr>
        <w:t>。</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提供的车辆，应统一车身颜色、喷涂</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名称和投诉电话，负责拖车服务的作业人员必须统一着装。</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实施拖车作业的每辆车辆，除驾驶员外，应配备不少于2名熟悉业务的作业人</w:t>
      </w:r>
      <w:r>
        <w:rPr>
          <w:rFonts w:hint="eastAsia" w:ascii="宋体" w:hAnsi="宋体" w:eastAsia="宋体" w:cs="宋体"/>
          <w:color w:val="000000" w:themeColor="text1"/>
          <w:sz w:val="21"/>
          <w:szCs w:val="21"/>
          <w:highlight w:val="none"/>
          <w14:textFill>
            <w14:solidFill>
              <w14:schemeClr w14:val="tx1"/>
            </w14:solidFill>
          </w14:textFill>
        </w:rPr>
        <w:t>员，保证拖车的安全和效率；参与拖车作业的人员应听从交通警察的指挥。</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服务期内，</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需对提供拖车服务的车辆进行维修保养、年检等，在原服务车辆不能按时到场服务的情况下，</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须提供同车型、同吨位的备用车辆（具有合法、完备证照），并事前口头上征得采购人同意。</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到达现场提供拖车服务的车辆，必须确保能够承担相应的</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车工作。</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车作业中，必须保护好被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车辆及车上装备、物品和有关痕迹等，因</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不善造成损失的，由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承担全部责任。</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车辆时，严禁发生私藏、占用、窃取公私财物等行为，违者，由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承担一切责任，且采购人有权单方终止合同。</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车作业中发生责任事故，</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须立即通知采购人。如造成被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车辆损失，或对第三者造成损害，</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须承担全部责任。</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应将被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车辆以及车上物品等</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到</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车辆保管场，并做好入场交接登记等手续（交接手续需同时提供纸质版台账和电子版台账备查），违者，采购人有权单方终止合同，造成一切损失由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受采购人调配跨约定服务区域开展</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车服务，其服务要求与本需求要求的一致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另行结算</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投保商业保险的要求</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在服务期内应就</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车辆的具体行为定期购买商业财产保险，</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须对车场购置商业保险。</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购买的财产保险投保及理赔范围应全面，除突发自然灾害、战争等不可抗力因素外，应包括车辆在被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及保管过程中遭到盗抢、火灾（含自燃）、二次交通事故以及其它人为因素造成损失等一切可预见的情况。</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所购的保险理赔时限应在本项目服务有效期内持续有效，若其间发生理赔事故的，应当在投保期限终止前与保险公司续约或重新与其他保险公司签约投保，确保项目合同在有效期内任意时刻的每个车辆保管场所保险理赔金额不少于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00万元。</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发生保险理赔范围内的事故，如保险公司赔付的金额不足以支付</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应当承担的责任，不足部分由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负担，采购人不承担因此导致的任何责任。</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对于商业保险不予理赔的范围及其它情况，</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应向第三方当事人即被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车辆的车主（司机）在所提供的托收票据（一式三联）中予以书面说明，并在实施</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车前给该车主（司机）签字确认（如不能确认的，应注明原因），上述票据应分别交给采购人、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和第三方当事人或代理（处理）人。</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上述1-5款所称商业保险，指</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为第三方当事人即被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车辆的车主（司机）所提供的风险保障，不含</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为自身车辆及装备提供的风险保障；</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自身的风险保障方式由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自行确定，不属于本项目约定的范围。</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交通违法车辆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拖</w:t>
      </w:r>
      <w:r>
        <w:rPr>
          <w:rFonts w:hint="eastAsia" w:ascii="宋体" w:hAnsi="宋体" w:eastAsia="宋体" w:cs="宋体"/>
          <w:b w:val="0"/>
          <w:bCs/>
          <w:color w:val="000000" w:themeColor="text1"/>
          <w:sz w:val="21"/>
          <w:szCs w:val="21"/>
          <w:highlight w:val="none"/>
          <w14:textFill>
            <w14:solidFill>
              <w14:schemeClr w14:val="tx1"/>
            </w14:solidFill>
          </w14:textFill>
        </w:rPr>
        <w:t>车及保管服务要求</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提供全天24小时的交通违法</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车及车辆保管服务，在规定服务时段内，要求</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接到</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车任务通知后，</w:t>
      </w:r>
      <w:r>
        <w:rPr>
          <w:rFonts w:hint="eastAsia" w:ascii="宋体" w:hAnsi="宋体" w:cs="宋体"/>
          <w:color w:val="000000" w:themeColor="text1"/>
          <w:sz w:val="21"/>
          <w:szCs w:val="21"/>
          <w:highlight w:val="none"/>
          <w:lang w:val="en-US" w:eastAsia="zh-CN"/>
          <w14:textFill>
            <w14:solidFill>
              <w14:schemeClr w14:val="tx1"/>
            </w14:solidFill>
          </w14:textFill>
        </w:rPr>
        <w:t>阳东城区2</w:t>
      </w:r>
      <w:r>
        <w:rPr>
          <w:rFonts w:hint="eastAsia" w:ascii="宋体" w:hAnsi="宋体" w:eastAsia="宋体" w:cs="宋体"/>
          <w:color w:val="000000" w:themeColor="text1"/>
          <w:sz w:val="21"/>
          <w:szCs w:val="21"/>
          <w:highlight w:val="none"/>
          <w14:textFill>
            <w14:solidFill>
              <w14:schemeClr w14:val="tx1"/>
            </w14:solidFill>
          </w14:textFill>
        </w:rPr>
        <w:t>0分钟、村庄偏僻路段</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分钟内赶到现场提供</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车服务，配备的每辆</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车辆均需安装卫星定位系统。</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服务区域内的交警中队开展交通整治时，</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应按有关要求提供足够的</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中标供应商拖</w:t>
      </w:r>
      <w:r>
        <w:rPr>
          <w:rFonts w:hint="eastAsia" w:ascii="宋体" w:hAnsi="宋体" w:eastAsia="宋体" w:cs="宋体"/>
          <w:color w:val="000000" w:themeColor="text1"/>
          <w:sz w:val="21"/>
          <w:szCs w:val="21"/>
          <w:highlight w:val="none"/>
          <w14:textFill>
            <w14:solidFill>
              <w14:schemeClr w14:val="tx1"/>
            </w14:solidFill>
          </w14:textFill>
        </w:rPr>
        <w:t>交通违法车辆，必须有交通警察在场并取得委托，违者，采购人有权单方终止合同。</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在提供交通违法</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车及车辆保管服务过程中，不得向交通违法车主（司机）收取任何费用，违者，采购人有权单方终止合同，造成的一切后果由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全部承担。</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交通事故车辆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拖</w:t>
      </w:r>
      <w:r>
        <w:rPr>
          <w:rFonts w:hint="eastAsia" w:ascii="宋体" w:hAnsi="宋体" w:eastAsia="宋体" w:cs="宋体"/>
          <w:b w:val="0"/>
          <w:bCs/>
          <w:color w:val="000000" w:themeColor="text1"/>
          <w:sz w:val="21"/>
          <w:szCs w:val="21"/>
          <w:highlight w:val="none"/>
          <w14:textFill>
            <w14:solidFill>
              <w14:schemeClr w14:val="tx1"/>
            </w14:solidFill>
          </w14:textFill>
        </w:rPr>
        <w:t>车及保管服务要求</w:t>
      </w:r>
    </w:p>
    <w:p>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提供交通事故</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车的车辆必须全天24小时按采购人要求停放在规定的地点。接到拖车通知后，</w:t>
      </w:r>
      <w:r>
        <w:rPr>
          <w:rFonts w:hint="eastAsia" w:ascii="宋体" w:hAnsi="宋体" w:cs="宋体"/>
          <w:color w:val="000000" w:themeColor="text1"/>
          <w:sz w:val="21"/>
          <w:szCs w:val="21"/>
          <w:highlight w:val="none"/>
          <w:lang w:val="en-US" w:eastAsia="zh-CN"/>
          <w14:textFill>
            <w14:solidFill>
              <w14:schemeClr w14:val="tx1"/>
            </w14:solidFill>
          </w14:textFill>
        </w:rPr>
        <w:t>阳东城区2</w:t>
      </w:r>
      <w:r>
        <w:rPr>
          <w:rFonts w:hint="eastAsia" w:ascii="宋体" w:hAnsi="宋体" w:eastAsia="宋体" w:cs="宋体"/>
          <w:color w:val="000000" w:themeColor="text1"/>
          <w:sz w:val="21"/>
          <w:szCs w:val="21"/>
          <w:highlight w:val="none"/>
          <w14:textFill>
            <w14:solidFill>
              <w14:schemeClr w14:val="tx1"/>
            </w14:solidFill>
          </w14:textFill>
        </w:rPr>
        <w:t>0分钟、村庄偏僻路段</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分钟内赶到现场提供</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配备的每辆</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车辆均需安装卫星定位系统。</w:t>
      </w:r>
    </w:p>
    <w:p>
      <w:pPr>
        <w:keepNext w:val="0"/>
        <w:keepLines w:val="0"/>
        <w:pageBreakBefore w:val="0"/>
        <w:widowControl w:val="0"/>
        <w:numPr>
          <w:ilvl w:val="0"/>
          <w:numId w:val="26"/>
        </w:numPr>
        <w:tabs>
          <w:tab w:val="left" w:pos="709"/>
        </w:tabs>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保管服务的场地均需安排专门制作车辆一车一档资料工作人员，确保及时对每日进入车场的车辆制作一车一档（包括对车辆的发动机和车架号进行拓印、车辆外观拍照、编号和登记等工作，要求从车辆进入车场起算48小时内（特殊情况不超过72小时）需完成车辆的一车一档制作，一车一档资料需要同时制作纸质版和电子版（电子版以扫描原件保存即可）。</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其他要求</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中标供应商在拖车作业中，必须保护好被拖车辆及车上装备、物品和有关痕迹等，因拖不善造成损失的，由中标供应商承担全部责任。</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中标供应商在拖车辆时，严禁发生私藏、占用、窃取公私财物等行为，违者，由中标供应商承担一切责任，且采购人有权终止本合同。</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拖车作业中发生责任事故，中标供应商应立即通知采购人。如造成被拖车辆损失，或对第三者造成损害，中标供应商应承担全部责任。</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中标供应商应将被拖车辆以及车上物品等拖到中标供应商车辆保管场，并做好入场交接登记等手续。违者，采购人有权终止本合同，造成一切损失由中标供应商承担。</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应为所有作业人员提供安全作业所需的一切设备，确保作业人员人身安全，并要求作业人员按相关规定做好安全防范措施下作业。若发生作业人员意外、伤残、身及财物或其它损失的，无论何种原因所致，均由中标供应商负责。</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保管场地要求</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所投场地必须位于</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阳江市阳东</w:t>
      </w:r>
      <w:r>
        <w:rPr>
          <w:rFonts w:hint="eastAsia" w:ascii="宋体" w:hAnsi="宋体" w:eastAsia="宋体" w:cs="宋体"/>
          <w:color w:val="000000" w:themeColor="text1"/>
          <w:sz w:val="21"/>
          <w:szCs w:val="21"/>
          <w:highlight w:val="none"/>
          <w14:textFill>
            <w14:solidFill>
              <w14:schemeClr w14:val="tx1"/>
            </w14:solidFill>
          </w14:textFill>
        </w:rPr>
        <w:t>区行政管辖范围内，交通便捷，周围环境较好；并且用采购人交通执法查处违法车辆停车和查扣相关设备专用，不可作为其他单位和个人车辆和物品保管等用途。</w:t>
      </w:r>
    </w:p>
    <w:p>
      <w:pPr>
        <w:keepNext w:val="0"/>
        <w:keepLines w:val="0"/>
        <w:pageBreakBefore w:val="0"/>
        <w:widowControl w:val="0"/>
        <w:numPr>
          <w:ilvl w:val="0"/>
          <w:numId w:val="28"/>
        </w:numPr>
        <w:kinsoku/>
        <w:wordWrap/>
        <w:overflowPunct/>
        <w:topLinePunct w:val="0"/>
        <w:autoSpaceDE/>
        <w:autoSpaceDN/>
        <w:bidi w:val="0"/>
        <w:adjustRightInd/>
        <w:snapToGrid/>
        <w:spacing w:after="120" w:afterLines="0" w:line="360" w:lineRule="auto"/>
        <w:ind w:left="0" w:leftChars="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场地及相关要求</w:t>
      </w:r>
    </w:p>
    <w:p>
      <w:pPr>
        <w:keepNext w:val="0"/>
        <w:keepLines w:val="0"/>
        <w:pageBreakBefore w:val="0"/>
        <w:widowControl w:val="0"/>
        <w:kinsoku/>
        <w:wordWrap/>
        <w:overflowPunct/>
        <w:topLinePunct w:val="0"/>
        <w:autoSpaceDE/>
        <w:autoSpaceDN/>
        <w:bidi w:val="0"/>
        <w:spacing w:line="360" w:lineRule="auto"/>
        <w:ind w:leftChars="0"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停车场的地面必须比较平整，总面积不少于 15000 平方米，且已经做好地基压实工程。</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color w:val="000000" w:themeColor="text1"/>
          <w:kern w:val="0"/>
          <w:highlight w:val="none"/>
          <w:lang w:val="en-US" w:eastAsia="zh-CN"/>
          <w14:textFill>
            <w14:solidFill>
              <w14:schemeClr w14:val="tx1"/>
            </w14:solidFill>
          </w14:textFill>
        </w:rPr>
        <w:t>投标人须在</w:t>
      </w:r>
      <w:r>
        <w:rPr>
          <w:rFonts w:hint="eastAsia" w:ascii="宋体"/>
          <w:color w:val="000000" w:themeColor="text1"/>
          <w:kern w:val="0"/>
          <w:highlight w:val="none"/>
          <w14:textFill>
            <w14:solidFill>
              <w14:schemeClr w14:val="tx1"/>
            </w14:solidFill>
          </w14:textFill>
        </w:rPr>
        <w:t>阳江市阳东区域内设有固定的服务机构以及相应的场地，提供相应房产证或租赁合同复印件；</w:t>
      </w:r>
      <w:r>
        <w:rPr>
          <w:rFonts w:hint="eastAsia" w:ascii="宋体"/>
          <w:color w:val="000000" w:themeColor="text1"/>
          <w:kern w:val="0"/>
          <w:highlight w:val="none"/>
          <w:lang w:val="en-US" w:eastAsia="zh-CN"/>
          <w14:textFill>
            <w14:solidFill>
              <w14:schemeClr w14:val="tx1"/>
            </w14:solidFill>
          </w14:textFill>
        </w:rPr>
        <w:t>如果目前没有在</w:t>
      </w:r>
      <w:r>
        <w:rPr>
          <w:rFonts w:hint="eastAsia" w:ascii="宋体"/>
          <w:color w:val="000000" w:themeColor="text1"/>
          <w:kern w:val="0"/>
          <w:highlight w:val="none"/>
          <w14:textFill>
            <w14:solidFill>
              <w14:schemeClr w14:val="tx1"/>
            </w14:solidFill>
          </w14:textFill>
        </w:rPr>
        <w:t>阳江市阳东区域内设有固定的服务机构以及相应的场地</w:t>
      </w:r>
      <w:r>
        <w:rPr>
          <w:rFonts w:hint="eastAsia" w:ascii="宋体"/>
          <w:color w:val="000000" w:themeColor="text1"/>
          <w:kern w:val="0"/>
          <w:highlight w:val="none"/>
          <w:lang w:val="en-US" w:eastAsia="zh-CN"/>
          <w14:textFill>
            <w14:solidFill>
              <w14:schemeClr w14:val="tx1"/>
            </w14:solidFill>
          </w14:textFill>
        </w:rPr>
        <w:t>的</w:t>
      </w:r>
      <w:r>
        <w:rPr>
          <w:rFonts w:hint="eastAsia" w:ascii="宋体"/>
          <w:color w:val="000000" w:themeColor="text1"/>
          <w:kern w:val="0"/>
          <w:highlight w:val="none"/>
          <w:lang w:eastAsia="zh-CN"/>
          <w14:textFill>
            <w14:solidFill>
              <w14:schemeClr w14:val="tx1"/>
            </w14:solidFill>
          </w14:textFill>
        </w:rPr>
        <w:t>，</w:t>
      </w:r>
      <w:r>
        <w:rPr>
          <w:rFonts w:hint="eastAsia" w:ascii="宋体"/>
          <w:color w:val="000000" w:themeColor="text1"/>
          <w:kern w:val="0"/>
          <w:highlight w:val="none"/>
          <w:lang w:val="en-US" w:eastAsia="zh-CN"/>
          <w14:textFill>
            <w14:solidFill>
              <w14:schemeClr w14:val="tx1"/>
            </w14:solidFill>
          </w14:textFill>
        </w:rPr>
        <w:t>投标人须提供《承诺函》承诺中标通知书发出之日起10日内成立</w:t>
      </w:r>
      <w:r>
        <w:rPr>
          <w:rFonts w:hint="eastAsia" w:ascii="宋体"/>
          <w:color w:val="000000" w:themeColor="text1"/>
          <w:kern w:val="0"/>
          <w:highlight w:val="none"/>
          <w14:textFill>
            <w14:solidFill>
              <w14:schemeClr w14:val="tx1"/>
            </w14:solidFill>
          </w14:textFill>
        </w:rPr>
        <w:t>固定的服务机构以及相应的场地</w:t>
      </w:r>
      <w:r>
        <w:rPr>
          <w:rFonts w:hint="eastAsia" w:ascii="宋体"/>
          <w:color w:val="000000" w:themeColor="text1"/>
          <w:kern w:val="0"/>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停车场必须配备完善的消防设施，确保暂扣车辆的消防安全。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停车场必须建有围墙、门卫室等且 24 小时有人值守，出入口应设有视频监控，且具备防盗功能的设施。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停车场必须配备照明设备，保证 24 小时能够开展工作。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停车场必须设有办公场所，办公面积 100 平方米以上，必须设有资料档案室、价格评估室、人员值班室、宿舍等场所，配备必要的办公设备。 </w:t>
      </w:r>
    </w:p>
    <w:p>
      <w:pPr>
        <w:keepNext w:val="0"/>
        <w:keepLines w:val="0"/>
        <w:pageBreakBefore w:val="0"/>
        <w:widowControl w:val="0"/>
        <w:kinsoku/>
        <w:wordWrap/>
        <w:overflowPunct/>
        <w:topLinePunct w:val="0"/>
        <w:autoSpaceDE/>
        <w:autoSpaceDN/>
        <w:bidi w:val="0"/>
        <w:spacing w:after="120" w:afterLines="0" w:line="360" w:lineRule="auto"/>
        <w:ind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（6）须承诺中标后有配备不少于60吨的地磅。</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7" w:name="_Toc3521"/>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5"/>
        <w:numPr>
          <w:ilvl w:val="1"/>
          <w:numId w:val="0"/>
        </w:numPr>
        <w:rPr>
          <w:rFonts w:ascii="宋体" w:hAnsi="宋体"/>
          <w:color w:val="000000" w:themeColor="text1"/>
          <w:sz w:val="21"/>
          <w:szCs w:val="21"/>
          <w:highlight w:val="none"/>
          <w14:textFill>
            <w14:solidFill>
              <w14:schemeClr w14:val="tx1"/>
            </w14:solidFill>
          </w14:textFill>
        </w:rPr>
      </w:pPr>
      <w:bookmarkStart w:id="118" w:name="_Toc456648358"/>
      <w:bookmarkStart w:id="119" w:name="_Toc434832495"/>
      <w:bookmarkStart w:id="120" w:name="_Toc19217"/>
      <w:bookmarkStart w:id="121" w:name="_Toc456272919"/>
      <w:r>
        <w:rPr>
          <w:rFonts w:hint="eastAsia" w:ascii="宋体" w:hAnsi="宋体"/>
          <w:color w:val="000000" w:themeColor="text1"/>
          <w:sz w:val="21"/>
          <w:szCs w:val="21"/>
          <w:highlight w:val="none"/>
          <w14:textFill>
            <w14:solidFill>
              <w14:schemeClr w14:val="tx1"/>
            </w14:solidFill>
          </w14:textFill>
        </w:rPr>
        <w:t>投标人须知前附表</w:t>
      </w:r>
      <w:bookmarkEnd w:id="118"/>
      <w:bookmarkEnd w:id="119"/>
      <w:bookmarkEnd w:id="120"/>
      <w:bookmarkEnd w:id="121"/>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7"/>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7"/>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http://www.gdgpo.gov.cn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7"/>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left="0" w:leftChars="0" w:firstLine="0" w:firstLineChars="0"/>
        <w:rPr>
          <w:color w:val="000000" w:themeColor="text1"/>
          <w:highlight w:val="none"/>
          <w14:textFill>
            <w14:solidFill>
              <w14:schemeClr w14:val="tx1"/>
            </w14:solidFill>
          </w14:textFill>
        </w:rPr>
      </w:pPr>
    </w:p>
    <w:p>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2" w:name="_Hlt21938665"/>
      <w:bookmarkEnd w:id="122"/>
      <w:bookmarkStart w:id="123" w:name="_Hlt21938668"/>
      <w:bookmarkEnd w:id="123"/>
      <w:bookmarkStart w:id="124" w:name="_Toc464632120"/>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3766"/>
      <w:r>
        <w:rPr>
          <w:rFonts w:hint="eastAsia" w:hAnsi="宋体"/>
          <w:color w:val="000000" w:themeColor="text1"/>
          <w:highlight w:val="none"/>
          <w14:textFill>
            <w14:solidFill>
              <w14:schemeClr w14:val="tx1"/>
            </w14:solidFill>
          </w14:textFill>
        </w:rPr>
        <w:t>一、说  明</w:t>
      </w:r>
      <w:bookmarkEnd w:id="124"/>
      <w:bookmarkEnd w:id="125"/>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221" w:right="31" w:rightChars="15" w:hanging="367" w:hangingChars="17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221" w:right="31" w:rightChars="15" w:hanging="367" w:hangingChars="17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221" w:right="31" w:rightChars="15" w:hanging="367" w:hangingChars="17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6" w:name="_Toc25646"/>
      <w:bookmarkStart w:id="127" w:name="_Toc464632121"/>
      <w:r>
        <w:rPr>
          <w:rFonts w:hint="eastAsia" w:hAnsi="宋体"/>
          <w:color w:val="000000" w:themeColor="text1"/>
          <w:highlight w:val="none"/>
          <w14:textFill>
            <w14:solidFill>
              <w14:schemeClr w14:val="tx1"/>
            </w14:solidFill>
          </w14:textFill>
        </w:rPr>
        <w:t>二、磋商文件</w:t>
      </w:r>
      <w:bookmarkEnd w:id="126"/>
      <w:bookmarkEnd w:id="127"/>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6"/>
        <w:adjustRightInd w:val="0"/>
        <w:snapToGrid w:val="0"/>
        <w:spacing w:line="300" w:lineRule="auto"/>
        <w:ind w:left="420" w:hanging="420" w:hangingChars="20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8" w:name="_Toc18960"/>
      <w:bookmarkStart w:id="129" w:name="_Toc464632122"/>
      <w:r>
        <w:rPr>
          <w:rFonts w:hint="eastAsia" w:hAnsi="宋体"/>
          <w:color w:val="000000" w:themeColor="text1"/>
          <w:highlight w:val="none"/>
          <w14:textFill>
            <w14:solidFill>
              <w14:schemeClr w14:val="tx1"/>
            </w14:solidFill>
          </w14:textFill>
        </w:rPr>
        <w:t>三、响应文件的编制</w:t>
      </w:r>
      <w:bookmarkEnd w:id="128"/>
      <w:bookmarkEnd w:id="129"/>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0" w:name="_Toc464632123"/>
      <w:bookmarkStart w:id="131" w:name="_Toc20235"/>
      <w:r>
        <w:rPr>
          <w:rFonts w:hint="eastAsia" w:hAnsi="宋体"/>
          <w:color w:val="000000" w:themeColor="text1"/>
          <w:highlight w:val="none"/>
          <w14:textFill>
            <w14:solidFill>
              <w14:schemeClr w14:val="tx1"/>
            </w14:solidFill>
          </w14:textFill>
        </w:rPr>
        <w:t>四、磋商报价要求和供应商资格证明文件的要求</w:t>
      </w:r>
      <w:bookmarkEnd w:id="130"/>
      <w:bookmarkEnd w:id="131"/>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Toc15971"/>
      <w:bookmarkStart w:id="133" w:name="_Toc464632124"/>
      <w:r>
        <w:rPr>
          <w:rFonts w:hint="eastAsia" w:hAnsi="宋体"/>
          <w:color w:val="000000" w:themeColor="text1"/>
          <w:highlight w:val="none"/>
          <w14:textFill>
            <w14:solidFill>
              <w14:schemeClr w14:val="tx1"/>
            </w14:solidFill>
          </w14:textFill>
        </w:rPr>
        <w:t>五、保证金</w:t>
      </w:r>
      <w:bookmarkEnd w:id="132"/>
      <w:bookmarkEnd w:id="133"/>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Toc20211"/>
      <w:bookmarkStart w:id="135" w:name="_Toc464632125"/>
      <w:r>
        <w:rPr>
          <w:rFonts w:hint="eastAsia" w:hAnsi="宋体"/>
          <w:color w:val="000000" w:themeColor="text1"/>
          <w:highlight w:val="none"/>
          <w14:textFill>
            <w14:solidFill>
              <w14:schemeClr w14:val="tx1"/>
            </w14:solidFill>
          </w14:textFill>
        </w:rPr>
        <w:t>六、响应文件的份数、封装和递交</w:t>
      </w:r>
      <w:bookmarkEnd w:id="134"/>
      <w:bookmarkEnd w:id="135"/>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13609"/>
      <w:bookmarkStart w:id="137" w:name="_Toc464632126"/>
      <w:r>
        <w:rPr>
          <w:rFonts w:hint="eastAsia" w:hAnsi="宋体"/>
          <w:color w:val="000000" w:themeColor="text1"/>
          <w:highlight w:val="none"/>
          <w14:textFill>
            <w14:solidFill>
              <w14:schemeClr w14:val="tx1"/>
            </w14:solidFill>
          </w14:textFill>
        </w:rPr>
        <w:t>七、磋商的步骤</w:t>
      </w:r>
      <w:bookmarkEnd w:id="136"/>
      <w:bookmarkEnd w:id="137"/>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8" w:name="_Toc24520"/>
      <w:bookmarkStart w:id="139" w:name="_Toc464632127"/>
      <w:r>
        <w:rPr>
          <w:rFonts w:hint="eastAsia" w:hAnsi="宋体"/>
          <w:color w:val="000000" w:themeColor="text1"/>
          <w:highlight w:val="none"/>
          <w14:textFill>
            <w14:solidFill>
              <w14:schemeClr w14:val="tx1"/>
            </w14:solidFill>
          </w14:textFill>
        </w:rPr>
        <w:t>八、确定成交供应商办法</w:t>
      </w:r>
      <w:bookmarkEnd w:id="138"/>
      <w:bookmarkEnd w:id="139"/>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40" w:name="_Toc464632128"/>
      <w:bookmarkStart w:id="141" w:name="_Toc6483"/>
      <w:r>
        <w:rPr>
          <w:rFonts w:hint="eastAsia" w:ascii="宋体" w:hAnsi="宋体"/>
          <w:color w:val="000000" w:themeColor="text1"/>
          <w:szCs w:val="21"/>
          <w:highlight w:val="none"/>
          <w14:textFill>
            <w14:solidFill>
              <w14:schemeClr w14:val="tx1"/>
            </w14:solidFill>
          </w14:textFill>
        </w:rPr>
        <w:t>九、质疑</w:t>
      </w:r>
      <w:bookmarkEnd w:id="140"/>
      <w:bookmarkEnd w:id="141"/>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2" w:name="_Toc345675374"/>
      <w:bookmarkStart w:id="143" w:name="_Toc322033397"/>
      <w:bookmarkStart w:id="144" w:name="_Toc464632129"/>
      <w:bookmarkStart w:id="145" w:name="_Toc3305"/>
      <w:r>
        <w:rPr>
          <w:rFonts w:hint="eastAsia" w:ascii="宋体" w:hAnsi="宋体"/>
          <w:color w:val="000000" w:themeColor="text1"/>
          <w:szCs w:val="21"/>
          <w:highlight w:val="none"/>
          <w14:textFill>
            <w14:solidFill>
              <w14:schemeClr w14:val="tx1"/>
            </w14:solidFill>
          </w14:textFill>
        </w:rPr>
        <w:t>十、成交服务费</w:t>
      </w:r>
      <w:bookmarkEnd w:id="142"/>
      <w:bookmarkEnd w:id="143"/>
      <w:bookmarkEnd w:id="144"/>
      <w:bookmarkEnd w:id="145"/>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6" w:name="_Toc464632131"/>
      <w:bookmarkStart w:id="147" w:name="_Toc11314"/>
      <w:bookmarkStart w:id="148" w:name="_Toc536594109"/>
      <w:r>
        <w:rPr>
          <w:rFonts w:hint="eastAsia" w:ascii="宋体" w:hAnsi="宋体"/>
          <w:color w:val="000000" w:themeColor="text1"/>
          <w:szCs w:val="21"/>
          <w:highlight w:val="none"/>
          <w14:textFill>
            <w14:solidFill>
              <w14:schemeClr w14:val="tx1"/>
            </w14:solidFill>
          </w14:textFill>
        </w:rPr>
        <w:t>十一、合同的订立和履行</w:t>
      </w:r>
      <w:bookmarkEnd w:id="146"/>
      <w:bookmarkEnd w:id="147"/>
    </w:p>
    <w:bookmarkEnd w:id="148"/>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9" w:name="_Toc322033399"/>
      <w:bookmarkStart w:id="150" w:name="_Toc345675376"/>
      <w:bookmarkStart w:id="151" w:name="_Toc464632132"/>
      <w:bookmarkStart w:id="152" w:name="_Toc4134"/>
      <w:r>
        <w:rPr>
          <w:rFonts w:hint="eastAsia" w:ascii="宋体" w:hAnsi="宋体"/>
          <w:color w:val="000000" w:themeColor="text1"/>
          <w:szCs w:val="21"/>
          <w:highlight w:val="none"/>
          <w14:textFill>
            <w14:solidFill>
              <w14:schemeClr w14:val="tx1"/>
            </w14:solidFill>
          </w14:textFill>
        </w:rPr>
        <w:t>十二、适用法律</w:t>
      </w:r>
      <w:bookmarkEnd w:id="149"/>
      <w:bookmarkEnd w:id="150"/>
      <w:bookmarkEnd w:id="151"/>
      <w:bookmarkEnd w:id="152"/>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4"/>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3" w:name="_Toc20238"/>
      <w:r>
        <w:rPr>
          <w:color w:val="000000" w:themeColor="text1"/>
          <w:highlight w:val="none"/>
          <w14:textFill>
            <w14:solidFill>
              <w14:schemeClr w14:val="tx1"/>
            </w14:solidFill>
          </w14:textFill>
        </w:rPr>
        <w:t>第四部分磋商、评审、成交</w:t>
      </w:r>
      <w:bookmarkEnd w:id="153"/>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25</w:t>
            </w:r>
            <w:r>
              <w:rPr>
                <w:rFonts w:hint="eastAsia" w:ascii="宋体" w:hAnsi="宋体" w:cs="宋体"/>
                <w:color w:val="000000" w:themeColor="text1"/>
                <w:kern w:val="0"/>
                <w:highlight w:val="none"/>
                <w14:textFill>
                  <w14:solidFill>
                    <w14:schemeClr w14:val="tx1"/>
                  </w14:solidFill>
                </w14:textFill>
              </w:rPr>
              <w:t>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65</w:t>
            </w:r>
            <w:r>
              <w:rPr>
                <w:rFonts w:hint="eastAsia" w:ascii="宋体" w:hAnsi="宋体" w:cs="宋体"/>
                <w:color w:val="000000" w:themeColor="text1"/>
                <w:kern w:val="0"/>
                <w:highlight w:val="none"/>
                <w14:textFill>
                  <w14:solidFill>
                    <w14:schemeClr w14:val="tx1"/>
                  </w14:solidFill>
                </w14:textFill>
              </w:rPr>
              <w:t>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w:t>
      </w:r>
      <w:r>
        <w:rPr>
          <w:rFonts w:hint="eastAsia" w:ascii="宋体" w:hAnsi="宋体"/>
          <w:b/>
          <w:color w:val="000000" w:themeColor="text1"/>
          <w:highlight w:val="none"/>
          <w:lang w:eastAsia="zh-CN"/>
          <w14:textFill>
            <w14:solidFill>
              <w14:schemeClr w14:val="tx1"/>
            </w14:solidFill>
          </w14:textFill>
        </w:rPr>
        <w:t>、技术评分表细则</w:t>
      </w:r>
    </w:p>
    <w:tbl>
      <w:tblPr>
        <w:tblStyle w:val="51"/>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92"/>
        <w:gridCol w:w="933"/>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73" w:type="dxa"/>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92"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5836"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773" w:type="dxa"/>
            <w:vAlign w:val="center"/>
          </w:tcPr>
          <w:p>
            <w:pPr>
              <w:spacing w:line="320" w:lineRule="exact"/>
              <w:jc w:val="center"/>
              <w:rPr>
                <w:rFonts w:hint="eastAsia"/>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项目理解</w:t>
            </w:r>
          </w:p>
        </w:tc>
        <w:tc>
          <w:tcPr>
            <w:tcW w:w="933" w:type="dxa"/>
            <w:vAlign w:val="center"/>
          </w:tcPr>
          <w:p>
            <w:pPr>
              <w:spacing w:line="32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hint="eastAsia" w:ascii="宋体" w:hAnsi="宋体" w:cs="宋体"/>
                <w:color w:val="000000" w:themeColor="text1"/>
                <w:szCs w:val="21"/>
                <w:highlight w:val="none"/>
                <w:lang w:val="en-US" w:eastAsia="zh-CN"/>
                <w14:textFill>
                  <w14:solidFill>
                    <w14:schemeClr w14:val="tx1"/>
                  </w14:solidFill>
                </w14:textFill>
              </w:rPr>
              <w:t>对</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理解全面透彻的</w:t>
            </w:r>
            <w:r>
              <w:rPr>
                <w:rFonts w:hint="eastAsia"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良：</w:t>
            </w:r>
            <w:r>
              <w:rPr>
                <w:rFonts w:hint="eastAsia" w:ascii="宋体" w:hAnsi="宋体" w:cs="宋体"/>
                <w:color w:val="000000" w:themeColor="text1"/>
                <w:szCs w:val="21"/>
                <w:highlight w:val="none"/>
                <w:lang w:val="en-US" w:eastAsia="zh-CN"/>
                <w14:textFill>
                  <w14:solidFill>
                    <w14:schemeClr w14:val="tx1"/>
                  </w14:solidFill>
                </w14:textFill>
              </w:rPr>
              <w:t>对</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理解较全面</w:t>
            </w:r>
            <w:r>
              <w:rPr>
                <w:rFonts w:hint="eastAsia"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w:t>
            </w:r>
            <w:r>
              <w:rPr>
                <w:rFonts w:hint="eastAsia" w:ascii="宋体" w:hAnsi="宋体" w:cs="宋体"/>
                <w:color w:val="000000" w:themeColor="text1"/>
                <w:szCs w:val="21"/>
                <w:highlight w:val="none"/>
                <w:lang w:val="en-US" w:eastAsia="zh-CN"/>
                <w14:textFill>
                  <w14:solidFill>
                    <w14:schemeClr w14:val="tx1"/>
                  </w14:solidFill>
                </w14:textFill>
              </w:rPr>
              <w:t>对</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理解</w:t>
            </w:r>
            <w:r>
              <w:rPr>
                <w:rFonts w:hint="eastAsia" w:ascii="宋体" w:hAnsi="宋体" w:cs="宋体"/>
                <w:color w:val="000000" w:themeColor="text1"/>
                <w:szCs w:val="21"/>
                <w:highlight w:val="none"/>
                <w14:textFill>
                  <w14:solidFill>
                    <w14:schemeClr w14:val="tx1"/>
                  </w14:solidFill>
                </w14:textFill>
              </w:rPr>
              <w:t>一般的得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773" w:type="dxa"/>
            <w:vAlign w:val="center"/>
          </w:tcPr>
          <w:p>
            <w:pPr>
              <w:spacing w:line="320" w:lineRule="exact"/>
              <w:jc w:val="center"/>
              <w:rPr>
                <w:rFonts w:hint="eastAsia" w:ascii="宋体" w:hAnsi="宋体"/>
                <w:color w:val="000000" w:themeColor="text1"/>
                <w:kern w:val="0"/>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项目实施方案</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优：项目实施方案</w:t>
            </w:r>
            <w:r>
              <w:rPr>
                <w:rFonts w:hint="eastAsia" w:ascii="宋体" w:hAnsi="宋体" w:cs="宋体"/>
                <w:color w:val="000000" w:themeColor="text1"/>
                <w:szCs w:val="21"/>
                <w:highlight w:val="none"/>
                <w:lang w:val="en-US" w:eastAsia="zh-CN"/>
                <w14:textFill>
                  <w14:solidFill>
                    <w14:schemeClr w14:val="tx1"/>
                  </w14:solidFill>
                </w14:textFill>
              </w:rPr>
              <w:t>详细</w:t>
            </w:r>
            <w:r>
              <w:rPr>
                <w:rFonts w:hint="eastAsia" w:ascii="宋体" w:hAnsi="宋体" w:cs="宋体"/>
                <w:color w:val="000000" w:themeColor="text1"/>
                <w:szCs w:val="21"/>
                <w:highlight w:val="none"/>
                <w14:textFill>
                  <w14:solidFill>
                    <w14:schemeClr w14:val="tx1"/>
                  </w14:solidFill>
                </w14:textFill>
              </w:rPr>
              <w:t>合理、可行的得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良：项目实施方案</w:t>
            </w:r>
            <w:r>
              <w:rPr>
                <w:rFonts w:hint="eastAsia" w:ascii="宋体" w:hAnsi="宋体" w:cs="宋体"/>
                <w:color w:val="000000" w:themeColor="text1"/>
                <w:szCs w:val="21"/>
                <w:highlight w:val="none"/>
                <w:lang w:val="en-US" w:eastAsia="zh-CN"/>
                <w14:textFill>
                  <w14:solidFill>
                    <w14:schemeClr w14:val="tx1"/>
                  </w14:solidFill>
                </w14:textFill>
              </w:rPr>
              <w:t>较详细</w:t>
            </w:r>
            <w:r>
              <w:rPr>
                <w:rFonts w:hint="eastAsia" w:ascii="宋体" w:hAnsi="宋体" w:cs="宋体"/>
                <w:color w:val="000000" w:themeColor="text1"/>
                <w:szCs w:val="21"/>
                <w:highlight w:val="none"/>
                <w14:textFill>
                  <w14:solidFill>
                    <w14:schemeClr w14:val="tx1"/>
                  </w14:solidFill>
                </w14:textFill>
              </w:rPr>
              <w:t>合理、</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可行的得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一般：项目实施方案一般的得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73" w:type="dxa"/>
            <w:vAlign w:val="center"/>
          </w:tcPr>
          <w:p>
            <w:pPr>
              <w:spacing w:line="320" w:lineRule="exact"/>
              <w:jc w:val="center"/>
              <w:rPr>
                <w:rFonts w:hint="eastAsia"/>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服务计划</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hint="eastAsia" w:ascii="宋体" w:hAnsi="宋体" w:cs="宋体"/>
                <w:color w:val="000000" w:themeColor="text1"/>
                <w:szCs w:val="21"/>
                <w:highlight w:val="none"/>
                <w:lang w:val="en-US" w:eastAsia="zh-CN"/>
                <w14:textFill>
                  <w14:solidFill>
                    <w14:schemeClr w14:val="tx1"/>
                  </w14:solidFill>
                </w14:textFill>
              </w:rPr>
              <w:t>服务计划详细</w:t>
            </w:r>
            <w:r>
              <w:rPr>
                <w:rFonts w:hint="eastAsia" w:ascii="宋体" w:hAnsi="宋体" w:cs="宋体"/>
                <w:color w:val="000000" w:themeColor="text1"/>
                <w:szCs w:val="21"/>
                <w:highlight w:val="none"/>
                <w14:textFill>
                  <w14:solidFill>
                    <w14:schemeClr w14:val="tx1"/>
                  </w14:solidFill>
                </w14:textFill>
              </w:rPr>
              <w:t>合理、可行的得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良：</w:t>
            </w:r>
            <w:r>
              <w:rPr>
                <w:rFonts w:hint="eastAsia" w:ascii="宋体" w:hAnsi="宋体" w:cs="宋体"/>
                <w:color w:val="000000" w:themeColor="text1"/>
                <w:szCs w:val="21"/>
                <w:highlight w:val="none"/>
                <w:lang w:val="en-US" w:eastAsia="zh-CN"/>
                <w14:textFill>
                  <w14:solidFill>
                    <w14:schemeClr w14:val="tx1"/>
                  </w14:solidFill>
                </w14:textFill>
              </w:rPr>
              <w:t>服务计划较详细</w:t>
            </w:r>
            <w:r>
              <w:rPr>
                <w:rFonts w:hint="eastAsia" w:ascii="宋体" w:hAnsi="宋体" w:cs="宋体"/>
                <w:color w:val="000000" w:themeColor="text1"/>
                <w:szCs w:val="21"/>
                <w:highlight w:val="none"/>
                <w14:textFill>
                  <w14:solidFill>
                    <w14:schemeClr w14:val="tx1"/>
                  </w14:solidFill>
                </w14:textFill>
              </w:rPr>
              <w:t>合理、</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可行的得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w:t>
            </w:r>
            <w:r>
              <w:rPr>
                <w:rFonts w:hint="eastAsia" w:ascii="宋体" w:hAnsi="宋体" w:cs="宋体"/>
                <w:color w:val="000000" w:themeColor="text1"/>
                <w:szCs w:val="21"/>
                <w:highlight w:val="none"/>
                <w:lang w:val="en-US" w:eastAsia="zh-CN"/>
                <w14:textFill>
                  <w14:solidFill>
                    <w14:schemeClr w14:val="tx1"/>
                  </w14:solidFill>
                </w14:textFill>
              </w:rPr>
              <w:t>服务计划</w:t>
            </w:r>
            <w:r>
              <w:rPr>
                <w:rFonts w:hint="eastAsia" w:ascii="宋体" w:hAnsi="宋体" w:cs="宋体"/>
                <w:color w:val="000000" w:themeColor="text1"/>
                <w:szCs w:val="21"/>
                <w:highlight w:val="none"/>
                <w14:textFill>
                  <w14:solidFill>
                    <w14:schemeClr w14:val="tx1"/>
                  </w14:solidFill>
                </w14:textFill>
              </w:rPr>
              <w:t>一般的得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365" w:type="dxa"/>
            <w:gridSpan w:val="2"/>
            <w:vAlign w:val="center"/>
          </w:tcPr>
          <w:p>
            <w:pPr>
              <w:spacing w:line="28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合计</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分</w:t>
            </w:r>
          </w:p>
        </w:tc>
        <w:tc>
          <w:tcPr>
            <w:tcW w:w="5836" w:type="dxa"/>
            <w:vAlign w:val="center"/>
          </w:tcPr>
          <w:p>
            <w:pPr>
              <w:spacing w:line="240" w:lineRule="exact"/>
              <w:rPr>
                <w:color w:val="000000" w:themeColor="text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eastAsia="zh-CN"/>
          <w14:textFill>
            <w14:solidFill>
              <w14:schemeClr w14:val="tx1"/>
            </w14:solidFill>
          </w14:textFill>
        </w:rPr>
        <w:t>三、商务评分表细则</w:t>
      </w:r>
    </w:p>
    <w:tbl>
      <w:tblPr>
        <w:tblStyle w:val="51"/>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92"/>
        <w:gridCol w:w="933"/>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73" w:type="dxa"/>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92"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5836"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773" w:type="dxa"/>
            <w:vAlign w:val="center"/>
          </w:tcPr>
          <w:p>
            <w:pPr>
              <w:spacing w:line="320" w:lineRule="exact"/>
              <w:jc w:val="center"/>
              <w:rPr>
                <w:rFonts w:hint="eastAsia"/>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同类项目业绩</w:t>
            </w:r>
          </w:p>
        </w:tc>
        <w:tc>
          <w:tcPr>
            <w:tcW w:w="933" w:type="dxa"/>
            <w:vAlign w:val="center"/>
          </w:tcPr>
          <w:p>
            <w:pPr>
              <w:spacing w:line="32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投标人提供近三年</w:t>
            </w:r>
            <w:r>
              <w:rPr>
                <w:rFonts w:hint="eastAsia" w:ascii="宋体" w:hAnsi="宋体"/>
                <w:color w:val="000000" w:themeColor="text1"/>
                <w:szCs w:val="21"/>
                <w:highlight w:val="none"/>
                <w14:textFill>
                  <w14:solidFill>
                    <w14:schemeClr w14:val="tx1"/>
                  </w14:solidFill>
                </w14:textFill>
              </w:rPr>
              <w:t>机动车拖车及保管业务</w:t>
            </w:r>
            <w:r>
              <w:rPr>
                <w:rFonts w:hint="eastAsia" w:ascii="宋体" w:hAnsi="宋体"/>
                <w:color w:val="000000" w:themeColor="text1"/>
                <w:szCs w:val="21"/>
                <w:highlight w:val="none"/>
                <w:lang w:val="en-US" w:eastAsia="zh-CN"/>
                <w14:textFill>
                  <w14:solidFill>
                    <w14:schemeClr w14:val="tx1"/>
                  </w14:solidFill>
                </w14:textFill>
              </w:rPr>
              <w:t>的业绩，</w:t>
            </w:r>
            <w:r>
              <w:rPr>
                <w:rFonts w:hint="eastAsia" w:ascii="宋体" w:hAnsi="宋体" w:cs="宋体"/>
                <w:color w:val="000000" w:themeColor="text1"/>
                <w:highlight w:val="none"/>
                <w14:textFill>
                  <w14:solidFill>
                    <w14:schemeClr w14:val="tx1"/>
                  </w14:solidFill>
                </w14:textFill>
              </w:rPr>
              <w:t>每提供一项得</w:t>
            </w:r>
            <w:r>
              <w:rPr>
                <w:rFonts w:hint="eastAsia" w:ascii="宋体" w:hAnsi="宋体" w:cs="宋体"/>
                <w:color w:val="000000" w:themeColor="text1"/>
                <w:highlight w:val="none"/>
                <w:lang w:val="en-US" w:eastAsia="zh-CN"/>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分，满分为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pPr>
              <w:spacing w:line="320" w:lineRule="exac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773" w:type="dxa"/>
            <w:vAlign w:val="center"/>
          </w:tcPr>
          <w:p>
            <w:pPr>
              <w:spacing w:line="32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92" w:type="dxa"/>
            <w:vAlign w:val="center"/>
          </w:tcPr>
          <w:p>
            <w:pPr>
              <w:spacing w:line="32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人员配备</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20分</w:t>
            </w:r>
          </w:p>
        </w:tc>
        <w:tc>
          <w:tcPr>
            <w:tcW w:w="5836" w:type="dxa"/>
            <w:vAlign w:val="center"/>
          </w:tcPr>
          <w:p>
            <w:pPr>
              <w:spacing w:line="320" w:lineRule="exac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提供不少于9名工作人员，</w:t>
            </w:r>
            <w:r>
              <w:rPr>
                <w:rFonts w:hint="eastAsia" w:ascii="宋体" w:hAnsi="宋体"/>
                <w:color w:val="000000" w:themeColor="text1"/>
                <w:szCs w:val="21"/>
                <w:highlight w:val="none"/>
                <w14:textFill>
                  <w14:solidFill>
                    <w14:schemeClr w14:val="tx1"/>
                  </w14:solidFill>
                </w14:textFill>
              </w:rPr>
              <w:t>且具有大货车</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以上驾照，有3年</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以上驾驶经验</w:t>
            </w:r>
            <w:r>
              <w:rPr>
                <w:rFonts w:hint="eastAsia" w:ascii="宋体" w:hAnsi="宋体"/>
                <w:color w:val="000000" w:themeColor="text1"/>
                <w:szCs w:val="21"/>
                <w:highlight w:val="none"/>
                <w:lang w:val="en-US" w:eastAsia="zh-CN"/>
                <w14:textFill>
                  <w14:solidFill>
                    <w14:schemeClr w14:val="tx1"/>
                  </w14:solidFill>
                </w14:textFill>
              </w:rPr>
              <w:t>的，得5分，每多提供一名加5分，满分20分。</w:t>
            </w:r>
          </w:p>
          <w:p>
            <w:pPr>
              <w:spacing w:line="32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注：须提供人员身份证、机动车驾驶证复印件加盖</w:t>
            </w:r>
            <w:r>
              <w:rPr>
                <w:rFonts w:hint="eastAsia" w:ascii="宋体" w:hAnsi="宋体" w:cs="宋体"/>
                <w:color w:val="000000" w:themeColor="text1"/>
                <w:highlight w:val="none"/>
                <w14:textFill>
                  <w14:solidFill>
                    <w14:schemeClr w14:val="tx1"/>
                  </w14:solidFill>
                </w14:textFill>
              </w:rPr>
              <w:t>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atLeast"/>
          <w:jc w:val="center"/>
        </w:trPr>
        <w:tc>
          <w:tcPr>
            <w:tcW w:w="773" w:type="dxa"/>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92" w:type="dxa"/>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车辆配备</w:t>
            </w:r>
          </w:p>
        </w:tc>
        <w:tc>
          <w:tcPr>
            <w:tcW w:w="933" w:type="dxa"/>
            <w:vAlign w:val="center"/>
          </w:tcPr>
          <w:p>
            <w:pPr>
              <w:spacing w:line="320" w:lineRule="exact"/>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25分</w:t>
            </w:r>
          </w:p>
        </w:tc>
        <w:tc>
          <w:tcPr>
            <w:tcW w:w="5836" w:type="dxa"/>
            <w:vAlign w:val="center"/>
          </w:tcPr>
          <w:p>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1.配备拖车6辆或以上，得</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分，其中有大吊车（10 吨以上）一辆</w:t>
            </w:r>
            <w:r>
              <w:rPr>
                <w:rFonts w:hint="eastAsia" w:ascii="宋体" w:hAnsi="宋体" w:cs="宋体"/>
                <w:color w:val="000000" w:themeColor="text1"/>
                <w:highlight w:val="none"/>
                <w:lang w:val="en-US" w:eastAsia="zh-CN"/>
                <w14:textFill>
                  <w14:solidFill>
                    <w14:schemeClr w14:val="tx1"/>
                  </w14:solidFill>
                </w14:textFill>
              </w:rPr>
              <w:t>或以上</w:t>
            </w:r>
            <w:r>
              <w:rPr>
                <w:rFonts w:hint="eastAsia" w:ascii="宋体" w:hAnsi="宋体" w:eastAsia="宋体" w:cs="宋体"/>
                <w:color w:val="000000" w:themeColor="text1"/>
                <w:highlight w:val="none"/>
                <w:lang w:val="en-US" w:eastAsia="zh-CN"/>
                <w14:textFill>
                  <w14:solidFill>
                    <w14:schemeClr w14:val="tx1"/>
                  </w14:solidFill>
                </w14:textFill>
              </w:rPr>
              <w:t>加</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分，大拖车（50 吨以上）一辆</w:t>
            </w:r>
            <w:r>
              <w:rPr>
                <w:rFonts w:hint="eastAsia" w:ascii="宋体" w:hAnsi="宋体" w:cs="宋体"/>
                <w:color w:val="000000" w:themeColor="text1"/>
                <w:highlight w:val="none"/>
                <w:lang w:val="en-US" w:eastAsia="zh-CN"/>
                <w14:textFill>
                  <w14:solidFill>
                    <w14:schemeClr w14:val="tx1"/>
                  </w14:solidFill>
                </w14:textFill>
              </w:rPr>
              <w:t>或以上</w:t>
            </w:r>
            <w:r>
              <w:rPr>
                <w:rFonts w:hint="eastAsia" w:ascii="宋体" w:hAnsi="宋体" w:eastAsia="宋体" w:cs="宋体"/>
                <w:color w:val="000000" w:themeColor="text1"/>
                <w:highlight w:val="none"/>
                <w:lang w:val="en-US" w:eastAsia="zh-CN"/>
                <w14:textFill>
                  <w14:solidFill>
                    <w14:schemeClr w14:val="tx1"/>
                  </w14:solidFill>
                </w14:textFill>
              </w:rPr>
              <w:t>加</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，满分20分。</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2.配备</w:t>
            </w:r>
            <w:r>
              <w:rPr>
                <w:rFonts w:hint="eastAsia" w:ascii="宋体" w:hAnsi="宋体" w:eastAsia="宋体" w:cs="宋体"/>
                <w:color w:val="000000" w:themeColor="text1"/>
                <w:highlight w:val="none"/>
                <w14:textFill>
                  <w14:solidFill>
                    <w14:schemeClr w14:val="tx1"/>
                  </w14:solidFill>
                </w14:textFill>
              </w:rPr>
              <w:t>装载大货车1辆</w:t>
            </w:r>
            <w:r>
              <w:rPr>
                <w:rFonts w:hint="eastAsia" w:ascii="宋体" w:hAnsi="宋体" w:eastAsia="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以上，装载大货车能载机动摩托车6辆以上</w:t>
            </w:r>
            <w:r>
              <w:rPr>
                <w:rFonts w:hint="eastAsia" w:ascii="宋体" w:hAnsi="宋体" w:eastAsia="宋体" w:cs="宋体"/>
                <w:color w:val="000000" w:themeColor="text1"/>
                <w:highlight w:val="none"/>
                <w:lang w:val="en-US" w:eastAsia="zh-CN"/>
                <w14:textFill>
                  <w14:solidFill>
                    <w14:schemeClr w14:val="tx1"/>
                  </w14:solidFill>
                </w14:textFill>
              </w:rPr>
              <w:t>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 </w:t>
            </w:r>
          </w:p>
          <w:p>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val="none"/>
                <w:shd w:val="clear" w:color="auto" w:fill="auto"/>
                <w:lang w:val="zh-TW" w:eastAsia="zh-CN" w:bidi="zh-TW"/>
                <w14:textFill>
                  <w14:solidFill>
                    <w14:schemeClr w14:val="tx1"/>
                  </w14:solidFill>
                </w14:textFill>
              </w:rPr>
              <w:t>注：提供</w:t>
            </w:r>
            <w:r>
              <w:rPr>
                <w:rFonts w:hint="eastAsia" w:ascii="宋体" w:hAnsi="宋体" w:cs="宋体"/>
                <w:color w:val="000000" w:themeColor="text1"/>
                <w:kern w:val="2"/>
                <w:sz w:val="21"/>
                <w:szCs w:val="21"/>
                <w:highlight w:val="none"/>
                <w:u w:val="none"/>
                <w:shd w:val="clear" w:color="auto" w:fill="auto"/>
                <w:lang w:val="en-US" w:eastAsia="zh-CN" w:bidi="zh-TW"/>
                <w14:textFill>
                  <w14:solidFill>
                    <w14:schemeClr w14:val="tx1"/>
                  </w14:solidFill>
                </w14:textFill>
              </w:rPr>
              <w:t>自有</w:t>
            </w:r>
            <w:r>
              <w:rPr>
                <w:rFonts w:hint="eastAsia" w:ascii="宋体" w:hAnsi="宋体" w:eastAsia="宋体" w:cs="宋体"/>
                <w:color w:val="000000" w:themeColor="text1"/>
                <w:kern w:val="2"/>
                <w:sz w:val="21"/>
                <w:szCs w:val="21"/>
                <w:highlight w:val="none"/>
                <w:u w:val="none"/>
                <w:shd w:val="clear" w:color="auto" w:fill="auto"/>
                <w:lang w:val="en-US" w:eastAsia="zh-CN" w:bidi="zh-TW"/>
                <w14:textFill>
                  <w14:solidFill>
                    <w14:schemeClr w14:val="tx1"/>
                  </w14:solidFill>
                </w14:textFill>
              </w:rPr>
              <w:t>车辆图片及车辆行驶证复印件加盖投标人公章</w:t>
            </w:r>
            <w:r>
              <w:rPr>
                <w:rFonts w:hint="eastAsia" w:ascii="宋体" w:hAnsi="宋体" w:eastAsia="宋体" w:cs="宋体"/>
                <w:color w:val="000000" w:themeColor="text1"/>
                <w:kern w:val="2"/>
                <w:sz w:val="21"/>
                <w:szCs w:val="21"/>
                <w:highlight w:val="none"/>
                <w:u w:val="none"/>
                <w:shd w:val="clear" w:color="auto" w:fill="auto"/>
                <w:lang w:val="zh-TW" w:eastAsia="zh-CN" w:bidi="zh-TW"/>
                <w14:textFill>
                  <w14:solidFill>
                    <w14:schemeClr w14:val="tx1"/>
                  </w14:solidFill>
                </w14:textFill>
              </w:rPr>
              <w:t>；如</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所提供的车辆为租赁的</w:t>
            </w:r>
            <w:r>
              <w:rPr>
                <w:rFonts w:hint="eastAsia" w:ascii="宋体" w:hAnsi="宋体" w:eastAsia="宋体" w:cs="宋体"/>
                <w:color w:val="000000" w:themeColor="text1"/>
                <w:kern w:val="2"/>
                <w:sz w:val="21"/>
                <w:szCs w:val="21"/>
                <w:highlight w:val="none"/>
                <w:u w:val="none"/>
                <w:shd w:val="clear" w:color="auto" w:fill="auto"/>
                <w:lang w:val="en-US" w:eastAsia="zh-CN" w:bidi="zh-TW"/>
                <w14:textFill>
                  <w14:solidFill>
                    <w14:schemeClr w14:val="tx1"/>
                  </w14:solidFill>
                </w14:textFill>
              </w:rPr>
              <w:t>还</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需提供</w:t>
            </w:r>
            <w:r>
              <w:rPr>
                <w:rFonts w:hint="eastAsia" w:ascii="宋体" w:hAnsi="宋体" w:eastAsia="宋体" w:cs="宋体"/>
                <w:color w:val="000000" w:themeColor="text1"/>
                <w:kern w:val="2"/>
                <w:sz w:val="21"/>
                <w:szCs w:val="21"/>
                <w:highlight w:val="none"/>
                <w:u w:val="none"/>
                <w:shd w:val="clear" w:color="auto" w:fill="auto"/>
                <w:lang w:val="en-US" w:eastAsia="zh-CN" w:bidi="zh-TW"/>
                <w14:textFill>
                  <w14:solidFill>
                    <w14:schemeClr w14:val="tx1"/>
                  </w14:solidFill>
                </w14:textFill>
              </w:rPr>
              <w:t>车辆</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租赁合同复印件</w:t>
            </w:r>
            <w:r>
              <w:rPr>
                <w:rFonts w:hint="eastAsia" w:ascii="宋体" w:hAnsi="宋体" w:eastAsia="宋体" w:cs="宋体"/>
                <w:color w:val="000000" w:themeColor="text1"/>
                <w:kern w:val="2"/>
                <w:sz w:val="21"/>
                <w:szCs w:val="21"/>
                <w:highlight w:val="none"/>
                <w:u w:val="none"/>
                <w:shd w:val="clear" w:color="auto" w:fill="auto"/>
                <w:lang w:val="zh-TW" w:eastAsia="zh-CN" w:bidi="zh-TW"/>
                <w14:textFill>
                  <w14:solidFill>
                    <w14:schemeClr w14:val="tx1"/>
                  </w14:solidFill>
                </w14:textFill>
              </w:rPr>
              <w:t>并加盖公章</w:t>
            </w:r>
            <w:r>
              <w:rPr>
                <w:rFonts w:hint="eastAsia" w:ascii="宋体" w:hAnsi="宋体" w:cs="宋体"/>
                <w:color w:val="000000" w:themeColor="text1"/>
                <w:kern w:val="2"/>
                <w:sz w:val="21"/>
                <w:szCs w:val="21"/>
                <w:highlight w:val="none"/>
                <w:u w:val="none"/>
                <w:shd w:val="clear" w:color="auto" w:fill="auto"/>
                <w:lang w:val="zh-TW" w:eastAsia="zh-CN" w:bidi="zh-TW"/>
                <w14:textFill>
                  <w14:solidFill>
                    <w14:schemeClr w14:val="tx1"/>
                  </w14:solidFill>
                </w14:textFill>
              </w:rPr>
              <w:t>（</w:t>
            </w:r>
            <w:r>
              <w:rPr>
                <w:rFonts w:hint="eastAsia" w:ascii="宋体" w:hAnsi="宋体" w:cs="宋体"/>
                <w:color w:val="000000" w:themeColor="text1"/>
                <w:kern w:val="2"/>
                <w:sz w:val="21"/>
                <w:szCs w:val="21"/>
                <w:highlight w:val="none"/>
                <w:u w:val="none"/>
                <w:shd w:val="clear" w:color="auto" w:fill="auto"/>
                <w:lang w:val="en-US" w:eastAsia="zh-CN" w:bidi="zh-TW"/>
                <w14:textFill>
                  <w14:solidFill>
                    <w14:schemeClr w14:val="tx1"/>
                  </w14:solidFill>
                </w14:textFill>
              </w:rPr>
              <w:t>租赁期限须满足本项目的服务期限</w:t>
            </w:r>
            <w:r>
              <w:rPr>
                <w:rFonts w:hint="eastAsia" w:ascii="宋体" w:hAnsi="宋体" w:cs="宋体"/>
                <w:color w:val="000000" w:themeColor="text1"/>
                <w:kern w:val="2"/>
                <w:sz w:val="21"/>
                <w:szCs w:val="21"/>
                <w:highlight w:val="none"/>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73" w:type="dxa"/>
            <w:vAlign w:val="center"/>
          </w:tcPr>
          <w:p>
            <w:pPr>
              <w:spacing w:line="320" w:lineRule="exact"/>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服务场地</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分</w:t>
            </w:r>
          </w:p>
        </w:tc>
        <w:tc>
          <w:tcPr>
            <w:tcW w:w="5836" w:type="dxa"/>
            <w:vAlign w:val="center"/>
          </w:tcPr>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color w:val="000000" w:themeColor="text1"/>
                <w:kern w:val="0"/>
                <w:highlight w:val="none"/>
                <w:lang w:val="en-US" w:eastAsia="zh-CN"/>
                <w14:textFill>
                  <w14:solidFill>
                    <w14:schemeClr w14:val="tx1"/>
                  </w14:solidFill>
                </w14:textFill>
              </w:rPr>
              <w:t>投标人须具有服务</w:t>
            </w:r>
            <w:r>
              <w:rPr>
                <w:rFonts w:hint="eastAsia" w:ascii="宋体"/>
                <w:color w:val="000000" w:themeColor="text1"/>
                <w:kern w:val="0"/>
                <w:highlight w:val="none"/>
                <w14:textFill>
                  <w14:solidFill>
                    <w14:schemeClr w14:val="tx1"/>
                  </w14:solidFill>
                </w14:textFill>
              </w:rPr>
              <w:t>场地，提供场地</w:t>
            </w:r>
            <w:r>
              <w:rPr>
                <w:rFonts w:hint="eastAsia" w:ascii="宋体"/>
                <w:color w:val="000000" w:themeColor="text1"/>
                <w:kern w:val="0"/>
                <w:highlight w:val="none"/>
                <w:lang w:val="en-US" w:eastAsia="zh-CN"/>
                <w14:textFill>
                  <w14:solidFill>
                    <w14:schemeClr w14:val="tx1"/>
                  </w14:solidFill>
                </w14:textFill>
              </w:rPr>
              <w:t>的实景图片及</w:t>
            </w:r>
            <w:r>
              <w:rPr>
                <w:rFonts w:hint="eastAsia" w:ascii="宋体"/>
                <w:color w:val="000000" w:themeColor="text1"/>
                <w:kern w:val="0"/>
                <w:highlight w:val="none"/>
                <w14:textFill>
                  <w14:solidFill>
                    <w14:schemeClr w14:val="tx1"/>
                  </w14:solidFill>
                </w14:textFill>
              </w:rPr>
              <w:t>房产证或租赁合同复印件</w:t>
            </w:r>
            <w:r>
              <w:rPr>
                <w:rFonts w:hint="eastAsia" w:ascii="宋体"/>
                <w:color w:val="000000" w:themeColor="text1"/>
                <w:kern w:val="0"/>
                <w:highlight w:val="none"/>
                <w:lang w:val="en-US" w:eastAsia="zh-CN"/>
                <w14:textFill>
                  <w14:solidFill>
                    <w14:schemeClr w14:val="tx1"/>
                  </w14:solidFill>
                </w14:textFill>
              </w:rPr>
              <w:t>，满分15分，不提供不得分。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365" w:type="dxa"/>
            <w:gridSpan w:val="2"/>
            <w:vAlign w:val="center"/>
          </w:tcPr>
          <w:p>
            <w:pPr>
              <w:spacing w:line="28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合计</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分</w:t>
            </w:r>
          </w:p>
        </w:tc>
        <w:tc>
          <w:tcPr>
            <w:tcW w:w="5836" w:type="dxa"/>
            <w:vAlign w:val="center"/>
          </w:tcPr>
          <w:p>
            <w:pPr>
              <w:spacing w:line="240" w:lineRule="exact"/>
              <w:rPr>
                <w:color w:val="000000" w:themeColor="text1"/>
                <w:highlight w:val="none"/>
                <w14:textFill>
                  <w14:solidFill>
                    <w14:schemeClr w14:val="tx1"/>
                  </w14:solidFill>
                </w14:textFill>
              </w:rPr>
            </w:pPr>
          </w:p>
        </w:tc>
      </w:tr>
    </w:tbl>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both"/>
        <w:rPr>
          <w:rFonts w:ascii="宋体" w:hAnsi="宋体"/>
          <w:b/>
          <w:color w:val="000000" w:themeColor="text1"/>
          <w:highlight w:val="none"/>
          <w14:textFill>
            <w14:solidFill>
              <w14:schemeClr w14:val="tx1"/>
            </w14:solidFill>
          </w14:textFill>
        </w:rPr>
      </w:pPr>
      <w:bookmarkStart w:id="154" w:name="_Toc432682726"/>
      <w:bookmarkStart w:id="155" w:name="_Toc430771059"/>
      <w:bookmarkStart w:id="156" w:name="_Toc467236766"/>
      <w:bookmarkStart w:id="157" w:name="_Toc480020283"/>
      <w:bookmarkStart w:id="158" w:name="_Toc500861024"/>
      <w:bookmarkStart w:id="159" w:name="_Toc491658677"/>
      <w:bookmarkStart w:id="160" w:name="_Toc480021079"/>
      <w:bookmarkStart w:id="161" w:name="_Toc468157562"/>
      <w:bookmarkStart w:id="162" w:name="_Toc467987849"/>
      <w:bookmarkStart w:id="163" w:name="_Toc480010734"/>
      <w:bookmarkStart w:id="164" w:name="_Toc468606055"/>
      <w:bookmarkStart w:id="165" w:name="_Toc479991608"/>
      <w:bookmarkStart w:id="166" w:name="_Toc26066260"/>
      <w:bookmarkStart w:id="167" w:name="_Toc6727972"/>
      <w:bookmarkStart w:id="168" w:name="_Toc6397151"/>
      <w:bookmarkStart w:id="169" w:name="_Toc500861027"/>
      <w:bookmarkStart w:id="170" w:name="_Toc491658680"/>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bookmarkEnd w:id="154"/>
    <w:bookmarkEnd w:id="155"/>
    <w:p>
      <w:pPr>
        <w:pStyle w:val="5"/>
        <w:numPr>
          <w:ilvl w:val="0"/>
          <w:numId w:val="0"/>
        </w:numPr>
        <w:rPr>
          <w:rFonts w:hint="eastAsia"/>
          <w:color w:val="000000" w:themeColor="text1"/>
          <w:sz w:val="24"/>
          <w:highlight w:val="none"/>
          <w14:textFill>
            <w14:solidFill>
              <w14:schemeClr w14:val="tx1"/>
            </w14:solidFill>
          </w14:textFill>
        </w:rPr>
      </w:pPr>
      <w:bookmarkStart w:id="171" w:name="_Toc500843104"/>
      <w:bookmarkStart w:id="172" w:name="_Toc430185803"/>
      <w:bookmarkStart w:id="173" w:name="_Toc430771060"/>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5"/>
        <w:numPr>
          <w:ilvl w:val="0"/>
          <w:numId w:val="0"/>
        </w:numPr>
        <w:jc w:val="both"/>
        <w:rPr>
          <w:rFonts w:hint="eastAsia"/>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5"/>
        <w:numPr>
          <w:ilvl w:val="0"/>
          <w:numId w:val="0"/>
        </w:numPr>
        <w:rPr>
          <w:rFonts w:hint="eastAsia" w:ascii="宋体" w:hAnsi="宋体"/>
          <w:color w:val="000000" w:themeColor="text1"/>
          <w:highlight w:val="none"/>
          <w14:textFill>
            <w14:solidFill>
              <w14:schemeClr w14:val="tx1"/>
            </w14:solidFill>
          </w14:textFill>
        </w:rPr>
      </w:pPr>
      <w:bookmarkStart w:id="174" w:name="_Toc375"/>
      <w:r>
        <w:rPr>
          <w:rFonts w:hint="eastAsia"/>
          <w:color w:val="000000" w:themeColor="text1"/>
          <w:sz w:val="24"/>
          <w:highlight w:val="none"/>
          <w14:textFill>
            <w14:solidFill>
              <w14:schemeClr w14:val="tx1"/>
            </w14:solidFill>
          </w14:textFill>
        </w:rPr>
        <w:t>政府采购政策</w:t>
      </w:r>
      <w:bookmarkEnd w:id="171"/>
      <w:bookmarkEnd w:id="174"/>
    </w:p>
    <w:bookmarkEnd w:id="172"/>
    <w:bookmarkEnd w:id="173"/>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5" w:name="_Toc430771061"/>
      <w:bookmarkStart w:id="176"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5"/>
      <w:bookmarkEnd w:id="176"/>
    </w:p>
    <w:p>
      <w:pPr>
        <w:spacing w:line="360" w:lineRule="auto"/>
        <w:rPr>
          <w:rFonts w:ascii="宋体" w:hAnsi="宋体"/>
          <w:color w:val="000000" w:themeColor="text1"/>
          <w:highlight w:val="none"/>
          <w14:textFill>
            <w14:solidFill>
              <w14:schemeClr w14:val="tx1"/>
            </w14:solidFill>
          </w14:textFill>
        </w:rPr>
      </w:pPr>
      <w:bookmarkStart w:id="177" w:name="_Toc430185805"/>
      <w:bookmarkStart w:id="178"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7"/>
      <w:bookmarkEnd w:id="178"/>
    </w:p>
    <w:p>
      <w:pPr>
        <w:spacing w:line="360" w:lineRule="auto"/>
        <w:rPr>
          <w:rFonts w:ascii="宋体" w:hAnsi="宋体"/>
          <w:color w:val="000000" w:themeColor="text1"/>
          <w:highlight w:val="none"/>
          <w14:textFill>
            <w14:solidFill>
              <w14:schemeClr w14:val="tx1"/>
            </w14:solidFill>
          </w14:textFill>
        </w:rPr>
      </w:pPr>
      <w:bookmarkStart w:id="179" w:name="_Toc430771063"/>
      <w:bookmarkStart w:id="180" w:name="_Toc430185806"/>
      <w:r>
        <w:rPr>
          <w:rFonts w:hint="eastAsia" w:ascii="宋体" w:hAnsi="宋体"/>
          <w:color w:val="000000" w:themeColor="text1"/>
          <w:highlight w:val="none"/>
          <w14:textFill>
            <w14:solidFill>
              <w14:schemeClr w14:val="tx1"/>
            </w14:solidFill>
          </w14:textFill>
        </w:rPr>
        <w:t>4．</w:t>
      </w:r>
      <w:bookmarkEnd w:id="179"/>
      <w:bookmarkEnd w:id="180"/>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ascii="宋体" w:hAnsi="宋体"/>
                <w:color w:val="000000" w:themeColor="text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ascii="宋体" w:hAnsi="宋体"/>
                <w:color w:val="000000" w:themeColor="text1"/>
                <w:highlight w:val="non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181" w:name="_Hlt21939000"/>
      <w:bookmarkEnd w:id="181"/>
      <w:bookmarkStart w:id="182" w:name="_Toc365985187"/>
      <w:bookmarkStart w:id="183" w:name="_Toc333238642"/>
      <w:bookmarkStart w:id="184" w:name="_Toc331684047"/>
      <w:bookmarkStart w:id="185" w:name="_Toc336681589"/>
      <w:bookmarkStart w:id="186" w:name="_Toc339019898"/>
      <w:bookmarkStart w:id="187" w:name="_Toc350756459"/>
      <w:bookmarkStart w:id="188" w:name="_Toc374454610"/>
      <w:bookmarkStart w:id="189" w:name="_Toc330459994"/>
      <w:bookmarkStart w:id="190" w:name="_Toc349143598"/>
      <w:bookmarkStart w:id="191" w:name="_Toc336681944"/>
      <w:bookmarkStart w:id="192" w:name="_Toc337632367"/>
      <w:bookmarkStart w:id="193" w:name="_Toc342296769"/>
      <w:bookmarkStart w:id="194" w:name="_Toc345513910"/>
      <w:bookmarkStart w:id="195" w:name="_Toc365967081"/>
      <w:bookmarkStart w:id="196" w:name="_Toc339020242"/>
      <w:bookmarkStart w:id="197" w:name="_Toc333935696"/>
      <w:bookmarkStart w:id="198" w:name="_Toc342060383"/>
      <w:bookmarkStart w:id="199" w:name="_Toc332270355"/>
      <w:bookmarkStart w:id="200" w:name="_Toc366072538"/>
      <w:bookmarkStart w:id="201" w:name="_Toc339020104"/>
      <w:bookmarkStart w:id="202" w:name="_Toc339020024"/>
      <w:bookmarkStart w:id="203" w:name="_Toc349127635"/>
      <w:bookmarkStart w:id="204" w:name="_Toc333237797"/>
      <w:bookmarkStart w:id="205" w:name="_Toc339362309"/>
      <w:bookmarkStart w:id="206" w:name="_Toc340677079"/>
      <w:bookmarkStart w:id="207" w:name="_Toc333237686"/>
      <w:bookmarkStart w:id="208" w:name="_Toc350438758"/>
      <w:bookmarkStart w:id="209" w:name="_Toc333935355"/>
      <w:bookmarkStart w:id="210" w:name="_Toc340507451"/>
      <w:bookmarkStart w:id="211" w:name="_Toc332206717"/>
      <w:bookmarkStart w:id="212" w:name="_Toc340672878"/>
      <w:bookmarkStart w:id="213" w:name="_Toc341348347"/>
      <w:bookmarkStart w:id="214" w:name="_Toc331512907"/>
      <w:bookmarkStart w:id="215" w:name="_Toc339441096"/>
      <w:bookmarkStart w:id="216" w:name="_Toc20108"/>
      <w:r>
        <w:rPr>
          <w:rFonts w:hint="eastAsia" w:ascii="宋体" w:hAnsi="宋体" w:eastAsia="宋体"/>
          <w:b/>
          <w:color w:val="000000" w:themeColor="text1"/>
          <w:highlight w:val="none"/>
          <w14:textFill>
            <w14:solidFill>
              <w14:schemeClr w14:val="tx1"/>
            </w14:solidFill>
          </w14:textFill>
        </w:rPr>
        <w:t xml:space="preserve">第五部分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7" w:name="_Hlt97188170"/>
      <w:bookmarkEnd w:id="217"/>
      <w:r>
        <w:rPr>
          <w:rFonts w:hint="eastAsia" w:ascii="宋体" w:hAnsi="宋体"/>
          <w:b/>
          <w:color w:val="000000" w:themeColor="text1"/>
          <w:sz w:val="21"/>
          <w:szCs w:val="21"/>
          <w:highlight w:val="none"/>
          <w14:textFill>
            <w14:solidFill>
              <w14:schemeClr w14:val="tx1"/>
            </w14:solidFill>
          </w14:textFill>
        </w:rPr>
        <w:t>合同书格式（参考范本）</w:t>
      </w:r>
      <w:bookmarkEnd w:id="216"/>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right="31" w:rightChars="15"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9"/>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9"/>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30"/>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30"/>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218" w:name="_Toc342060384"/>
      <w:bookmarkStart w:id="219" w:name="_Toc342296770"/>
      <w:bookmarkStart w:id="220" w:name="_Toc365985188"/>
      <w:bookmarkStart w:id="221" w:name="_Toc339019899"/>
      <w:bookmarkStart w:id="222" w:name="_Toc333237798"/>
      <w:bookmarkStart w:id="223" w:name="_Toc349143599"/>
      <w:bookmarkStart w:id="224" w:name="_Toc350438759"/>
      <w:bookmarkStart w:id="225" w:name="_Toc339020243"/>
      <w:bookmarkStart w:id="226" w:name="_Toc349127636"/>
      <w:bookmarkStart w:id="227" w:name="_Toc336681590"/>
      <w:bookmarkStart w:id="228" w:name="_Toc339441097"/>
      <w:bookmarkStart w:id="229" w:name="_Toc337632368"/>
      <w:bookmarkStart w:id="230" w:name="_Toc341348348"/>
      <w:bookmarkStart w:id="231" w:name="_Toc339020025"/>
      <w:bookmarkStart w:id="232" w:name="_Toc339362310"/>
      <w:bookmarkStart w:id="233" w:name="_Toc25939"/>
      <w:bookmarkStart w:id="234" w:name="_Toc366072539"/>
      <w:bookmarkStart w:id="235" w:name="_Toc491658678"/>
      <w:bookmarkStart w:id="236" w:name="_Toc331684048"/>
      <w:bookmarkStart w:id="237" w:name="_Toc333237687"/>
      <w:bookmarkStart w:id="238" w:name="_Toc332270356"/>
      <w:bookmarkStart w:id="239" w:name="_Toc333935697"/>
      <w:bookmarkStart w:id="240" w:name="_Toc333935356"/>
      <w:bookmarkStart w:id="241" w:name="_Toc345513911"/>
      <w:bookmarkStart w:id="242" w:name="_Toc333238643"/>
      <w:bookmarkStart w:id="243" w:name="_Toc350756460"/>
      <w:bookmarkStart w:id="244" w:name="_Toc340672879"/>
      <w:bookmarkStart w:id="245" w:name="_Toc340507452"/>
      <w:bookmarkStart w:id="246" w:name="_Toc331512908"/>
      <w:bookmarkStart w:id="247" w:name="_Toc340677080"/>
      <w:bookmarkStart w:id="248" w:name="_Toc332206718"/>
      <w:bookmarkStart w:id="249" w:name="_Toc336681945"/>
      <w:bookmarkStart w:id="250" w:name="_Toc365967082"/>
      <w:bookmarkStart w:id="251" w:name="_Toc339020105"/>
      <w:bookmarkStart w:id="252" w:name="_Toc330459995"/>
      <w:bookmarkStart w:id="253" w:name="_Toc500861025"/>
      <w:r>
        <w:rPr>
          <w:rFonts w:hint="eastAsia" w:ascii="宋体" w:hAnsi="宋体" w:eastAsia="宋体"/>
          <w:b/>
          <w:color w:val="000000" w:themeColor="text1"/>
          <w:highlight w:val="none"/>
          <w14:textFill>
            <w14:solidFill>
              <w14:schemeClr w14:val="tx1"/>
            </w14:solidFill>
          </w14:textFill>
        </w:rPr>
        <w:t>第六部分</w:t>
      </w:r>
      <w:bookmarkStart w:id="254" w:name="_Hlt97188172"/>
      <w:bookmarkEnd w:id="254"/>
      <w:r>
        <w:rPr>
          <w:rFonts w:hint="eastAsia" w:ascii="宋体" w:hAnsi="宋体" w:eastAsia="宋体"/>
          <w:b/>
          <w:color w:val="000000" w:themeColor="text1"/>
          <w:highlight w:val="none"/>
          <w14:textFill>
            <w14:solidFill>
              <w14:schemeClr w14:val="tx1"/>
            </w14:solidFill>
          </w14:textFill>
        </w:rPr>
        <w:t>磋商响应文件格式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Start w:id="255" w:name="_Hlt21938933"/>
      <w:bookmarkEnd w:id="255"/>
    </w:p>
    <w:p>
      <w:pPr>
        <w:rPr>
          <w:rFonts w:ascii="宋体" w:hAnsi="宋体"/>
          <w:color w:val="000000" w:themeColor="text1"/>
          <w:highlight w:val="none"/>
          <w14:textFill>
            <w14:solidFill>
              <w14:schemeClr w14:val="tx1"/>
            </w14:solidFill>
          </w14:textFill>
        </w:rPr>
      </w:pPr>
    </w:p>
    <w:p>
      <w:pPr>
        <w:pStyle w:val="5"/>
        <w:numPr>
          <w:ilvl w:val="1"/>
          <w:numId w:val="0"/>
        </w:numPr>
        <w:rPr>
          <w:rFonts w:ascii="宋体" w:hAnsi="宋体"/>
          <w:color w:val="000000" w:themeColor="text1"/>
          <w:sz w:val="24"/>
          <w:highlight w:val="none"/>
          <w14:textFill>
            <w14:solidFill>
              <w14:schemeClr w14:val="tx1"/>
            </w14:solidFill>
          </w14:textFill>
        </w:rPr>
      </w:pPr>
      <w:bookmarkStart w:id="256" w:name="_Toc333237688"/>
      <w:bookmarkStart w:id="257" w:name="_Toc26138"/>
      <w:bookmarkStart w:id="258" w:name="_Toc331684049"/>
      <w:bookmarkStart w:id="259" w:name="_Toc333237799"/>
      <w:bookmarkStart w:id="260" w:name="_Toc350438760"/>
      <w:bookmarkStart w:id="261" w:name="_Toc341348349"/>
      <w:bookmarkStart w:id="262" w:name="_Toc349127637"/>
      <w:bookmarkStart w:id="263" w:name="_Toc350756461"/>
      <w:bookmarkStart w:id="264" w:name="_Toc330459996"/>
      <w:bookmarkStart w:id="265" w:name="_Toc349143600"/>
      <w:bookmarkStart w:id="266" w:name="_Toc332270357"/>
      <w:bookmarkStart w:id="267" w:name="_Toc339020244"/>
      <w:bookmarkStart w:id="268" w:name="_Toc342296771"/>
      <w:bookmarkStart w:id="269" w:name="_Toc339362311"/>
      <w:bookmarkStart w:id="270" w:name="_Toc333238644"/>
      <w:bookmarkStart w:id="271" w:name="_Toc366072540"/>
      <w:bookmarkStart w:id="272" w:name="_Toc345513912"/>
      <w:bookmarkStart w:id="273" w:name="_Toc340507453"/>
      <w:bookmarkStart w:id="274" w:name="_Toc332206719"/>
      <w:bookmarkStart w:id="275" w:name="_Toc331512909"/>
      <w:bookmarkStart w:id="276" w:name="_Toc340677081"/>
      <w:bookmarkStart w:id="277" w:name="_Toc365985189"/>
      <w:bookmarkStart w:id="278" w:name="_Toc339441098"/>
      <w:bookmarkStart w:id="279" w:name="_Toc340672880"/>
      <w:bookmarkStart w:id="280" w:name="_Toc336681591"/>
      <w:bookmarkStart w:id="281" w:name="_Toc336681946"/>
      <w:bookmarkStart w:id="282" w:name="_Toc339020106"/>
      <w:bookmarkStart w:id="283" w:name="_Toc339019900"/>
      <w:bookmarkStart w:id="284" w:name="_Toc333935357"/>
      <w:bookmarkStart w:id="285" w:name="_Toc365967083"/>
      <w:bookmarkStart w:id="286" w:name="_Toc342060385"/>
      <w:bookmarkStart w:id="287" w:name="_Toc333935698"/>
      <w:bookmarkStart w:id="288" w:name="_Toc339020026"/>
      <w:bookmarkStart w:id="289" w:name="_Toc337632369"/>
      <w:r>
        <w:rPr>
          <w:rFonts w:hint="eastAsia" w:ascii="宋体" w:hAnsi="宋体"/>
          <w:color w:val="000000" w:themeColor="text1"/>
          <w:sz w:val="24"/>
          <w:highlight w:val="none"/>
          <w14:textFill>
            <w14:solidFill>
              <w14:schemeClr w14:val="tx1"/>
            </w14:solidFill>
          </w14:textFill>
        </w:rPr>
        <w:t>封面格式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7"/>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7"/>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7"/>
        <w:spacing w:line="440" w:lineRule="exact"/>
        <w:rPr>
          <w:rFonts w:hint="eastAsia" w:hAnsi="宋体" w:eastAsia="宋体"/>
          <w:bCs/>
          <w:color w:val="000000" w:themeColor="text1"/>
          <w:sz w:val="21"/>
          <w:highlight w:val="none"/>
          <w:lang w:eastAsia="zh-CN"/>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lang w:eastAsia="zh-CN"/>
          <w14:textFill>
            <w14:solidFill>
              <w14:schemeClr w14:val="tx1"/>
            </w14:solidFill>
          </w14:textFill>
        </w:rPr>
        <w:t>YXCG-20210812</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pPr>
        <w:pStyle w:val="7"/>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p>
    <w:p>
      <w:pPr>
        <w:pStyle w:val="5"/>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90" w:name="_Toc5851"/>
      <w:r>
        <w:rPr>
          <w:rFonts w:hint="eastAsia" w:ascii="宋体" w:hAnsi="宋体"/>
          <w:b w:val="0"/>
          <w:color w:val="000000" w:themeColor="text1"/>
          <w:sz w:val="24"/>
          <w:highlight w:val="none"/>
          <w14:textFill>
            <w14:solidFill>
              <w14:schemeClr w14:val="tx1"/>
            </w14:solidFill>
          </w14:textFill>
        </w:rPr>
        <w:t>自查表</w:t>
      </w:r>
      <w:bookmarkEnd w:id="290"/>
    </w:p>
    <w:p>
      <w:pPr>
        <w:pStyle w:val="5"/>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1" w:name="_Toc31777"/>
      <w:bookmarkStart w:id="292" w:name="_Toc9221"/>
      <w:bookmarkStart w:id="293" w:name="_Toc18086"/>
      <w:r>
        <w:rPr>
          <w:rFonts w:hint="eastAsia" w:ascii="宋体"/>
          <w:bCs w:val="0"/>
          <w:color w:val="000000" w:themeColor="text1"/>
          <w:szCs w:val="21"/>
          <w:highlight w:val="none"/>
          <w14:textFill>
            <w14:solidFill>
              <w14:schemeClr w14:val="tx1"/>
            </w14:solidFill>
          </w14:textFill>
        </w:rPr>
        <w:t>1.1  资格性/符合性自查表</w:t>
      </w:r>
      <w:bookmarkEnd w:id="291"/>
      <w:bookmarkEnd w:id="292"/>
      <w:bookmarkEnd w:id="293"/>
    </w:p>
    <w:p>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b/>
                <w:bCs/>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0"/>
              </w:tabs>
              <w:ind w:left="0" w:leftChars="0" w:firstLine="0" w:firstLineChars="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lang w:val="en-US" w:eastAsia="zh-CN"/>
                <w14:textFill>
                  <w14:solidFill>
                    <w14:schemeClr w14:val="tx1"/>
                  </w14:solidFill>
                </w14:textFill>
              </w:rPr>
              <w:t>投标人须是中华人民共和国境内合法注册，能独立承担民事责任并具有相关经营范围（包括拖车，吊车，停车保管服务等）的法人或其他组织</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0"/>
              </w:tabs>
              <w:ind w:left="0" w:leftChars="0" w:firstLine="0" w:firstLineChars="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须满足</w:t>
            </w:r>
            <w:r>
              <w:rPr>
                <w:rFonts w:hint="eastAsia" w:ascii="宋体" w:hAnsi="宋体"/>
                <w:b w:val="0"/>
                <w:bCs w:val="0"/>
                <w:color w:val="000000" w:themeColor="text1"/>
                <w:szCs w:val="21"/>
                <w:highlight w:val="none"/>
                <w:lang w:val="en-US" w:eastAsia="zh-CN"/>
                <w14:textFill>
                  <w14:solidFill>
                    <w14:schemeClr w14:val="tx1"/>
                  </w14:solidFill>
                </w14:textFill>
              </w:rPr>
              <w:t>带“★”号</w:t>
            </w:r>
            <w:r>
              <w:rPr>
                <w:rFonts w:hint="eastAsia" w:ascii="宋体" w:hAnsi="宋体"/>
                <w:b w:val="0"/>
                <w:bCs w:val="0"/>
                <w:color w:val="000000" w:themeColor="text1"/>
                <w:szCs w:val="21"/>
                <w:highlight w:val="none"/>
                <w14:textFill>
                  <w14:solidFill>
                    <w14:schemeClr w14:val="tx1"/>
                  </w14:solidFill>
                </w14:textFill>
              </w:rPr>
              <w:t>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0"/>
              </w:tabs>
              <w:ind w:left="0" w:leftChars="0" w:firstLine="0" w:firstLineChars="0"/>
              <w:jc w:val="center"/>
              <w:rPr>
                <w:rFonts w:hint="eastAsia" w:ascii="宋体" w:hAnsi="宋体"/>
                <w:color w:val="000000" w:themeColor="text1"/>
                <w:szCs w:val="21"/>
                <w:highlight w:val="none"/>
                <w14:textFill>
                  <w14:solidFill>
                    <w14:schemeClr w14:val="tx1"/>
                  </w14:solidFill>
                </w14:textFill>
              </w:rPr>
            </w:pP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7"/>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pPr>
        <w:pStyle w:val="5"/>
        <w:numPr>
          <w:ilvl w:val="1"/>
          <w:numId w:val="0"/>
        </w:numPr>
        <w:spacing w:line="360" w:lineRule="auto"/>
        <w:rPr>
          <w:rFonts w:ascii="宋体" w:hAnsi="宋体"/>
          <w:color w:val="000000" w:themeColor="text1"/>
          <w:highlight w:val="none"/>
          <w14:textFill>
            <w14:solidFill>
              <w14:schemeClr w14:val="tx1"/>
            </w14:solidFill>
          </w14:textFill>
        </w:rPr>
      </w:pPr>
      <w:bookmarkStart w:id="294" w:name="_Toc469160785"/>
      <w:bookmarkStart w:id="295" w:name="_Toc13362"/>
      <w:bookmarkStart w:id="296"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294"/>
      <w:bookmarkEnd w:id="295"/>
      <w:bookmarkEnd w:id="296"/>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7" w:name="_Toc23260"/>
      <w:bookmarkStart w:id="298" w:name="_Toc200414516"/>
      <w:bookmarkStart w:id="299"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7"/>
      <w:bookmarkEnd w:id="298"/>
      <w:bookmarkEnd w:id="299"/>
    </w:p>
    <w:p>
      <w:pPr>
        <w:pStyle w:val="7"/>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年月日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7"/>
        <w:spacing w:line="360" w:lineRule="auto"/>
        <w:ind w:firstLine="0"/>
        <w:rPr>
          <w:rFonts w:hAnsi="宋体"/>
          <w:color w:val="000000" w:themeColor="text1"/>
          <w:highlight w:val="none"/>
          <w14:textFill>
            <w14:solidFill>
              <w14:schemeClr w14:val="tx1"/>
            </w14:solidFill>
          </w14:textFill>
        </w:rPr>
      </w:pPr>
    </w:p>
    <w:p>
      <w:pPr>
        <w:pStyle w:val="7"/>
        <w:spacing w:line="360" w:lineRule="auto"/>
        <w:ind w:firstLine="0"/>
        <w:rPr>
          <w:rFonts w:hAnsi="宋体"/>
          <w:color w:val="000000" w:themeColor="text1"/>
          <w:highlight w:val="none"/>
          <w14:textFill>
            <w14:solidFill>
              <w14:schemeClr w14:val="tx1"/>
            </w14:solidFill>
          </w14:textFill>
        </w:rPr>
      </w:pPr>
    </w:p>
    <w:p>
      <w:pPr>
        <w:pStyle w:val="7"/>
        <w:spacing w:line="360" w:lineRule="auto"/>
        <w:ind w:firstLine="0"/>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469160787"/>
      <w:bookmarkStart w:id="301" w:name="_Toc200414517"/>
      <w:bookmarkStart w:id="302" w:name="_Toc9911"/>
      <w:r>
        <w:rPr>
          <w:rFonts w:hint="eastAsia" w:ascii="宋体" w:hAnsi="宋体"/>
          <w:color w:val="000000" w:themeColor="text1"/>
          <w:sz w:val="28"/>
          <w:szCs w:val="28"/>
          <w:highlight w:val="none"/>
          <w14:textFill>
            <w14:solidFill>
              <w14:schemeClr w14:val="tx1"/>
            </w14:solidFill>
          </w14:textFill>
        </w:rPr>
        <w:t>（三）法定代表人（负责人）授权书</w:t>
      </w:r>
      <w:bookmarkEnd w:id="300"/>
      <w:bookmarkEnd w:id="301"/>
      <w:bookmarkEnd w:id="302"/>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3" w:name="_Toc29519"/>
      <w:bookmarkStart w:id="304" w:name="_Toc469160793"/>
      <w:bookmarkStart w:id="305"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3"/>
      <w:bookmarkEnd w:id="304"/>
      <w:bookmarkEnd w:id="305"/>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5"/>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6" w:name="_Toc28161"/>
      <w:bookmarkStart w:id="307" w:name="_Toc200414524"/>
      <w:bookmarkStart w:id="308"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6"/>
      <w:bookmarkEnd w:id="307"/>
      <w:bookmarkEnd w:id="308"/>
    </w:p>
    <w:p>
      <w:pPr>
        <w:pStyle w:val="5"/>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9" w:name="_Toc469160795"/>
      <w:bookmarkStart w:id="310" w:name="_Toc18862"/>
      <w:bookmarkStart w:id="311"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9"/>
      <w:bookmarkEnd w:id="310"/>
      <w:bookmarkEnd w:id="311"/>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以形式提交的磋商保证金，金额为大写</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bCs/>
          <w:color w:val="000000" w:themeColor="text1"/>
          <w:szCs w:val="21"/>
          <w:highlight w:val="none"/>
          <w14:textFill>
            <w14:solidFill>
              <w14:schemeClr w14:val="tx1"/>
            </w14:solidFill>
          </w14:textFill>
        </w:rPr>
        <w:t>¥ ）。</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469160796"/>
      <w:bookmarkStart w:id="313" w:name="_Toc19404"/>
      <w:bookmarkStart w:id="314"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2"/>
      <w:bookmarkEnd w:id="313"/>
      <w:bookmarkEnd w:id="314"/>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bC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5" w:name="_Toc200414527"/>
      <w:bookmarkStart w:id="316" w:name="_Toc23729"/>
      <w:bookmarkStart w:id="317" w:name="_Toc46916079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5"/>
      <w:bookmarkEnd w:id="316"/>
      <w:bookmarkEnd w:id="317"/>
    </w:p>
    <w:p>
      <w:pPr>
        <w:adjustRightInd w:val="0"/>
        <w:snapToGrid w:val="0"/>
        <w:spacing w:line="360" w:lineRule="auto"/>
        <w:jc w:val="left"/>
        <w:rPr>
          <w:rFonts w:hint="eastAsia" w:ascii="宋体" w:hAnsi="宋体" w:eastAsia="宋体"/>
          <w:b/>
          <w:bCs/>
          <w:cap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pPr>
              <w:pStyle w:val="7"/>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7"/>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7"/>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pPr>
              <w:pStyle w:val="7"/>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7"/>
              <w:snapToGrid w:val="0"/>
              <w:ind w:firstLine="0"/>
              <w:jc w:val="center"/>
              <w:rPr>
                <w:rFonts w:hAnsi="宋体"/>
                <w:bCs/>
                <w:color w:val="000000" w:themeColor="text1"/>
                <w:sz w:val="21"/>
                <w:szCs w:val="21"/>
                <w:highlight w:val="none"/>
                <w14:textFill>
                  <w14:solidFill>
                    <w14:schemeClr w14:val="tx1"/>
                  </w14:solidFill>
                </w14:textFill>
              </w:rPr>
            </w:pPr>
          </w:p>
        </w:tc>
      </w:tr>
    </w:tbl>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bookmarkStart w:id="318" w:name="_Toc200414528"/>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469160798"/>
      <w:bookmarkStart w:id="320" w:name="_Toc8248"/>
      <w:r>
        <w:rPr>
          <w:rFonts w:hint="eastAsia" w:ascii="宋体" w:hAnsi="宋体"/>
          <w:color w:val="000000" w:themeColor="text1"/>
          <w:sz w:val="28"/>
          <w:szCs w:val="28"/>
          <w:highlight w:val="none"/>
          <w14:textFill>
            <w14:solidFill>
              <w14:schemeClr w14:val="tx1"/>
            </w14:solidFill>
          </w14:textFill>
        </w:rPr>
        <w:t>附件四：商务条款偏离一览表</w:t>
      </w:r>
      <w:bookmarkEnd w:id="318"/>
      <w:bookmarkEnd w:id="319"/>
      <w:bookmarkEnd w:id="320"/>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color w:val="000000" w:themeColor="text1"/>
          <w:spacing w:val="10"/>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w:t>
      </w:r>
    </w:p>
    <w:tbl>
      <w:tblPr>
        <w:tblStyle w:val="51"/>
        <w:tblW w:w="9271" w:type="dxa"/>
        <w:jc w:val="center"/>
        <w:tblLayout w:type="fixed"/>
        <w:tblCellMar>
          <w:top w:w="0" w:type="dxa"/>
          <w:left w:w="54" w:type="dxa"/>
          <w:bottom w:w="0" w:type="dxa"/>
          <w:right w:w="54" w:type="dxa"/>
        </w:tblCellMar>
      </w:tblPr>
      <w:tblGrid>
        <w:gridCol w:w="556"/>
        <w:gridCol w:w="1019"/>
        <w:gridCol w:w="3047"/>
        <w:gridCol w:w="2906"/>
        <w:gridCol w:w="993"/>
        <w:gridCol w:w="750"/>
      </w:tblGrid>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200414529"/>
      <w:bookmarkStart w:id="322" w:name="_Toc32562"/>
      <w:bookmarkStart w:id="323"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1"/>
      <w:bookmarkEnd w:id="322"/>
      <w:bookmarkEnd w:id="323"/>
    </w:p>
    <w:p>
      <w:pPr>
        <w:adjustRightInd w:val="0"/>
        <w:snapToGrid w:val="0"/>
        <w:spacing w:line="360" w:lineRule="auto"/>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w:t>
      </w:r>
    </w:p>
    <w:tbl>
      <w:tblPr>
        <w:tblStyle w:val="51"/>
        <w:tblW w:w="9271" w:type="dxa"/>
        <w:jc w:val="center"/>
        <w:tblLayout w:type="fixed"/>
        <w:tblCellMar>
          <w:top w:w="0" w:type="dxa"/>
          <w:left w:w="54" w:type="dxa"/>
          <w:bottom w:w="0" w:type="dxa"/>
          <w:right w:w="54" w:type="dxa"/>
        </w:tblCellMar>
      </w:tblPr>
      <w:tblGrid>
        <w:gridCol w:w="606"/>
        <w:gridCol w:w="969"/>
        <w:gridCol w:w="3047"/>
        <w:gridCol w:w="3190"/>
        <w:gridCol w:w="850"/>
        <w:gridCol w:w="609"/>
      </w:tblGrid>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7"/>
        <w:spacing w:line="360" w:lineRule="auto"/>
        <w:ind w:firstLine="0"/>
        <w:rPr>
          <w:rFonts w:hAnsi="宋体"/>
          <w:bCs/>
          <w:color w:val="000000" w:themeColor="text1"/>
          <w:szCs w:val="21"/>
          <w:highlight w:val="none"/>
          <w14:textFill>
            <w14:solidFill>
              <w14:schemeClr w14:val="tx1"/>
            </w14:solidFill>
          </w14:textFill>
        </w:rPr>
      </w:pPr>
    </w:p>
    <w:p>
      <w:pPr>
        <w:pStyle w:val="5"/>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4" w:name="_Toc261"/>
      <w:r>
        <w:rPr>
          <w:rFonts w:hint="eastAsia" w:ascii="宋体" w:hAnsi="宋体"/>
          <w:color w:val="000000" w:themeColor="text1"/>
          <w:sz w:val="28"/>
          <w:szCs w:val="28"/>
          <w:highlight w:val="none"/>
          <w14:textFill>
            <w14:solidFill>
              <w14:schemeClr w14:val="tx1"/>
            </w14:solidFill>
          </w14:textFill>
        </w:rPr>
        <w:t>附件六：同类业绩一览表</w:t>
      </w:r>
      <w:bookmarkEnd w:id="324"/>
    </w:p>
    <w:p>
      <w:pPr>
        <w:pStyle w:val="7"/>
        <w:spacing w:line="360" w:lineRule="auto"/>
        <w:rPr>
          <w:color w:val="000000" w:themeColor="text1"/>
          <w:sz w:val="21"/>
          <w:szCs w:val="21"/>
          <w:highlight w:val="none"/>
          <w14:textFill>
            <w14:solidFill>
              <w14:schemeClr w14:val="tx1"/>
            </w14:solidFill>
          </w14:textFill>
        </w:rPr>
      </w:pPr>
    </w:p>
    <w:p>
      <w:pPr>
        <w:pStyle w:val="7"/>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YXCG-20210812</w:t>
      </w:r>
      <w:r>
        <w:rPr>
          <w:rFonts w:hint="eastAsia"/>
          <w:b/>
          <w:bCs/>
          <w:color w:val="000000" w:themeColor="text1"/>
          <w:sz w:val="21"/>
          <w:szCs w:val="21"/>
          <w:highlight w:val="none"/>
          <w14:textFill>
            <w14:solidFill>
              <w14:schemeClr w14:val="tx1"/>
            </w14:solidFill>
          </w14:textFill>
        </w:rPr>
        <w:t xml:space="preserve">  </w:t>
      </w:r>
    </w:p>
    <w:p>
      <w:pPr>
        <w:pStyle w:val="7"/>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阳江市公安局阳东分局交通违法及事故车辆拖车、保管项目</w:t>
      </w:r>
    </w:p>
    <w:p>
      <w:pPr>
        <w:pStyle w:val="7"/>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bl>
    <w:p>
      <w:pPr>
        <w:pStyle w:val="7"/>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7"/>
        <w:ind w:firstLine="0"/>
        <w:rPr>
          <w:rFonts w:hAnsi="宋体"/>
          <w:bCs/>
          <w:color w:val="000000" w:themeColor="text1"/>
          <w:sz w:val="21"/>
          <w:highlight w:val="none"/>
          <w14:textFill>
            <w14:solidFill>
              <w14:schemeClr w14:val="tx1"/>
            </w14:solidFill>
          </w14:textFill>
        </w:rPr>
      </w:pPr>
    </w:p>
    <w:p>
      <w:pPr>
        <w:pStyle w:val="7"/>
        <w:ind w:firstLine="0"/>
        <w:rPr>
          <w:rFonts w:hAnsi="宋体"/>
          <w:bCs/>
          <w:color w:val="000000" w:themeColor="text1"/>
          <w:sz w:val="21"/>
          <w:highlight w:val="none"/>
          <w14:textFill>
            <w14:solidFill>
              <w14:schemeClr w14:val="tx1"/>
            </w14:solidFill>
          </w14:textFill>
        </w:rPr>
      </w:pPr>
    </w:p>
    <w:p>
      <w:pPr>
        <w:pStyle w:val="7"/>
        <w:ind w:firstLine="0"/>
        <w:rPr>
          <w:rFonts w:hAnsi="宋体"/>
          <w:bCs/>
          <w:color w:val="000000" w:themeColor="text1"/>
          <w:sz w:val="21"/>
          <w:highlight w:val="none"/>
          <w14:textFill>
            <w14:solidFill>
              <w14:schemeClr w14:val="tx1"/>
            </w14:solidFill>
          </w14:textFill>
        </w:rPr>
      </w:pPr>
    </w:p>
    <w:p>
      <w:pPr>
        <w:pStyle w:val="7"/>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7"/>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5"/>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5" w:name="_Toc432682754"/>
      <w:bookmarkStart w:id="326" w:name="_Toc11866431"/>
      <w:bookmarkStart w:id="327" w:name="_Toc3324"/>
      <w:bookmarkStart w:id="328" w:name="_Toc430771089"/>
      <w:bookmarkStart w:id="329" w:name="_Toc432695229"/>
      <w:bookmarkStart w:id="330" w:name="_Toc7149"/>
      <w:bookmarkStart w:id="331" w:name="_Toc343248448"/>
      <w:bookmarkStart w:id="332" w:name="_Toc342398160"/>
      <w:bookmarkStart w:id="333" w:name="_Toc337632388"/>
      <w:bookmarkStart w:id="334" w:name="_Toc340677100"/>
      <w:bookmarkStart w:id="335" w:name="_Toc339019919"/>
      <w:bookmarkStart w:id="336" w:name="_Toc333238664"/>
      <w:bookmarkStart w:id="337" w:name="_Toc333237708"/>
      <w:bookmarkStart w:id="338" w:name="_Toc339020125"/>
      <w:bookmarkStart w:id="339" w:name="_Toc333935376"/>
      <w:bookmarkStart w:id="340" w:name="_Toc331684072"/>
      <w:bookmarkStart w:id="341" w:name="_Toc339362330"/>
      <w:bookmarkStart w:id="342" w:name="_Toc350756480"/>
      <w:bookmarkStart w:id="343" w:name="_Toc365985211"/>
      <w:bookmarkStart w:id="344" w:name="_Toc342296791"/>
      <w:bookmarkStart w:id="345" w:name="_Toc342060405"/>
      <w:bookmarkStart w:id="346" w:name="_Toc102451601"/>
      <w:bookmarkStart w:id="347" w:name="_Toc340672899"/>
      <w:bookmarkStart w:id="348" w:name="_Toc336681965"/>
      <w:bookmarkStart w:id="349" w:name="_Toc336681610"/>
      <w:bookmarkStart w:id="350" w:name="_Toc333237819"/>
      <w:bookmarkStart w:id="351" w:name="_Toc333935717"/>
      <w:bookmarkStart w:id="352" w:name="_Toc341348370"/>
      <w:bookmarkStart w:id="353" w:name="_Toc365967105"/>
      <w:bookmarkStart w:id="354" w:name="_Toc343247130"/>
      <w:bookmarkStart w:id="355" w:name="_Toc332270377"/>
      <w:bookmarkStart w:id="356" w:name="_Toc345312627"/>
      <w:bookmarkStart w:id="357" w:name="_Toc331512931"/>
      <w:bookmarkStart w:id="358" w:name="_Toc350438779"/>
      <w:bookmarkStart w:id="359" w:name="_Toc339020045"/>
      <w:bookmarkStart w:id="360" w:name="_Toc366072562"/>
      <w:bookmarkStart w:id="361" w:name="_Toc332206739"/>
      <w:bookmarkStart w:id="362" w:name="_Toc340507472"/>
      <w:bookmarkStart w:id="363" w:name="_Toc339441117"/>
      <w:bookmarkStart w:id="364" w:name="_Toc330460016"/>
      <w:bookmarkStart w:id="365" w:name="_Toc339020263"/>
      <w:bookmarkStart w:id="366" w:name="_Toc343612950"/>
      <w:bookmarkStart w:id="367" w:name="_Toc342312473"/>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5"/>
      <w:bookmarkEnd w:id="326"/>
      <w:bookmarkEnd w:id="327"/>
      <w:bookmarkEnd w:id="328"/>
      <w:bookmarkEnd w:id="329"/>
      <w:bookmarkEnd w:id="33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Style w:val="5"/>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20242"/>
      <w:bookmarkStart w:id="369" w:name="_Toc11866432"/>
      <w:bookmarkStart w:id="370" w:name="_Toc11188"/>
      <w:bookmarkStart w:id="371" w:name="_Toc32373"/>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7"/>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2" w:name="_Toc25317"/>
      <w:bookmarkStart w:id="373" w:name="_Toc200414534"/>
      <w:bookmarkStart w:id="374"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72"/>
      <w:bookmarkEnd w:id="373"/>
      <w:bookmarkEnd w:id="374"/>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）磋商项目（</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5" w:name="_Toc200414535"/>
      <w:bookmarkStart w:id="376" w:name="_Toc469160805"/>
      <w:bookmarkStart w:id="377" w:name="_Toc12727"/>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5"/>
      <w:bookmarkEnd w:id="376"/>
      <w:bookmarkEnd w:id="377"/>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7"/>
        <w:spacing w:line="360" w:lineRule="auto"/>
        <w:rPr>
          <w:rFonts w:hAnsi="宋体"/>
          <w:color w:val="000000" w:themeColor="text1"/>
          <w:sz w:val="21"/>
          <w:szCs w:val="21"/>
          <w:highlight w:val="none"/>
          <w14:textFill>
            <w14:solidFill>
              <w14:schemeClr w14:val="tx1"/>
            </w14:solidFill>
          </w14:textFill>
        </w:rPr>
      </w:pP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7"/>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7"/>
        <w:spacing w:line="360" w:lineRule="auto"/>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bookmarkStart w:id="378" w:name="_Toc434832511"/>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9" w:name="_Toc7361"/>
      <w:bookmarkStart w:id="380" w:name="_Toc469160806"/>
      <w:r>
        <w:rPr>
          <w:rFonts w:hint="eastAsia" w:ascii="宋体" w:hAnsi="宋体"/>
          <w:color w:val="000000" w:themeColor="text1"/>
          <w:sz w:val="52"/>
          <w:highlight w:val="none"/>
          <w14:textFill>
            <w14:solidFill>
              <w14:schemeClr w14:val="tx1"/>
            </w14:solidFill>
          </w14:textFill>
        </w:rPr>
        <w:t>其 他 格 式</w:t>
      </w:r>
      <w:bookmarkEnd w:id="378"/>
      <w:bookmarkEnd w:id="379"/>
      <w:bookmarkEnd w:id="38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6"/>
        <w:numPr>
          <w:ilvl w:val="2"/>
          <w:numId w:val="0"/>
        </w:numPr>
        <w:spacing w:afterLines="50"/>
        <w:jc w:val="center"/>
        <w:rPr>
          <w:rFonts w:ascii="宋体" w:hAnsi="宋体" w:eastAsia="宋体"/>
          <w:color w:val="000000" w:themeColor="text1"/>
          <w:sz w:val="28"/>
          <w:highlight w:val="none"/>
          <w14:textFill>
            <w14:solidFill>
              <w14:schemeClr w14:val="tx1"/>
            </w14:solidFill>
          </w14:textFill>
        </w:rPr>
      </w:pPr>
      <w:bookmarkStart w:id="381" w:name="_Toc469160807"/>
      <w:bookmarkStart w:id="382" w:name="_Toc30484"/>
      <w:r>
        <w:rPr>
          <w:rFonts w:hint="eastAsia" w:ascii="宋体" w:hAnsi="宋体" w:eastAsia="宋体"/>
          <w:color w:val="000000" w:themeColor="text1"/>
          <w:sz w:val="28"/>
          <w:highlight w:val="none"/>
          <w14:textFill>
            <w14:solidFill>
              <w14:schemeClr w14:val="tx1"/>
            </w14:solidFill>
          </w14:textFill>
        </w:rPr>
        <w:t>投标保证金退付书</w:t>
      </w:r>
      <w:bookmarkEnd w:id="381"/>
      <w:bookmarkEnd w:id="38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5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阳江市公安局阳东分局交通违法及事故车辆拖车、保管项目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YXCG-20210812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136"/>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1"/>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6"/>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6"/>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fldChar w:fldCharType="begin"/>
    </w:r>
    <w:r>
      <w:rPr>
        <w:rStyle w:val="55"/>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25</w:t>
    </w:r>
    <w:r>
      <w:rPr>
        <w:szCs w:val="21"/>
      </w:rPr>
      <w:fldChar w:fldCharType="end"/>
    </w:r>
    <w:r>
      <w:rPr>
        <w:rFonts w:hint="eastAsia"/>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F1033"/>
    <w:multiLevelType w:val="singleLevel"/>
    <w:tmpl w:val="914F1033"/>
    <w:lvl w:ilvl="0" w:tentative="0">
      <w:start w:val="1"/>
      <w:numFmt w:val="decimal"/>
      <w:suff w:val="nothing"/>
      <w:lvlText w:val="%1．"/>
      <w:lvlJc w:val="left"/>
      <w:pPr>
        <w:ind w:left="0" w:firstLine="400"/>
      </w:pPr>
      <w:rPr>
        <w:rFonts w:hint="default"/>
      </w:rPr>
    </w:lvl>
  </w:abstractNum>
  <w:abstractNum w:abstractNumId="1">
    <w:nsid w:val="00000001"/>
    <w:multiLevelType w:val="multilevel"/>
    <w:tmpl w:val="00000001"/>
    <w:lvl w:ilvl="0" w:tentative="0">
      <w:start w:val="1"/>
      <w:numFmt w:val="decimal"/>
      <w:lvlText w:val="%1."/>
      <w:lvlJc w:val="left"/>
      <w:pPr>
        <w:ind w:left="84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3">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5">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7">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9">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6958" w:hanging="720"/>
      </w:pPr>
      <w:rPr>
        <w:rFonts w:hint="default"/>
      </w:rPr>
    </w:lvl>
    <w:lvl w:ilvl="8" w:tentative="0">
      <w:start w:val="1"/>
      <w:numFmt w:val="lowerRoman"/>
      <w:lvlText w:val="%9."/>
      <w:lvlJc w:val="right"/>
      <w:pPr>
        <w:tabs>
          <w:tab w:val="left" w:pos="3780"/>
        </w:tabs>
        <w:ind w:left="3780" w:hanging="420"/>
      </w:pPr>
    </w:lvl>
  </w:abstractNum>
  <w:abstractNum w:abstractNumId="10">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11">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2">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5">
    <w:nsid w:val="0000001A"/>
    <w:multiLevelType w:val="multilevel"/>
    <w:tmpl w:val="0000001A"/>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6">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8">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0">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21">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3">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4">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5">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E"/>
    <w:multiLevelType w:val="multilevel"/>
    <w:tmpl w:val="0000002E"/>
    <w:lvl w:ilvl="0" w:tentative="0">
      <w:start w:val="1"/>
      <w:numFmt w:val="chineseCountingThousand"/>
      <w:lvlText w:val="(%1)"/>
      <w:lvlJc w:val="left"/>
      <w:pPr>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4E"/>
    <w:multiLevelType w:val="multilevel"/>
    <w:tmpl w:val="0000004E"/>
    <w:lvl w:ilvl="0" w:tentative="0">
      <w:start w:val="1"/>
      <w:numFmt w:val="decimal"/>
      <w:lvlText w:val="%1."/>
      <w:lvlJc w:val="left"/>
      <w:pPr>
        <w:ind w:left="84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1A9CBEEC"/>
    <w:multiLevelType w:val="singleLevel"/>
    <w:tmpl w:val="1A9CBEEC"/>
    <w:lvl w:ilvl="0" w:tentative="0">
      <w:start w:val="1"/>
      <w:numFmt w:val="decimal"/>
      <w:suff w:val="nothing"/>
      <w:lvlText w:val="%1．"/>
      <w:lvlJc w:val="left"/>
      <w:pPr>
        <w:ind w:left="0" w:firstLine="400"/>
      </w:pPr>
      <w:rPr>
        <w:rFonts w:hint="default"/>
      </w:rPr>
    </w:lvl>
  </w:abstractNum>
  <w:abstractNum w:abstractNumId="29">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A78EE8D"/>
    <w:multiLevelType w:val="singleLevel"/>
    <w:tmpl w:val="7A78EE8D"/>
    <w:lvl w:ilvl="0" w:tentative="0">
      <w:start w:val="1"/>
      <w:numFmt w:val="decimal"/>
      <w:lvlText w:val="%1."/>
      <w:lvlJc w:val="left"/>
      <w:pPr>
        <w:tabs>
          <w:tab w:val="left" w:pos="312"/>
        </w:tabs>
      </w:pPr>
    </w:lvl>
  </w:abstractNum>
  <w:num w:numId="1">
    <w:abstractNumId w:val="15"/>
  </w:num>
  <w:num w:numId="2">
    <w:abstractNumId w:val="22"/>
  </w:num>
  <w:num w:numId="3">
    <w:abstractNumId w:val="23"/>
  </w:num>
  <w:num w:numId="4">
    <w:abstractNumId w:val="6"/>
  </w:num>
  <w:num w:numId="5">
    <w:abstractNumId w:val="13"/>
  </w:num>
  <w:num w:numId="6">
    <w:abstractNumId w:val="9"/>
  </w:num>
  <w:num w:numId="7">
    <w:abstractNumId w:val="12"/>
  </w:num>
  <w:num w:numId="8">
    <w:abstractNumId w:val="19"/>
  </w:num>
  <w:num w:numId="9">
    <w:abstractNumId w:val="8"/>
  </w:num>
  <w:num w:numId="10">
    <w:abstractNumId w:val="3"/>
  </w:num>
  <w:num w:numId="11">
    <w:abstractNumId w:val="7"/>
  </w:num>
  <w:num w:numId="12">
    <w:abstractNumId w:val="17"/>
  </w:num>
  <w:num w:numId="13">
    <w:abstractNumId w:val="5"/>
  </w:num>
  <w:num w:numId="14">
    <w:abstractNumId w:val="24"/>
  </w:num>
  <w:num w:numId="15">
    <w:abstractNumId w:val="11"/>
  </w:num>
  <w:num w:numId="16">
    <w:abstractNumId w:val="10"/>
  </w:num>
  <w:num w:numId="17">
    <w:abstractNumId w:val="2"/>
  </w:num>
  <w:num w:numId="18">
    <w:abstractNumId w:val="4"/>
  </w:num>
  <w:num w:numId="19">
    <w:abstractNumId w:val="14"/>
  </w:num>
  <w:num w:numId="20">
    <w:abstractNumId w:val="18"/>
  </w:num>
  <w:num w:numId="21">
    <w:abstractNumId w:val="16"/>
  </w:num>
  <w:num w:numId="22">
    <w:abstractNumId w:val="21"/>
  </w:num>
  <w:num w:numId="23">
    <w:abstractNumId w:val="26"/>
  </w:num>
  <w:num w:numId="24">
    <w:abstractNumId w:val="1"/>
    <w:lvlOverride w:ilvl="0">
      <w:startOverride w:val="1"/>
    </w:lvlOverride>
  </w:num>
  <w:num w:numId="25">
    <w:abstractNumId w:val="27"/>
  </w:num>
  <w:num w:numId="26">
    <w:abstractNumId w:val="28"/>
  </w:num>
  <w:num w:numId="27">
    <w:abstractNumId w:val="0"/>
  </w:num>
  <w:num w:numId="28">
    <w:abstractNumId w:val="31"/>
  </w:num>
  <w:num w:numId="29">
    <w:abstractNumId w:val="29"/>
  </w:num>
  <w:num w:numId="30">
    <w:abstractNumId w:val="30"/>
  </w:num>
  <w:num w:numId="31">
    <w:abstractNumId w:val="2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715"/>
    <w:rsid w:val="00015EFC"/>
    <w:rsid w:val="00022A82"/>
    <w:rsid w:val="000351F0"/>
    <w:rsid w:val="00043F63"/>
    <w:rsid w:val="00044719"/>
    <w:rsid w:val="000545F6"/>
    <w:rsid w:val="00057014"/>
    <w:rsid w:val="0006223B"/>
    <w:rsid w:val="00065D85"/>
    <w:rsid w:val="00081E6B"/>
    <w:rsid w:val="000A02A9"/>
    <w:rsid w:val="000A6122"/>
    <w:rsid w:val="000B78E5"/>
    <w:rsid w:val="000D107A"/>
    <w:rsid w:val="000F5037"/>
    <w:rsid w:val="00100AA2"/>
    <w:rsid w:val="001177C2"/>
    <w:rsid w:val="00127F6A"/>
    <w:rsid w:val="0013494F"/>
    <w:rsid w:val="00136D79"/>
    <w:rsid w:val="00151D5C"/>
    <w:rsid w:val="00172A27"/>
    <w:rsid w:val="0018765F"/>
    <w:rsid w:val="00193EE1"/>
    <w:rsid w:val="001A3E95"/>
    <w:rsid w:val="001A7A72"/>
    <w:rsid w:val="001B171D"/>
    <w:rsid w:val="001C182A"/>
    <w:rsid w:val="001C29B5"/>
    <w:rsid w:val="001C7D6D"/>
    <w:rsid w:val="001D1B42"/>
    <w:rsid w:val="001D2131"/>
    <w:rsid w:val="001D4265"/>
    <w:rsid w:val="001E0218"/>
    <w:rsid w:val="001E0C1B"/>
    <w:rsid w:val="0021687A"/>
    <w:rsid w:val="00222B53"/>
    <w:rsid w:val="0023140D"/>
    <w:rsid w:val="00234769"/>
    <w:rsid w:val="00250CF1"/>
    <w:rsid w:val="002562AD"/>
    <w:rsid w:val="00260A93"/>
    <w:rsid w:val="00273E20"/>
    <w:rsid w:val="00283364"/>
    <w:rsid w:val="00283BEA"/>
    <w:rsid w:val="002A2C48"/>
    <w:rsid w:val="002B07A0"/>
    <w:rsid w:val="002D10C6"/>
    <w:rsid w:val="002D6B63"/>
    <w:rsid w:val="00312BE3"/>
    <w:rsid w:val="00321E5F"/>
    <w:rsid w:val="00335E4A"/>
    <w:rsid w:val="00341880"/>
    <w:rsid w:val="003502B3"/>
    <w:rsid w:val="00360111"/>
    <w:rsid w:val="00377AED"/>
    <w:rsid w:val="00384BF0"/>
    <w:rsid w:val="003B027A"/>
    <w:rsid w:val="003B2155"/>
    <w:rsid w:val="003B57CC"/>
    <w:rsid w:val="003B5E67"/>
    <w:rsid w:val="003C6F29"/>
    <w:rsid w:val="003D6964"/>
    <w:rsid w:val="00404842"/>
    <w:rsid w:val="00424329"/>
    <w:rsid w:val="004369FC"/>
    <w:rsid w:val="00460ED6"/>
    <w:rsid w:val="00474A02"/>
    <w:rsid w:val="004917A7"/>
    <w:rsid w:val="004B5D2D"/>
    <w:rsid w:val="004C23C7"/>
    <w:rsid w:val="004C65B0"/>
    <w:rsid w:val="00503324"/>
    <w:rsid w:val="00503F38"/>
    <w:rsid w:val="005132F4"/>
    <w:rsid w:val="00514D43"/>
    <w:rsid w:val="0053004E"/>
    <w:rsid w:val="00530198"/>
    <w:rsid w:val="00533BC8"/>
    <w:rsid w:val="005552B4"/>
    <w:rsid w:val="005752A1"/>
    <w:rsid w:val="00585993"/>
    <w:rsid w:val="005874FF"/>
    <w:rsid w:val="0059146A"/>
    <w:rsid w:val="00592019"/>
    <w:rsid w:val="005A0C5D"/>
    <w:rsid w:val="005A44E6"/>
    <w:rsid w:val="005C4010"/>
    <w:rsid w:val="005D7F9C"/>
    <w:rsid w:val="005E6F10"/>
    <w:rsid w:val="00612EA4"/>
    <w:rsid w:val="00613975"/>
    <w:rsid w:val="00614290"/>
    <w:rsid w:val="00627224"/>
    <w:rsid w:val="0065577A"/>
    <w:rsid w:val="00673A22"/>
    <w:rsid w:val="00683D26"/>
    <w:rsid w:val="006A11E6"/>
    <w:rsid w:val="006E2EF3"/>
    <w:rsid w:val="007052A3"/>
    <w:rsid w:val="00722460"/>
    <w:rsid w:val="00747549"/>
    <w:rsid w:val="007566D0"/>
    <w:rsid w:val="007650CF"/>
    <w:rsid w:val="00797633"/>
    <w:rsid w:val="007C1727"/>
    <w:rsid w:val="007C24B2"/>
    <w:rsid w:val="007E59D4"/>
    <w:rsid w:val="008123D8"/>
    <w:rsid w:val="00825F44"/>
    <w:rsid w:val="00827C44"/>
    <w:rsid w:val="00846AE8"/>
    <w:rsid w:val="008502BA"/>
    <w:rsid w:val="00863411"/>
    <w:rsid w:val="0086799B"/>
    <w:rsid w:val="00873084"/>
    <w:rsid w:val="00881EBB"/>
    <w:rsid w:val="008A23C4"/>
    <w:rsid w:val="008D24F3"/>
    <w:rsid w:val="008E0973"/>
    <w:rsid w:val="008F44CD"/>
    <w:rsid w:val="009006C0"/>
    <w:rsid w:val="009035E3"/>
    <w:rsid w:val="00912CA6"/>
    <w:rsid w:val="00915061"/>
    <w:rsid w:val="00916367"/>
    <w:rsid w:val="009457C7"/>
    <w:rsid w:val="00957B46"/>
    <w:rsid w:val="009675CA"/>
    <w:rsid w:val="00977DB6"/>
    <w:rsid w:val="00984A80"/>
    <w:rsid w:val="009A07F1"/>
    <w:rsid w:val="009A5A4C"/>
    <w:rsid w:val="009B2FF3"/>
    <w:rsid w:val="009C6A15"/>
    <w:rsid w:val="009E6A50"/>
    <w:rsid w:val="009F5C05"/>
    <w:rsid w:val="00A00D54"/>
    <w:rsid w:val="00A217AC"/>
    <w:rsid w:val="00A21EBA"/>
    <w:rsid w:val="00A22967"/>
    <w:rsid w:val="00A3151C"/>
    <w:rsid w:val="00A31DEE"/>
    <w:rsid w:val="00A36356"/>
    <w:rsid w:val="00A431A0"/>
    <w:rsid w:val="00A5681E"/>
    <w:rsid w:val="00A65E3F"/>
    <w:rsid w:val="00A746D0"/>
    <w:rsid w:val="00A9202D"/>
    <w:rsid w:val="00AA00AC"/>
    <w:rsid w:val="00AB493A"/>
    <w:rsid w:val="00AF7220"/>
    <w:rsid w:val="00B004AE"/>
    <w:rsid w:val="00B047C2"/>
    <w:rsid w:val="00B06AAE"/>
    <w:rsid w:val="00B15C14"/>
    <w:rsid w:val="00B170E6"/>
    <w:rsid w:val="00B22016"/>
    <w:rsid w:val="00B37F75"/>
    <w:rsid w:val="00B4320B"/>
    <w:rsid w:val="00B64C13"/>
    <w:rsid w:val="00B80AA9"/>
    <w:rsid w:val="00B83610"/>
    <w:rsid w:val="00B86D88"/>
    <w:rsid w:val="00B95F27"/>
    <w:rsid w:val="00BC7ED8"/>
    <w:rsid w:val="00BD071E"/>
    <w:rsid w:val="00BE75FC"/>
    <w:rsid w:val="00BF7601"/>
    <w:rsid w:val="00C01F69"/>
    <w:rsid w:val="00C062D9"/>
    <w:rsid w:val="00C06892"/>
    <w:rsid w:val="00C133DC"/>
    <w:rsid w:val="00C1416A"/>
    <w:rsid w:val="00C14800"/>
    <w:rsid w:val="00C157E1"/>
    <w:rsid w:val="00C2614B"/>
    <w:rsid w:val="00C30816"/>
    <w:rsid w:val="00C36823"/>
    <w:rsid w:val="00C41A1B"/>
    <w:rsid w:val="00C43A8D"/>
    <w:rsid w:val="00C53ACB"/>
    <w:rsid w:val="00C74BD8"/>
    <w:rsid w:val="00C75A7F"/>
    <w:rsid w:val="00CC284F"/>
    <w:rsid w:val="00CF6E66"/>
    <w:rsid w:val="00D01958"/>
    <w:rsid w:val="00D2469D"/>
    <w:rsid w:val="00D30ACA"/>
    <w:rsid w:val="00D44D99"/>
    <w:rsid w:val="00D7340E"/>
    <w:rsid w:val="00DA67BE"/>
    <w:rsid w:val="00DB3973"/>
    <w:rsid w:val="00DB7998"/>
    <w:rsid w:val="00DC21F0"/>
    <w:rsid w:val="00DF5D8B"/>
    <w:rsid w:val="00E03510"/>
    <w:rsid w:val="00E076D2"/>
    <w:rsid w:val="00E12ACA"/>
    <w:rsid w:val="00E23B70"/>
    <w:rsid w:val="00E338BC"/>
    <w:rsid w:val="00E449D5"/>
    <w:rsid w:val="00E52135"/>
    <w:rsid w:val="00E56839"/>
    <w:rsid w:val="00E647EC"/>
    <w:rsid w:val="00E77F45"/>
    <w:rsid w:val="00E8147C"/>
    <w:rsid w:val="00EB0735"/>
    <w:rsid w:val="00EB0FB7"/>
    <w:rsid w:val="00EB1640"/>
    <w:rsid w:val="00EC10D8"/>
    <w:rsid w:val="00EC293F"/>
    <w:rsid w:val="00ED1659"/>
    <w:rsid w:val="00ED27D1"/>
    <w:rsid w:val="00F37254"/>
    <w:rsid w:val="00F401A0"/>
    <w:rsid w:val="00F40DCF"/>
    <w:rsid w:val="00F44B52"/>
    <w:rsid w:val="00F451DC"/>
    <w:rsid w:val="00F57490"/>
    <w:rsid w:val="00F63276"/>
    <w:rsid w:val="00F67AB2"/>
    <w:rsid w:val="00F714A3"/>
    <w:rsid w:val="00F7740A"/>
    <w:rsid w:val="00F81494"/>
    <w:rsid w:val="00F843CA"/>
    <w:rsid w:val="00F93CC1"/>
    <w:rsid w:val="00FA3136"/>
    <w:rsid w:val="00FA5439"/>
    <w:rsid w:val="00FB4F8E"/>
    <w:rsid w:val="00FB5933"/>
    <w:rsid w:val="00FC1758"/>
    <w:rsid w:val="00FD6B2A"/>
    <w:rsid w:val="00FE2BF1"/>
    <w:rsid w:val="01DE7400"/>
    <w:rsid w:val="01E0205E"/>
    <w:rsid w:val="054713CE"/>
    <w:rsid w:val="07D84806"/>
    <w:rsid w:val="09745930"/>
    <w:rsid w:val="0D8F09A3"/>
    <w:rsid w:val="0DD91273"/>
    <w:rsid w:val="0E041BB2"/>
    <w:rsid w:val="0E5865C8"/>
    <w:rsid w:val="0E771E3A"/>
    <w:rsid w:val="12791834"/>
    <w:rsid w:val="14C55117"/>
    <w:rsid w:val="1927177D"/>
    <w:rsid w:val="1A7747F8"/>
    <w:rsid w:val="1B3C31D9"/>
    <w:rsid w:val="1C3546D5"/>
    <w:rsid w:val="1CB3139F"/>
    <w:rsid w:val="1F37728D"/>
    <w:rsid w:val="204F64FF"/>
    <w:rsid w:val="20D20A0B"/>
    <w:rsid w:val="21DE1D05"/>
    <w:rsid w:val="223D39E3"/>
    <w:rsid w:val="22B03DF7"/>
    <w:rsid w:val="234617B1"/>
    <w:rsid w:val="245A6D1C"/>
    <w:rsid w:val="245E6D0E"/>
    <w:rsid w:val="252B7067"/>
    <w:rsid w:val="253141B0"/>
    <w:rsid w:val="25373D8A"/>
    <w:rsid w:val="26780EA0"/>
    <w:rsid w:val="27684AB5"/>
    <w:rsid w:val="29832358"/>
    <w:rsid w:val="2E904A59"/>
    <w:rsid w:val="2EB87E40"/>
    <w:rsid w:val="2FBA03A8"/>
    <w:rsid w:val="30BC53E1"/>
    <w:rsid w:val="30F93773"/>
    <w:rsid w:val="34A3334A"/>
    <w:rsid w:val="34C84E0E"/>
    <w:rsid w:val="375A5C12"/>
    <w:rsid w:val="382904C4"/>
    <w:rsid w:val="3AD93283"/>
    <w:rsid w:val="3C193277"/>
    <w:rsid w:val="3FEF58C3"/>
    <w:rsid w:val="40181B35"/>
    <w:rsid w:val="404D5E1F"/>
    <w:rsid w:val="41082E2C"/>
    <w:rsid w:val="4436313C"/>
    <w:rsid w:val="44D761EB"/>
    <w:rsid w:val="4B1B16AF"/>
    <w:rsid w:val="4C2204AB"/>
    <w:rsid w:val="4D192075"/>
    <w:rsid w:val="4F600D1B"/>
    <w:rsid w:val="4F710397"/>
    <w:rsid w:val="502E26BA"/>
    <w:rsid w:val="53843EB4"/>
    <w:rsid w:val="54A10FCC"/>
    <w:rsid w:val="54C417BE"/>
    <w:rsid w:val="55216298"/>
    <w:rsid w:val="58E11D64"/>
    <w:rsid w:val="5CE11034"/>
    <w:rsid w:val="5DCF662C"/>
    <w:rsid w:val="5E535F82"/>
    <w:rsid w:val="60B7738C"/>
    <w:rsid w:val="627B0387"/>
    <w:rsid w:val="63072F17"/>
    <w:rsid w:val="63665889"/>
    <w:rsid w:val="645E0B81"/>
    <w:rsid w:val="65B211AA"/>
    <w:rsid w:val="66E97CC6"/>
    <w:rsid w:val="673F5ADC"/>
    <w:rsid w:val="67CE204C"/>
    <w:rsid w:val="69353C95"/>
    <w:rsid w:val="6A6D06CA"/>
    <w:rsid w:val="6D387C77"/>
    <w:rsid w:val="6DB60386"/>
    <w:rsid w:val="6F901A03"/>
    <w:rsid w:val="71520ED5"/>
    <w:rsid w:val="72312A3A"/>
    <w:rsid w:val="73B93270"/>
    <w:rsid w:val="76E3696D"/>
    <w:rsid w:val="7B6B1039"/>
    <w:rsid w:val="7C80631D"/>
    <w:rsid w:val="7F7111D4"/>
    <w:rsid w:val="7FBB7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6">
    <w:name w:val="heading 3"/>
    <w:basedOn w:val="1"/>
    <w:next w:val="7"/>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7"/>
    <w:link w:val="6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7"/>
    <w:link w:val="148"/>
    <w:qFormat/>
    <w:uiPriority w:val="0"/>
    <w:pPr>
      <w:keepNext/>
      <w:keepLines/>
      <w:spacing w:before="280" w:after="290" w:line="376" w:lineRule="auto"/>
      <w:outlineLvl w:val="4"/>
    </w:pPr>
    <w:rPr>
      <w:b/>
      <w:sz w:val="28"/>
      <w:szCs w:val="20"/>
    </w:rPr>
  </w:style>
  <w:style w:type="paragraph" w:styleId="10">
    <w:name w:val="heading 6"/>
    <w:basedOn w:val="1"/>
    <w:next w:val="7"/>
    <w:link w:val="113"/>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7"/>
    <w:link w:val="141"/>
    <w:qFormat/>
    <w:uiPriority w:val="0"/>
    <w:pPr>
      <w:keepNext/>
      <w:keepLines/>
      <w:spacing w:before="240" w:after="64" w:line="320" w:lineRule="auto"/>
      <w:outlineLvl w:val="6"/>
    </w:pPr>
    <w:rPr>
      <w:b/>
      <w:bCs/>
      <w:sz w:val="24"/>
    </w:rPr>
  </w:style>
  <w:style w:type="paragraph" w:styleId="12">
    <w:name w:val="heading 8"/>
    <w:basedOn w:val="1"/>
    <w:next w:val="7"/>
    <w:link w:val="121"/>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7"/>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paragraph" w:styleId="3">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7">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link w:val="120"/>
    <w:qFormat/>
    <w:uiPriority w:val="0"/>
    <w:pPr>
      <w:spacing w:line="360" w:lineRule="auto"/>
    </w:pPr>
    <w:rPr>
      <w:rFonts w:ascii="Arial" w:hAnsi="Arial" w:eastAsia="黑体"/>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0"/>
    <w:qFormat/>
    <w:uiPriority w:val="0"/>
    <w:pPr>
      <w:spacing w:line="360" w:lineRule="auto"/>
      <w:jc w:val="left"/>
    </w:pPr>
    <w:rPr>
      <w:szCs w:val="20"/>
    </w:rPr>
  </w:style>
  <w:style w:type="paragraph" w:styleId="20">
    <w:name w:val="Body Text 3"/>
    <w:basedOn w:val="1"/>
    <w:link w:val="78"/>
    <w:qFormat/>
    <w:uiPriority w:val="0"/>
    <w:pPr>
      <w:spacing w:after="120"/>
    </w:pPr>
    <w:rPr>
      <w:sz w:val="16"/>
      <w:szCs w:val="16"/>
    </w:rPr>
  </w:style>
  <w:style w:type="paragraph" w:styleId="21">
    <w:name w:val="Body Text"/>
    <w:basedOn w:val="1"/>
    <w:link w:val="94"/>
    <w:qFormat/>
    <w:uiPriority w:val="0"/>
    <w:pPr>
      <w:spacing w:after="120"/>
    </w:pPr>
  </w:style>
  <w:style w:type="paragraph" w:styleId="22">
    <w:name w:val="List Bullet 2"/>
    <w:basedOn w:val="1"/>
    <w:qFormat/>
    <w:uiPriority w:val="0"/>
    <w:pPr>
      <w:numPr>
        <w:ilvl w:val="0"/>
        <w:numId w:val="2"/>
      </w:numPr>
    </w:pPr>
  </w:style>
  <w:style w:type="paragraph" w:styleId="23">
    <w:name w:val="HTML Address"/>
    <w:basedOn w:val="1"/>
    <w:link w:val="115"/>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1"/>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2"/>
    <w:qFormat/>
    <w:uiPriority w:val="0"/>
    <w:pPr>
      <w:numPr>
        <w:ilvl w:val="0"/>
        <w:numId w:val="4"/>
      </w:numPr>
      <w:ind w:left="100" w:leftChars="2500"/>
    </w:pPr>
  </w:style>
  <w:style w:type="paragraph" w:styleId="30">
    <w:name w:val="Body Text Indent 2"/>
    <w:basedOn w:val="1"/>
    <w:link w:val="122"/>
    <w:qFormat/>
    <w:uiPriority w:val="0"/>
    <w:pPr>
      <w:spacing w:line="480" w:lineRule="exact"/>
      <w:ind w:left="810" w:firstLine="675"/>
    </w:pPr>
    <w:rPr>
      <w:rFonts w:eastAsia="仿宋_GB2312"/>
      <w:kern w:val="0"/>
      <w:sz w:val="30"/>
      <w:szCs w:val="20"/>
    </w:rPr>
  </w:style>
  <w:style w:type="paragraph" w:styleId="31">
    <w:name w:val="Balloon Text"/>
    <w:basedOn w:val="1"/>
    <w:link w:val="151"/>
    <w:qFormat/>
    <w:uiPriority w:val="0"/>
    <w:rPr>
      <w:sz w:val="18"/>
      <w:szCs w:val="18"/>
    </w:rPr>
  </w:style>
  <w:style w:type="paragraph" w:styleId="32">
    <w:name w:val="footer"/>
    <w:basedOn w:val="1"/>
    <w:link w:val="84"/>
    <w:qFormat/>
    <w:uiPriority w:val="0"/>
    <w:pPr>
      <w:tabs>
        <w:tab w:val="center" w:pos="4153"/>
        <w:tab w:val="right" w:pos="8306"/>
      </w:tabs>
      <w:snapToGrid w:val="0"/>
      <w:jc w:val="left"/>
    </w:pPr>
    <w:rPr>
      <w:kern w:val="0"/>
      <w:sz w:val="18"/>
      <w:szCs w:val="18"/>
    </w:rPr>
  </w:style>
  <w:style w:type="paragraph" w:styleId="33">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7"/>
    <w:qFormat/>
    <w:uiPriority w:val="0"/>
    <w:pPr>
      <w:spacing w:line="360" w:lineRule="auto"/>
    </w:pPr>
    <w:rPr>
      <w:rFonts w:ascii="仿宋_GB2312" w:eastAsia="仿宋_GB2312"/>
      <w:sz w:val="32"/>
    </w:rPr>
  </w:style>
  <w:style w:type="paragraph" w:styleId="45">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0"/>
    <w:qFormat/>
    <w:uiPriority w:val="0"/>
    <w:pPr>
      <w:spacing w:before="240" w:after="60"/>
      <w:jc w:val="center"/>
      <w:outlineLvl w:val="0"/>
    </w:pPr>
    <w:rPr>
      <w:rFonts w:ascii="Cambria" w:hAnsi="Cambria"/>
      <w:b/>
      <w:bCs/>
      <w:sz w:val="32"/>
      <w:szCs w:val="32"/>
    </w:rPr>
  </w:style>
  <w:style w:type="paragraph" w:styleId="49">
    <w:name w:val="annotation subject"/>
    <w:basedOn w:val="19"/>
    <w:next w:val="19"/>
    <w:link w:val="127"/>
    <w:qFormat/>
    <w:uiPriority w:val="0"/>
    <w:pPr>
      <w:spacing w:line="240" w:lineRule="auto"/>
    </w:pPr>
    <w:rPr>
      <w:b/>
      <w:bCs/>
      <w:szCs w:val="24"/>
    </w:rPr>
  </w:style>
  <w:style w:type="paragraph" w:styleId="50">
    <w:name w:val="Body Text First Indent"/>
    <w:basedOn w:val="21"/>
    <w:link w:val="158"/>
    <w:qFormat/>
    <w:uiPriority w:val="0"/>
    <w:pPr>
      <w:ind w:firstLine="100" w:firstLineChars="100"/>
    </w:pPr>
    <w:rPr>
      <w:rFonts w:ascii="Calibri" w:hAnsi="Calibri"/>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8"/>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2"/>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9"/>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9"/>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20"/>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5"/>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2"/>
    <w:qFormat/>
    <w:uiPriority w:val="0"/>
    <w:rPr>
      <w:rFonts w:eastAsia="宋体"/>
      <w:sz w:val="18"/>
      <w:szCs w:val="18"/>
      <w:lang w:bidi="ar-SA"/>
    </w:rPr>
  </w:style>
  <w:style w:type="character" w:customStyle="1" w:styleId="85">
    <w:name w:val="正文文本缩进 3 Char"/>
    <w:link w:val="41"/>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6"/>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8"/>
    <w:qFormat/>
    <w:uiPriority w:val="0"/>
    <w:rPr>
      <w:rFonts w:ascii="Cambria" w:hAnsi="Cambria"/>
      <w:b/>
      <w:bCs/>
      <w:kern w:val="2"/>
      <w:sz w:val="32"/>
      <w:szCs w:val="32"/>
    </w:rPr>
  </w:style>
  <w:style w:type="character" w:customStyle="1" w:styleId="91">
    <w:name w:val="纯文本 Char"/>
    <w:link w:val="26"/>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21"/>
    <w:qFormat/>
    <w:uiPriority w:val="0"/>
    <w:rPr>
      <w:rFonts w:eastAsia="宋体"/>
      <w:kern w:val="2"/>
      <w:sz w:val="21"/>
      <w:szCs w:val="24"/>
      <w:lang w:val="en-US" w:eastAsia="zh-CN" w:bidi="ar-SA"/>
    </w:rPr>
  </w:style>
  <w:style w:type="character" w:customStyle="1" w:styleId="95">
    <w:name w:val="标题 9 Char"/>
    <w:link w:val="13"/>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4"/>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2"/>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10"/>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3"/>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5"/>
    <w:qFormat/>
    <w:uiPriority w:val="0"/>
    <w:rPr>
      <w:rFonts w:ascii="Arial" w:hAnsi="Arial" w:eastAsia="黑体" w:cs="Arial"/>
      <w:kern w:val="2"/>
    </w:rPr>
  </w:style>
  <w:style w:type="character" w:customStyle="1" w:styleId="121">
    <w:name w:val="标题 8 Char"/>
    <w:link w:val="12"/>
    <w:qFormat/>
    <w:uiPriority w:val="0"/>
    <w:rPr>
      <w:rFonts w:ascii="Arial" w:hAnsi="Arial" w:eastAsia="黑体"/>
      <w:kern w:val="2"/>
      <w:sz w:val="24"/>
      <w:szCs w:val="24"/>
      <w:lang w:val="en-US" w:eastAsia="zh-CN" w:bidi="ar-SA"/>
    </w:rPr>
  </w:style>
  <w:style w:type="character" w:customStyle="1" w:styleId="122">
    <w:name w:val="正文文本缩进 2 Char"/>
    <w:link w:val="30"/>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7"/>
    <w:qFormat/>
    <w:uiPriority w:val="0"/>
    <w:rPr>
      <w:rFonts w:ascii="宋体" w:eastAsia="宋体"/>
      <w:sz w:val="34"/>
      <w:lang w:val="en-US" w:eastAsia="zh-CN" w:bidi="ar-SA"/>
    </w:rPr>
  </w:style>
  <w:style w:type="character" w:customStyle="1" w:styleId="125">
    <w:name w:val="副标题 Char"/>
    <w:link w:val="38"/>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9"/>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3"/>
    <w:qFormat/>
    <w:uiPriority w:val="0"/>
    <w:rPr>
      <w:rFonts w:ascii="仿宋_GB2312" w:eastAsia="仿宋_GB2312"/>
      <w:sz w:val="28"/>
      <w:lang w:val="en-US" w:eastAsia="zh-CN" w:bidi="ar-SA"/>
    </w:rPr>
  </w:style>
  <w:style w:type="character" w:customStyle="1" w:styleId="131">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3"/>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11"/>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7"/>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9"/>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1"/>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4"/>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50"/>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8"/>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8"/>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5"/>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9"/>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5"/>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4"/>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5"/>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10"/>
    <w:qFormat/>
    <w:uiPriority w:val="0"/>
    <w:pPr>
      <w:numPr>
        <w:ilvl w:val="5"/>
        <w:numId w:val="8"/>
      </w:numPr>
      <w:tabs>
        <w:tab w:val="left" w:pos="425"/>
        <w:tab w:val="clear" w:pos="3260"/>
      </w:tabs>
      <w:spacing w:line="319" w:lineRule="auto"/>
    </w:pPr>
    <w:rPr>
      <w:bCs w:val="0"/>
    </w:rPr>
  </w:style>
  <w:style w:type="paragraph" w:customStyle="1" w:styleId="260">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8"/>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2"/>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6"/>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50"/>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50"/>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45</Pages>
  <Words>4839</Words>
  <Characters>27583</Characters>
  <Lines>229</Lines>
  <Paragraphs>64</Paragraphs>
  <TotalTime>11</TotalTime>
  <ScaleCrop>false</ScaleCrop>
  <LinksUpToDate>false</LinksUpToDate>
  <CharactersWithSpaces>32358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业信</cp:lastModifiedBy>
  <cp:lastPrinted>2017-03-06T09:32:00Z</cp:lastPrinted>
  <dcterms:modified xsi:type="dcterms:W3CDTF">2021-08-20T10:26:50Z</dcterms:modified>
  <dc:title>货物公开招标</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F695CC53363F4A56B4E9D58D43024BE5</vt:lpwstr>
  </property>
</Properties>
</file>