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E74D9">
      <w:pPr>
        <w:pStyle w:val="9"/>
        <w:widowControl/>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p>
    <w:p w14:paraId="436FB918">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597B6E2C">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28302044">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1C0BC9F9">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539A8268">
      <w:pPr>
        <w:bidi w:val="0"/>
        <w:jc w:val="cente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t>公开招标</w:t>
      </w:r>
    </w:p>
    <w:p w14:paraId="5BCB3C21">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1735D375">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4CF355E4">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招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件</w:t>
      </w:r>
    </w:p>
    <w:p w14:paraId="072977A3">
      <w:pPr>
        <w:pStyle w:val="9"/>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2195E0CF">
      <w:pPr>
        <w:pStyle w:val="9"/>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B284EB0">
      <w:pPr>
        <w:pStyle w:val="9"/>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BC90ADE">
      <w:pPr>
        <w:pStyle w:val="9"/>
        <w:widowControl/>
        <w:adjustRightInd w:val="0"/>
        <w:snapToGrid w:val="0"/>
        <w:spacing w:line="360" w:lineRule="auto"/>
        <w:jc w:val="both"/>
        <w:rPr>
          <w:rFonts w:ascii="黑体" w:eastAsia="黑体"/>
          <w:bCs/>
          <w:color w:val="000000" w:themeColor="text1"/>
          <w:sz w:val="52"/>
          <w:szCs w:val="52"/>
          <w:highlight w:val="none"/>
          <w14:textFill>
            <w14:solidFill>
              <w14:schemeClr w14:val="tx1"/>
            </w14:solidFill>
          </w14:textFill>
        </w:rPr>
      </w:pPr>
    </w:p>
    <w:tbl>
      <w:tblPr>
        <w:tblStyle w:val="13"/>
        <w:tblW w:w="7715" w:type="dxa"/>
        <w:jc w:val="center"/>
        <w:tblLayout w:type="fixed"/>
        <w:tblCellMar>
          <w:top w:w="0" w:type="dxa"/>
          <w:left w:w="108" w:type="dxa"/>
          <w:bottom w:w="0" w:type="dxa"/>
          <w:right w:w="108" w:type="dxa"/>
        </w:tblCellMar>
      </w:tblPr>
      <w:tblGrid>
        <w:gridCol w:w="1951"/>
        <w:gridCol w:w="284"/>
        <w:gridCol w:w="5480"/>
      </w:tblGrid>
      <w:tr w14:paraId="4922F7D9">
        <w:tblPrEx>
          <w:tblCellMar>
            <w:top w:w="0" w:type="dxa"/>
            <w:left w:w="108" w:type="dxa"/>
            <w:bottom w:w="0" w:type="dxa"/>
            <w:right w:w="108" w:type="dxa"/>
          </w:tblCellMar>
        </w:tblPrEx>
        <w:trPr>
          <w:trHeight w:val="567" w:hRule="atLeast"/>
          <w:jc w:val="center"/>
        </w:trPr>
        <w:tc>
          <w:tcPr>
            <w:tcW w:w="1951" w:type="dxa"/>
            <w:vAlign w:val="center"/>
          </w:tcPr>
          <w:p w14:paraId="56AD2097">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项目编号</w:t>
            </w:r>
          </w:p>
        </w:tc>
        <w:tc>
          <w:tcPr>
            <w:tcW w:w="284" w:type="dxa"/>
            <w:vAlign w:val="center"/>
          </w:tcPr>
          <w:p w14:paraId="236F75A1">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80" w:type="dxa"/>
            <w:vAlign w:val="center"/>
          </w:tcPr>
          <w:p w14:paraId="104D80FC">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YXCG-20260514</w:t>
            </w:r>
          </w:p>
        </w:tc>
      </w:tr>
      <w:tr w14:paraId="47BAD726">
        <w:tblPrEx>
          <w:tblCellMar>
            <w:top w:w="0" w:type="dxa"/>
            <w:left w:w="108" w:type="dxa"/>
            <w:bottom w:w="0" w:type="dxa"/>
            <w:right w:w="108" w:type="dxa"/>
          </w:tblCellMar>
        </w:tblPrEx>
        <w:trPr>
          <w:trHeight w:val="567" w:hRule="atLeast"/>
          <w:jc w:val="center"/>
        </w:trPr>
        <w:tc>
          <w:tcPr>
            <w:tcW w:w="1951" w:type="dxa"/>
            <w:vAlign w:val="center"/>
          </w:tcPr>
          <w:p w14:paraId="338D2952">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项目名称</w:t>
            </w:r>
          </w:p>
        </w:tc>
        <w:tc>
          <w:tcPr>
            <w:tcW w:w="284" w:type="dxa"/>
            <w:vAlign w:val="center"/>
          </w:tcPr>
          <w:p w14:paraId="112FDF08">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80" w:type="dxa"/>
            <w:vAlign w:val="center"/>
          </w:tcPr>
          <w:p w14:paraId="752948F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阳江阳春产业园区配套基础建设工程项目工程检验监测</w:t>
            </w:r>
          </w:p>
        </w:tc>
      </w:tr>
      <w:tr w14:paraId="1E8C74DF">
        <w:tblPrEx>
          <w:tblCellMar>
            <w:top w:w="0" w:type="dxa"/>
            <w:left w:w="108" w:type="dxa"/>
            <w:bottom w:w="0" w:type="dxa"/>
            <w:right w:w="108" w:type="dxa"/>
          </w:tblCellMar>
        </w:tblPrEx>
        <w:trPr>
          <w:trHeight w:val="567" w:hRule="atLeast"/>
          <w:jc w:val="center"/>
        </w:trPr>
        <w:tc>
          <w:tcPr>
            <w:tcW w:w="1951" w:type="dxa"/>
            <w:vAlign w:val="center"/>
          </w:tcPr>
          <w:p w14:paraId="05CAC8D2">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采购人</w:t>
            </w:r>
          </w:p>
        </w:tc>
        <w:tc>
          <w:tcPr>
            <w:tcW w:w="284" w:type="dxa"/>
            <w:vAlign w:val="center"/>
          </w:tcPr>
          <w:p w14:paraId="0F770B97">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80" w:type="dxa"/>
            <w:vAlign w:val="center"/>
          </w:tcPr>
          <w:p w14:paraId="268BA90D">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阳春市春州工业园区开发有限公司</w:t>
            </w:r>
          </w:p>
        </w:tc>
      </w:tr>
      <w:tr w14:paraId="712D50F8">
        <w:tblPrEx>
          <w:tblCellMar>
            <w:top w:w="0" w:type="dxa"/>
            <w:left w:w="108" w:type="dxa"/>
            <w:bottom w:w="0" w:type="dxa"/>
            <w:right w:w="108" w:type="dxa"/>
          </w:tblCellMar>
        </w:tblPrEx>
        <w:trPr>
          <w:trHeight w:val="567" w:hRule="atLeast"/>
          <w:jc w:val="center"/>
        </w:trPr>
        <w:tc>
          <w:tcPr>
            <w:tcW w:w="1951" w:type="dxa"/>
            <w:vAlign w:val="center"/>
          </w:tcPr>
          <w:p w14:paraId="79EC5926">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采购代理机构</w:t>
            </w:r>
          </w:p>
        </w:tc>
        <w:tc>
          <w:tcPr>
            <w:tcW w:w="284" w:type="dxa"/>
            <w:vAlign w:val="center"/>
          </w:tcPr>
          <w:p w14:paraId="355E2982">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80" w:type="dxa"/>
            <w:vAlign w:val="center"/>
          </w:tcPr>
          <w:p w14:paraId="76AB4BE4">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广东业信采购招标有限公司</w:t>
            </w:r>
          </w:p>
        </w:tc>
      </w:tr>
    </w:tbl>
    <w:p w14:paraId="4911594A">
      <w:pPr>
        <w:pStyle w:val="18"/>
        <w:rPr>
          <w:color w:val="000000" w:themeColor="text1"/>
          <w:highlight w:val="none"/>
          <w14:textFill>
            <w14:solidFill>
              <w14:schemeClr w14:val="tx1"/>
            </w14:solidFill>
          </w14:textFill>
        </w:rPr>
      </w:pPr>
    </w:p>
    <w:p w14:paraId="53805F60">
      <w:pPr>
        <w:pStyle w:val="18"/>
        <w:jc w:val="center"/>
        <w:outlineLvl w:val="3"/>
        <w:rPr>
          <w:color w:val="000000" w:themeColor="text1"/>
          <w:highlight w:val="none"/>
          <w14:textFill>
            <w14:solidFill>
              <w14:schemeClr w14:val="tx1"/>
            </w14:solidFill>
          </w14:textFill>
        </w:rPr>
      </w:pPr>
    </w:p>
    <w:p w14:paraId="48B4E0E0">
      <w:pPr>
        <w:rPr>
          <w:rFonts w:hint="eastAsia" w:eastAsia="宋体"/>
          <w:color w:val="000000" w:themeColor="text1"/>
          <w:highlight w:val="none"/>
          <w:lang w:eastAsia="zh-CN"/>
          <w14:textFill>
            <w14:solidFill>
              <w14:schemeClr w14:val="tx1"/>
            </w14:solidFill>
          </w14:textFill>
        </w:rPr>
      </w:pPr>
    </w:p>
    <w:p w14:paraId="5DD9B86A">
      <w:pPr>
        <w:jc w:val="cente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br w:type="page"/>
      </w:r>
    </w:p>
    <w:p w14:paraId="7B93EDBE">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第一章投标邀请</w:t>
      </w:r>
    </w:p>
    <w:p w14:paraId="3EF9EAA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受</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阳春市春州工业园区开发有限公司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的委托，采用公开招标方式组织采购</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。欢迎符合资格条件的国内供应商参加投标。</w:t>
      </w:r>
    </w:p>
    <w:p w14:paraId="2939CAE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一.项目概述</w:t>
      </w:r>
    </w:p>
    <w:p w14:paraId="4F7C4879">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1.名称与编号</w:t>
      </w:r>
    </w:p>
    <w:p w14:paraId="328E5AD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w:t>
      </w:r>
    </w:p>
    <w:p w14:paraId="79496E7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YXCG-20260514</w:t>
      </w:r>
    </w:p>
    <w:p w14:paraId="3D04F5C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采购方式：公开招标</w:t>
      </w:r>
    </w:p>
    <w:p w14:paraId="446B4AF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概算金额</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1963800.00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r>
        <w:rPr>
          <w:rFonts w:hint="eastAsia" w:ascii="宋体" w:hAnsi="宋体" w:eastAsia="宋体" w:cs="宋体"/>
          <w:color w:val="000000" w:themeColor="text1"/>
          <w:highlight w:val="none"/>
          <w:lang w:val="en-US" w:eastAsia="zh-CN"/>
          <w14:textFill>
            <w14:solidFill>
              <w14:schemeClr w14:val="tx1"/>
            </w14:solidFill>
          </w14:textFill>
        </w:rPr>
        <w:t>本金额只作为招标的依据，投标金额及下浮率（%）作为签订合同的依据。中标价不作为竣工结算的依据。</w:t>
      </w:r>
    </w:p>
    <w:p w14:paraId="387AC51E">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2.项目内容及需求情况（采购项目技术规格、参数及要求）</w:t>
      </w:r>
    </w:p>
    <w:p w14:paraId="13241B3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9E81D4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概算金额</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1963800.00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1"/>
        <w:gridCol w:w="1563"/>
        <w:gridCol w:w="2297"/>
        <w:gridCol w:w="1375"/>
        <w:gridCol w:w="1569"/>
        <w:gridCol w:w="1296"/>
      </w:tblGrid>
      <w:tr w14:paraId="41B75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6" w:hRule="atLeast"/>
          <w:jc w:val="center"/>
        </w:trPr>
        <w:tc>
          <w:tcPr>
            <w:tcW w:w="971" w:type="dxa"/>
            <w:vAlign w:val="center"/>
          </w:tcPr>
          <w:p w14:paraId="4E56E9C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1563" w:type="dxa"/>
            <w:vAlign w:val="center"/>
          </w:tcPr>
          <w:p w14:paraId="0EB8D9B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2297" w:type="dxa"/>
            <w:vAlign w:val="center"/>
          </w:tcPr>
          <w:p w14:paraId="749BFC8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采购标的</w:t>
            </w:r>
          </w:p>
        </w:tc>
        <w:tc>
          <w:tcPr>
            <w:tcW w:w="1375" w:type="dxa"/>
            <w:vAlign w:val="center"/>
          </w:tcPr>
          <w:p w14:paraId="769019FC">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数量（单位）</w:t>
            </w:r>
          </w:p>
        </w:tc>
        <w:tc>
          <w:tcPr>
            <w:tcW w:w="1569" w:type="dxa"/>
            <w:vAlign w:val="center"/>
          </w:tcPr>
          <w:p w14:paraId="5518DC4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技术规格、参数及要求</w:t>
            </w:r>
          </w:p>
        </w:tc>
        <w:tc>
          <w:tcPr>
            <w:tcW w:w="1296" w:type="dxa"/>
            <w:vAlign w:val="center"/>
          </w:tcPr>
          <w:p w14:paraId="1AAAAD5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是否允许进口产品</w:t>
            </w:r>
          </w:p>
        </w:tc>
      </w:tr>
      <w:tr w14:paraId="70986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0" w:hRule="atLeast"/>
          <w:jc w:val="center"/>
        </w:trPr>
        <w:tc>
          <w:tcPr>
            <w:tcW w:w="971" w:type="dxa"/>
            <w:vAlign w:val="center"/>
          </w:tcPr>
          <w:p w14:paraId="5804C5F9">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563" w:type="dxa"/>
            <w:vAlign w:val="center"/>
          </w:tcPr>
          <w:p w14:paraId="4A674BB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其他专业技术服务</w:t>
            </w:r>
          </w:p>
        </w:tc>
        <w:tc>
          <w:tcPr>
            <w:tcW w:w="2297" w:type="dxa"/>
            <w:vAlign w:val="center"/>
          </w:tcPr>
          <w:p w14:paraId="2B12B47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工程检验监测</w:t>
            </w:r>
          </w:p>
        </w:tc>
        <w:tc>
          <w:tcPr>
            <w:tcW w:w="1375" w:type="dxa"/>
            <w:vAlign w:val="center"/>
          </w:tcPr>
          <w:p w14:paraId="1D0634E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569" w:type="dxa"/>
            <w:vAlign w:val="center"/>
          </w:tcPr>
          <w:p w14:paraId="75849CB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vAlign w:val="center"/>
          </w:tcPr>
          <w:p w14:paraId="422D3808">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bl>
    <w:p w14:paraId="0406DC6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32F63E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合同分包：不允许合同分包</w:t>
      </w:r>
    </w:p>
    <w:p w14:paraId="7E96BDE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合同履行期限：</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从服务合同签订之日起至本项目检测任务完成为止，服务周期必须满足实际施工要求和验收要求。具体开工时间以采购人书面通知为准，因采购人原因或现场不具备作业条件，检测时间顺延，但中标人不得因此向采购人提出任何费用索赔或补偿要求。</w:t>
      </w:r>
    </w:p>
    <w:p w14:paraId="2ACB3E7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二.投标人的资格要求</w:t>
      </w:r>
    </w:p>
    <w:p w14:paraId="71794590">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1.投标人应具备《中华人民共和国政府采购法》第二十二条规定的条件，提供下列材料：</w:t>
      </w:r>
    </w:p>
    <w:p w14:paraId="5F18ED4C">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F7AF77C">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76C7FC62">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年至今任意一个月的财务报表或基本开户行出具的资信证明或出具《承诺函》）。</w:t>
      </w:r>
    </w:p>
    <w:p w14:paraId="41852B01">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4）履行合同所必需的设备和专业技术能力：</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设备及专业技术能力情况或出具《承诺函》。</w:t>
      </w:r>
    </w:p>
    <w:p w14:paraId="5A30656A">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5）参加采购活动前3年内，在经营活动中没有重大违法记录：</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8D2363E">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2.落实政府采购政策需满足的资格要求：</w:t>
      </w:r>
    </w:p>
    <w:p w14:paraId="408C4130">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本项目专门面向</w:t>
      </w:r>
      <w:r>
        <w:rPr>
          <w:rFonts w:hint="default" w:ascii="宋体" w:hAnsi="宋体" w:eastAsia="宋体" w:cs="宋体"/>
          <w:color w:val="000000" w:themeColor="text1"/>
          <w:sz w:val="21"/>
          <w:szCs w:val="21"/>
          <w:highlight w:val="none"/>
          <w:lang w:val="en-US" w:eastAsia="zh-CN"/>
          <w14:textFill>
            <w14:solidFill>
              <w14:schemeClr w14:val="tx1"/>
            </w14:solidFill>
          </w14:textFill>
        </w:rPr>
        <w:t>中小企业</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p w14:paraId="79558BE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3.本项目特定的资格要求：</w:t>
      </w:r>
    </w:p>
    <w:p w14:paraId="0B2EFCA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36C670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BF6970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583492A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投标人须具有质量技术监督部门（或市场监督管</w:t>
      </w:r>
      <w:r>
        <w:rPr>
          <w:rFonts w:hint="eastAsia" w:ascii="宋体" w:hAnsi="宋体" w:eastAsia="宋体" w:cs="宋体"/>
          <w:color w:val="000000" w:themeColor="text1"/>
          <w:sz w:val="21"/>
          <w:szCs w:val="21"/>
          <w:highlight w:val="none"/>
          <w:lang w:val="en-US" w:eastAsia="zh-CN"/>
          <w14:textFill>
            <w14:solidFill>
              <w14:schemeClr w14:val="tx1"/>
            </w14:solidFill>
          </w14:textFill>
        </w:rPr>
        <w:t>理部门）颁发的CMA计量认证合格证书（或CMA检验检测机构资质认定证书），且证书在有效期内。</w:t>
      </w:r>
    </w:p>
    <w:p w14:paraId="20C0AD2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4）投标人须具有有效的建设行政主管部门颁发的建设工程质量检测机构综合资质证书或专项资质证书（专项资质证书包括：地基基础、建筑材料及构配件、道路工程），且在有效期内。</w:t>
      </w:r>
    </w:p>
    <w:p w14:paraId="1684764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投标人须在采购代理机构登记并购买</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w:t>
      </w:r>
    </w:p>
    <w:p w14:paraId="41D7338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三.购买招标文件的时间、地点、方式及招标文件售价</w:t>
      </w:r>
    </w:p>
    <w:p w14:paraId="137139DE">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2026年6月8日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2026年6月15日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13664820">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B2A348F">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2D79A767">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1D9FAEC">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55469042">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复印件和相关资质证书复印件及《购买标书登记表》加盖投标人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报名时投标单位的资料与以上报名条件不符合、不齐全、复印件不清晰或未盖投标人公章的将不予受理</w:t>
      </w:r>
      <w:r>
        <w:rPr>
          <w:rFonts w:hint="eastAsia" w:ascii="宋体" w:hAnsi="宋体" w:eastAsia="宋体" w:cs="宋体"/>
          <w:bCs/>
          <w:color w:val="000000" w:themeColor="text1"/>
          <w:highlight w:val="none"/>
          <w14:textFill>
            <w14:solidFill>
              <w14:schemeClr w14:val="tx1"/>
            </w14:solidFill>
          </w14:textFill>
        </w:rPr>
        <w:t>。</w:t>
      </w:r>
    </w:p>
    <w:p w14:paraId="7CE9CD6F">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w:t>
      </w:r>
      <w:r>
        <w:rPr>
          <w:rFonts w:hint="eastAsia" w:ascii="宋体" w:hAnsi="宋体" w:eastAsia="宋体" w:cs="宋体"/>
          <w:b w:val="0"/>
          <w:bCs w:val="0"/>
          <w:color w:val="000000" w:themeColor="text1"/>
          <w:highlight w:val="none"/>
          <w14:textFill>
            <w14:solidFill>
              <w14:schemeClr w14:val="tx1"/>
            </w14:solidFill>
          </w14:textFill>
        </w:rPr>
        <w:t>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w:t>
      </w:r>
      <w:r>
        <w:rPr>
          <w:rFonts w:hint="eastAsia" w:ascii="宋体" w:hAnsi="宋体" w:eastAsia="宋体" w:cs="宋体"/>
          <w:b/>
          <w:bCs/>
          <w:color w:val="000000" w:themeColor="text1"/>
          <w:highlight w:val="none"/>
          <w14:textFill>
            <w14:solidFill>
              <w14:schemeClr w14:val="tx1"/>
            </w14:solidFill>
          </w14:textFill>
        </w:rPr>
        <w:t>截图。（证明文件须加盖投标人公章）（以采购代理机构或采购人查询结果为准，如相关失信记录已失效，供应商需提供相关证明资料）。</w:t>
      </w:r>
    </w:p>
    <w:p w14:paraId="2F7910B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招标文件的公示</w:t>
      </w:r>
    </w:p>
    <w:p w14:paraId="4DEE653D">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3e06b179-ff53-448b-b9eb-3ff6c55a5c19}"/>
          </w:placeholder>
          <w:date w:fullDate="2026-06-08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2026年6月8日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2026年6月15日</w:t>
      </w:r>
      <w:r>
        <w:rPr>
          <w:rFonts w:hint="eastAsia" w:ascii="宋体" w:hAnsi="宋体" w:eastAsia="宋体" w:cs="宋体"/>
          <w:bCs/>
          <w:color w:val="000000" w:themeColor="text1"/>
          <w:highlight w:val="none"/>
          <w14:textFill>
            <w14:solidFill>
              <w14:schemeClr w14:val="tx1"/>
            </w14:solidFill>
          </w14:textFill>
        </w:rPr>
        <w:t>。</w:t>
      </w:r>
    </w:p>
    <w:p w14:paraId="745ECB78">
      <w:pPr>
        <w:widowControl/>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w:t>
      </w: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14:paraId="575EBEF7">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2026年6月29日</w:t>
      </w:r>
      <w:r>
        <w:rPr>
          <w:rFonts w:hint="eastAsia" w:ascii="宋体" w:hAnsi="宋体" w:eastAsia="宋体" w:cs="宋体"/>
          <w:color w:val="000000" w:themeColor="text1"/>
          <w:highlight w:val="none"/>
          <w14:textFill>
            <w14:solidFill>
              <w14:schemeClr w14:val="tx1"/>
            </w14:solidFill>
          </w14:textFill>
        </w:rPr>
        <w:t>9:00-9:30 (北京时间)。</w:t>
      </w:r>
    </w:p>
    <w:p w14:paraId="2A946F42">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2026年6月29日</w:t>
      </w:r>
      <w:r>
        <w:rPr>
          <w:rFonts w:hint="eastAsia" w:ascii="宋体" w:hAnsi="宋体" w:eastAsia="宋体" w:cs="宋体"/>
          <w:color w:val="000000" w:themeColor="text1"/>
          <w:highlight w:val="none"/>
          <w14:textFill>
            <w14:solidFill>
              <w14:schemeClr w14:val="tx1"/>
            </w14:solidFill>
          </w14:textFill>
        </w:rPr>
        <w:t>9:30(北京时间)。</w:t>
      </w:r>
    </w:p>
    <w:p w14:paraId="443B7120">
      <w:pPr>
        <w:pStyle w:val="18"/>
        <w:keepNext w:val="0"/>
        <w:keepLines w:val="0"/>
        <w:pageBreakBefore w:val="0"/>
        <w:kinsoku/>
        <w:wordWrap/>
        <w:overflowPunct/>
        <w:topLinePunct w:val="0"/>
        <w:autoSpaceDE/>
        <w:autoSpaceDN/>
        <w:bidi w:val="0"/>
        <w:adjustRightInd/>
        <w:snapToGrid/>
        <w:spacing w:line="360" w:lineRule="auto"/>
        <w:ind w:left="0" w:leftChars="0" w:firstLine="426" w:firstLineChars="203"/>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3.递交投标文件地点、开标地点：阳江市江城区猫山四街33号A座2楼201开标室</w:t>
      </w:r>
    </w:p>
    <w:p w14:paraId="506DFD6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六.本项目联系方式：</w:t>
      </w:r>
    </w:p>
    <w:p w14:paraId="6A9B44F1">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1.采购人信息</w:t>
      </w:r>
    </w:p>
    <w:p w14:paraId="26C81FC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阳春市春州工业园区开发有限公司</w:t>
      </w:r>
    </w:p>
    <w:p w14:paraId="6CDDA2B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地址：广东省阳江阳春产业转移工业园孵化中心3楼304室</w:t>
      </w:r>
    </w:p>
    <w:p w14:paraId="2B4A898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联系人：黄旭</w:t>
      </w:r>
    </w:p>
    <w:p w14:paraId="6F1D912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lang w:val="en-US" w:eastAsia="zh-CN"/>
          <w14:textFill>
            <w14:solidFill>
              <w14:schemeClr w14:val="tx1"/>
            </w14:solidFill>
          </w14:textFill>
        </w:rPr>
        <w:t>0662-7707780</w:t>
      </w:r>
    </w:p>
    <w:p w14:paraId="15F272E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2.采购代理机构信息</w:t>
      </w:r>
    </w:p>
    <w:p w14:paraId="3E5DFDE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22D53F9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lang w:eastAsia="zh-CN"/>
          <w14:textFill>
            <w14:solidFill>
              <w14:schemeClr w14:val="tx1"/>
            </w14:solidFill>
          </w14:textFill>
        </w:rPr>
        <w:t>阳江市江城区猫山四街33号A座2楼</w:t>
      </w:r>
    </w:p>
    <w:p w14:paraId="2270715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5C1A0E17">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3.项目联系方式</w:t>
      </w:r>
    </w:p>
    <w:p w14:paraId="58F9EEF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项目联系人：</w:t>
      </w:r>
      <w:r>
        <w:rPr>
          <w:rFonts w:hint="eastAsia" w:ascii="宋体" w:hAnsi="宋体" w:eastAsia="宋体" w:cs="宋体"/>
          <w:color w:val="000000" w:themeColor="text1"/>
          <w:sz w:val="21"/>
          <w:szCs w:val="21"/>
          <w:highlight w:val="none"/>
          <w:lang w:eastAsia="zh-CN"/>
          <w14:textFill>
            <w14:solidFill>
              <w14:schemeClr w14:val="tx1"/>
            </w14:solidFill>
          </w14:textFill>
        </w:rPr>
        <w:t>谢小姐</w:t>
      </w:r>
    </w:p>
    <w:p w14:paraId="26CF42D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472B480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1B3A3F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063AE2F">
      <w:pPr>
        <w:jc w:val="righ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4BC634E2">
      <w:pPr>
        <w:pStyle w:val="1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2026年6月8日</w:t>
      </w:r>
    </w:p>
    <w:p w14:paraId="78DC738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75EDC29">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3F5DDE70">
      <w:pPr>
        <w:pStyle w:val="18"/>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第二章 采购需求</w:t>
      </w:r>
    </w:p>
    <w:p w14:paraId="2B9CF8B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一、项目概况：</w:t>
      </w:r>
    </w:p>
    <w:p w14:paraId="7EBE275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themeColor="text1"/>
          <w:kern w:val="2"/>
          <w:sz w:val="21"/>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lang w:val="en-US" w:eastAsia="zh-CN" w:bidi="ar-SA"/>
          <w14:textFill>
            <w14:solidFill>
              <w14:schemeClr w14:val="tx1"/>
            </w14:solidFill>
          </w14:textFill>
        </w:rPr>
        <w:t>（一）建设地点</w:t>
      </w:r>
    </w:p>
    <w:p w14:paraId="1A49EF4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t>本项目包含新吉片区生活配套综合体建设工程和市政道路建设工程，其中新吉片区生活配套综合体建设工程位于阳江阳春产业园区新吉片区C10-5地块。</w:t>
      </w:r>
    </w:p>
    <w:p w14:paraId="43317A5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pPr>
      <w:r>
        <w:rPr>
          <w:color w:val="000000" w:themeColor="text1"/>
          <w:position w:val="-109"/>
          <w14:textFill>
            <w14:solidFill>
              <w14:schemeClr w14:val="tx1"/>
            </w14:solidFill>
          </w14:textFill>
        </w:rPr>
        <w:drawing>
          <wp:inline distT="0" distB="0" distL="0" distR="0">
            <wp:extent cx="5273040" cy="3477260"/>
            <wp:effectExtent l="0" t="0" r="3810" b="889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7"/>
                    <a:stretch>
                      <a:fillRect/>
                    </a:stretch>
                  </pic:blipFill>
                  <pic:spPr>
                    <a:xfrm>
                      <a:off x="0" y="0"/>
                      <a:ext cx="5273040" cy="3477767"/>
                    </a:xfrm>
                    <a:prstGeom prst="rect">
                      <a:avLst/>
                    </a:prstGeom>
                  </pic:spPr>
                </pic:pic>
              </a:graphicData>
            </a:graphic>
          </wp:inline>
        </w:drawing>
      </w:r>
    </w:p>
    <w:p w14:paraId="34DE747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t>新吉片区生活配套综合体建设工程位置图</w:t>
      </w:r>
    </w:p>
    <w:p w14:paraId="14415CF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drawing>
          <wp:anchor distT="0" distB="0" distL="0" distR="0" simplePos="0" relativeHeight="251662336" behindDoc="0" locked="0" layoutInCell="1" allowOverlap="1">
            <wp:simplePos x="0" y="0"/>
            <wp:positionH relativeFrom="column">
              <wp:posOffset>2969895</wp:posOffset>
            </wp:positionH>
            <wp:positionV relativeFrom="paragraph">
              <wp:posOffset>45085</wp:posOffset>
            </wp:positionV>
            <wp:extent cx="2499360" cy="1874520"/>
            <wp:effectExtent l="0" t="0" r="15240" b="1143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8"/>
                    <a:stretch>
                      <a:fillRect/>
                    </a:stretch>
                  </pic:blipFill>
                  <pic:spPr>
                    <a:xfrm>
                      <a:off x="0" y="0"/>
                      <a:ext cx="2499359" cy="1874520"/>
                    </a:xfrm>
                    <a:prstGeom prst="rect">
                      <a:avLst/>
                    </a:prstGeom>
                  </pic:spPr>
                </pic:pic>
              </a:graphicData>
            </a:graphic>
          </wp:anchor>
        </w:drawing>
      </w:r>
      <w:r>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drawing>
          <wp:inline distT="0" distB="0" distL="0" distR="0">
            <wp:extent cx="2511425" cy="1883410"/>
            <wp:effectExtent l="0" t="0" r="3175" b="254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9"/>
                    <a:stretch>
                      <a:fillRect/>
                    </a:stretch>
                  </pic:blipFill>
                  <pic:spPr>
                    <a:xfrm>
                      <a:off x="0" y="0"/>
                      <a:ext cx="2511551" cy="1883664"/>
                    </a:xfrm>
                    <a:prstGeom prst="rect">
                      <a:avLst/>
                    </a:prstGeom>
                  </pic:spPr>
                </pic:pic>
              </a:graphicData>
            </a:graphic>
          </wp:inline>
        </w:drawing>
      </w:r>
    </w:p>
    <w:p w14:paraId="011545B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t>项目现场状况图</w:t>
      </w:r>
    </w:p>
    <w:p w14:paraId="4E8C1C1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t>市政道路建设工程位于阳春市春城街道七星村大岗脚西南侧、阳春高新区站港片区亚洲制药（广东）有限公司企业东侧。</w:t>
      </w:r>
    </w:p>
    <w:p w14:paraId="44EB02A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drawing>
          <wp:inline distT="0" distB="0" distL="0" distR="0">
            <wp:extent cx="5271135" cy="3224530"/>
            <wp:effectExtent l="0" t="0" r="5715" b="1397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0"/>
                    <a:stretch>
                      <a:fillRect/>
                    </a:stretch>
                  </pic:blipFill>
                  <pic:spPr>
                    <a:xfrm>
                      <a:off x="0" y="0"/>
                      <a:ext cx="5271515" cy="3224783"/>
                    </a:xfrm>
                    <a:prstGeom prst="rect">
                      <a:avLst/>
                    </a:prstGeom>
                  </pic:spPr>
                </pic:pic>
              </a:graphicData>
            </a:graphic>
          </wp:inline>
        </w:drawing>
      </w:r>
    </w:p>
    <w:p w14:paraId="6C22724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t>亚洲中医药科技产业园道路及排水工程位置图</w:t>
      </w:r>
    </w:p>
    <w:p w14:paraId="60AF50B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drawing>
          <wp:inline distT="0" distB="0" distL="0" distR="0">
            <wp:extent cx="5265420" cy="3238500"/>
            <wp:effectExtent l="0" t="0" r="1143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1"/>
                    <a:stretch>
                      <a:fillRect/>
                    </a:stretch>
                  </pic:blipFill>
                  <pic:spPr>
                    <a:xfrm>
                      <a:off x="0" y="0"/>
                      <a:ext cx="5265420" cy="3238500"/>
                    </a:xfrm>
                    <a:prstGeom prst="rect">
                      <a:avLst/>
                    </a:prstGeom>
                  </pic:spPr>
                </pic:pic>
              </a:graphicData>
            </a:graphic>
          </wp:inline>
        </w:drawing>
      </w:r>
    </w:p>
    <w:p w14:paraId="2E2CF76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t>站港片区大岗脚新增道路及排水工程位置图</w:t>
      </w:r>
    </w:p>
    <w:p w14:paraId="6AE8A0A4">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themeColor="text1"/>
          <w:kern w:val="2"/>
          <w:sz w:val="21"/>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lang w:val="en-US" w:eastAsia="zh-CN" w:bidi="ar-SA"/>
          <w14:textFill>
            <w14:solidFill>
              <w14:schemeClr w14:val="tx1"/>
            </w14:solidFill>
          </w14:textFill>
        </w:rPr>
        <w:t>（二）建设内容</w:t>
      </w:r>
    </w:p>
    <w:p w14:paraId="579B0EB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t>本项目为阳江阳春产业园区配套基础建设工程项目，项目主管单位为阳春市国有资产监督管理局，建设内容包括新吉片区生活配套综合体建设工程、市政道路建设工程等，总投资额约2.6亿元。（具体以设计单位提供的概预算材料为准）</w:t>
      </w:r>
    </w:p>
    <w:p w14:paraId="08D38B1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t>1.新吉片区生活配套综合体建设工程：总建筑面积47260.15m2，地上工程总建筑面积约36311.35平方米,建筑高度55米,建设内容包括产业服务中心、物流中心、变电房、垃圾收集房及智慧停车位等配套设施:地下工程总建筑面积约10948.8平方米,地下一层,建设内容包括地下停车场及充电桩；</w:t>
      </w:r>
    </w:p>
    <w:p w14:paraId="5D66BD5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t>2.市政道路建设工程：</w:t>
      </w:r>
    </w:p>
    <w:p w14:paraId="66E7C0A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t>（1）亚洲中医药科技产业园道路及排水工程，主要包含建设宽度7米、长度约666米的混凝土结构路面，高6米、长度约514.4米挡土墙，以及路灯、排水排污管网、便道等配套工程；</w:t>
      </w:r>
    </w:p>
    <w:p w14:paraId="67575B5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t>（2）站港片区大岗脚新增道路及排水工程，主要包含建设宽度8米、长度约510米的混凝土结构路面，高6米、长度319米挡土墙护坡，以及路灯、排水排污管网、便道等配套工程。</w:t>
      </w:r>
    </w:p>
    <w:p w14:paraId="23B8D7E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83E397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1.主要商务要求</w:t>
      </w:r>
    </w:p>
    <w:tbl>
      <w:tblPr>
        <w:tblStyle w:val="13"/>
        <w:tblW w:w="908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88"/>
        <w:gridCol w:w="6198"/>
      </w:tblGrid>
      <w:tr w14:paraId="24475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3B2F1EE0">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标的提供的时间</w:t>
            </w:r>
          </w:p>
        </w:tc>
        <w:tc>
          <w:tcPr>
            <w:tcW w:w="6198" w:type="dxa"/>
            <w:vAlign w:val="top"/>
          </w:tcPr>
          <w:p w14:paraId="39121BDA">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从服务合同签订之日起至本项目检测任务完成为止，服务周期必须满足实际施工要求和验收要求。具体开工时间以采购人书面通知为准，因采购人原因或现场不具备作业条件，检测时间顺延，但中标人不得因此向采购人提出任何费用索赔或补偿要求。</w:t>
            </w:r>
          </w:p>
        </w:tc>
      </w:tr>
      <w:tr w14:paraId="20301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1A65DD80">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标的提供的地点</w:t>
            </w:r>
          </w:p>
        </w:tc>
        <w:tc>
          <w:tcPr>
            <w:tcW w:w="6198" w:type="dxa"/>
            <w:vAlign w:val="top"/>
          </w:tcPr>
          <w:p w14:paraId="544467B7">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采购人指定地点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tc>
      </w:tr>
      <w:tr w14:paraId="35ED1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79849743">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付款方式</w:t>
            </w:r>
          </w:p>
        </w:tc>
        <w:tc>
          <w:tcPr>
            <w:tcW w:w="6198" w:type="dxa"/>
            <w:vAlign w:val="top"/>
          </w:tcPr>
          <w:p w14:paraId="65EF328D">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1.付款方式：</w:t>
            </w:r>
          </w:p>
          <w:p w14:paraId="414BEFFF">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1期：支付比例15%,合同签订后30个工作日内向中标人支付至合同价的15%；</w:t>
            </w:r>
          </w:p>
          <w:p w14:paraId="6B614330">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2期：支付比例35%,工作量完成总量的70%时后30个工作日内，向中标人支付至合同价的50%；</w:t>
            </w:r>
          </w:p>
          <w:p w14:paraId="44631B72">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3期：支付比例35%,工作量完成总量的100%后30个工作日内，向中标人支付至合同价的85%；</w:t>
            </w:r>
          </w:p>
          <w:p w14:paraId="363CD8AD">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4期：支付比例15%,竣工验收后，结算经财政部门审核完成后30个工作日内，向中标人支付余款。</w:t>
            </w:r>
          </w:p>
          <w:p w14:paraId="23F0DCDF">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2.结算方式：</w:t>
            </w:r>
          </w:p>
          <w:p w14:paraId="2518EE72">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本项目合同结算价按实结算。综合单价参照广东省建设工程质量安全检测和鉴定协会所发布的《广东省房屋建筑和市政工程工程质量安全检测收费指导价(第一批)》(粤建检协[2015]8号)的收费标准结合投标下浮率进行计算(收费标准中列明另计部分在下浮率中综合考虑，采购人不另行支付)。对于前述规定没有列明的项目类别工程检测、监测费综合单价参照国家计委、建设部2002年发布的《工程勘察设计收费管理规定》所附《工程勘察收费标准》中同类或近似项目收费标准下浮率10%后并结合投标下浮率确定。《广东省房屋建筑和市政工程工程质量安全检测收费指导价(第一批)》(粵建检协[2015]8号)的收费标准备注中要求另计的费用不再另行计算，采购人将保留最终解释权。若以上收费标准没有的项目，双方按协商后的单价确定，以采购人审定为准。采购人审定后，投标人根据彩色人审定结果制作本项目检测和监测综合单价。</w:t>
            </w:r>
          </w:p>
          <w:p w14:paraId="1E8C42F6">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实际发生的检测项目、数量进行结算</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但不得超过合同总价</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3F486F20">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项目结算价按经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财政审核部门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审定结算价予以结算，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一次性付清余下结算款项。如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支付的服务费超出结算金额的，则</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应将超出结算金额的服务费于15天内无息退回</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逾期退回的，每逾期一日应按应退未退金额的万分之五向采购人支付违约金。若经计算的结算价超过合同总价的，以合同总价为结算价。</w:t>
            </w:r>
          </w:p>
          <w:p w14:paraId="5844D70B">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支付结算前，中标人必须</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按照采购人要求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提交资料应包含本项目的一式四份正式检测报告和足额的发票，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凭</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开具的发票支付服务费用，否则付款延误的责任由</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凭以下有效文件与招标人结算：</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中标人开具的正式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额</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有效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中标通知书等完整资料。</w:t>
            </w:r>
          </w:p>
          <w:p w14:paraId="4EBE87D6">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采购人按</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财政审核部门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支付流程支付款项，因履行财政审批程序而导致逾期。采购人不承担付款的违约责任。</w:t>
            </w:r>
          </w:p>
        </w:tc>
      </w:tr>
      <w:tr w14:paraId="698DD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14DFC0F0">
            <w:pPr>
              <w:pStyle w:val="18"/>
              <w:keepNext w:val="0"/>
              <w:keepLines w:val="0"/>
              <w:pageBreakBefore w:val="0"/>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验收要求</w:t>
            </w:r>
          </w:p>
        </w:tc>
        <w:tc>
          <w:tcPr>
            <w:tcW w:w="6198" w:type="dxa"/>
            <w:vAlign w:val="top"/>
          </w:tcPr>
          <w:p w14:paraId="5BC960C2">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color w:val="000000" w:themeColor="text1"/>
                <w:sz w:val="21"/>
                <w:highlight w:val="none"/>
                <w14:textFill>
                  <w14:solidFill>
                    <w14:schemeClr w14:val="tx1"/>
                  </w14:solidFill>
                </w14:textFill>
              </w:rPr>
              <w:t>符合国家、广东省及阳江市建设行政主管部门有关检测标准，并满足按安检质检及相关政府部门的验收要求。</w:t>
            </w:r>
          </w:p>
        </w:tc>
      </w:tr>
      <w:tr w14:paraId="52BBA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7EC0F709">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合同签订要求</w:t>
            </w:r>
          </w:p>
        </w:tc>
        <w:tc>
          <w:tcPr>
            <w:tcW w:w="6198" w:type="dxa"/>
            <w:vAlign w:val="top"/>
          </w:tcPr>
          <w:p w14:paraId="1FF9997A">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采购合同由中标人凭《中标通知书》与采购人双方签订，签订时间为《中标通知书》发出之日起30日内。</w:t>
            </w:r>
          </w:p>
        </w:tc>
      </w:tr>
      <w:tr w14:paraId="0AA79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4FF92270">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履约保证金</w:t>
            </w:r>
          </w:p>
        </w:tc>
        <w:tc>
          <w:tcPr>
            <w:tcW w:w="6198" w:type="dxa"/>
            <w:vAlign w:val="top"/>
          </w:tcPr>
          <w:p w14:paraId="437313A1">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w:t>
            </w:r>
          </w:p>
        </w:tc>
      </w:tr>
      <w:tr w14:paraId="48207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center"/>
          </w:tcPr>
          <w:p w14:paraId="6928872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报价要求</w:t>
            </w:r>
          </w:p>
        </w:tc>
        <w:tc>
          <w:tcPr>
            <w:tcW w:w="6198" w:type="dxa"/>
            <w:vAlign w:val="center"/>
          </w:tcPr>
          <w:p w14:paraId="1EF4DE09">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1.报价方式：下浮率报价（0%-100%）。</w:t>
            </w:r>
          </w:p>
          <w:p w14:paraId="70F5A743">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包括：</w:t>
            </w:r>
          </w:p>
          <w:p w14:paraId="01462185">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所有监测及检测项目和细目的综合单价已包括了为实施和完成本项目全部试验检测监测工作所需的劳务费、材料费、技术服务费、监测及检测试验费、试验检测仪器设备使用费、机械进退场费、水电费、车辆通行费、报告编写费、各项管理费、及所有因工程质量检测应交纳的政府规费、利润、税金以及合同明示或暗示的所有一般风险、责任和义务等，是为完成本项目监测及检测的全部利润等所有服务费用。该综合单价在合同实施期间应保持不变，并不因劳务、材料、机械等成本的价格变动以及工程量变化及征地拆迁的影响而作任何调整。</w:t>
            </w:r>
          </w:p>
          <w:p w14:paraId="3ED385BC">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（2）建设单位有权根据实际情况对建设内容进行调整（检测工作量也随之调整），减少的项目无论有无替代，建设单位都不予补偿。</w:t>
            </w:r>
          </w:p>
        </w:tc>
      </w:tr>
      <w:tr w14:paraId="6E574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shd w:val="clear" w:color="auto" w:fill="auto"/>
            <w:vAlign w:val="center"/>
          </w:tcPr>
          <w:p w14:paraId="59559A3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val="0"/>
                <w:bCs/>
                <w:color w:val="000000" w:themeColor="text1"/>
                <w:highlight w:val="none"/>
                <w:lang w:val="en-US" w:eastAsia="zh-CN"/>
                <w14:textFill>
                  <w14:solidFill>
                    <w14:schemeClr w14:val="tx1"/>
                  </w14:solidFill>
                </w14:textFill>
              </w:rPr>
              <w:t>售后</w:t>
            </w:r>
            <w:r>
              <w:rPr>
                <w:rFonts w:hint="eastAsia" w:ascii="宋体" w:hAnsi="宋体" w:eastAsia="宋体" w:cs="宋体"/>
                <w:b w:val="0"/>
                <w:bCs/>
                <w:color w:val="000000" w:themeColor="text1"/>
                <w:highlight w:val="none"/>
                <w:lang w:val="en-US" w:eastAsia="zh-CN"/>
                <w14:textFill>
                  <w14:solidFill>
                    <w14:schemeClr w14:val="tx1"/>
                  </w14:solidFill>
                </w14:textFill>
              </w:rPr>
              <w:t>要求</w:t>
            </w:r>
          </w:p>
        </w:tc>
        <w:tc>
          <w:tcPr>
            <w:tcW w:w="6198" w:type="dxa"/>
            <w:shd w:val="clear" w:color="auto" w:fill="auto"/>
            <w:vAlign w:val="center"/>
          </w:tcPr>
          <w:p w14:paraId="0262D63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提供项目后期的维护和支持措施。</w:t>
            </w:r>
          </w:p>
        </w:tc>
      </w:tr>
      <w:tr w14:paraId="09052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shd w:val="clear" w:color="auto" w:fill="auto"/>
            <w:vAlign w:val="center"/>
          </w:tcPr>
          <w:p w14:paraId="4C39F9B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highlight w:val="yellow"/>
                <w:lang w:val="en-US" w:eastAsia="zh-CN"/>
                <w14:textFill>
                  <w14:solidFill>
                    <w14:schemeClr w14:val="tx1"/>
                  </w14:solidFill>
                </w14:textFill>
              </w:rPr>
            </w:pPr>
            <w:r>
              <w:rPr>
                <w:rFonts w:hint="eastAsia" w:ascii="宋体" w:hAnsi="宋体" w:eastAsia="宋体" w:cs="宋体"/>
                <w:b w:val="0"/>
                <w:bCs/>
                <w:color w:val="000000" w:themeColor="text1"/>
                <w:highlight w:val="yellow"/>
                <w:lang w:val="en-US" w:eastAsia="zh-CN"/>
                <w14:textFill>
                  <w14:solidFill>
                    <w14:schemeClr w14:val="tx1"/>
                  </w14:solidFill>
                </w14:textFill>
              </w:rPr>
              <w:t>其他要求</w:t>
            </w:r>
          </w:p>
        </w:tc>
        <w:tc>
          <w:tcPr>
            <w:tcW w:w="6198" w:type="dxa"/>
            <w:shd w:val="clear" w:color="auto" w:fill="auto"/>
            <w:vAlign w:val="center"/>
          </w:tcPr>
          <w:p w14:paraId="34FB1350">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highlight w:val="yellow"/>
                <w:lang w:val="en-US" w:eastAsia="zh-CN"/>
                <w14:textFill>
                  <w14:solidFill>
                    <w14:schemeClr w14:val="tx1"/>
                  </w14:solidFill>
                </w14:textFill>
              </w:rPr>
            </w:pPr>
            <w:r>
              <w:rPr>
                <w:rFonts w:hint="eastAsia" w:ascii="宋体" w:hAnsi="宋体" w:eastAsia="宋体" w:cs="宋体"/>
                <w:color w:val="000000" w:themeColor="text1"/>
                <w:sz w:val="21"/>
                <w:highlight w:val="yellow"/>
                <w:lang w:val="en-US" w:eastAsia="zh-CN"/>
                <w14:textFill>
                  <w14:solidFill>
                    <w14:schemeClr w14:val="tx1"/>
                  </w14:solidFill>
                </w14:textFill>
              </w:rPr>
              <w:t>1.本项目主要建筑材料及构配件、主体结构工程和装饰装修工程的检测工作，已单独委托阳春市建设工程质量检测中心负责具体实施，且该部分检测费用已纳入项目整体招标概算。鉴于现阶段无法预估该部分检测费用，现提醒各投标单位在编制投标报价文件时，务必充分考量待扣减费用因素的影响，确保报价科学合理、准确无误。中标供应商进行检测费用结算时，需相应扣减已委托实施检测部分的款项，同时在中标后签订正式合同时，需在合同条款中明确检测费用扣减相关事项，避免结算过程中出现争议。</w:t>
            </w:r>
          </w:p>
          <w:p w14:paraId="3329AEAE">
            <w:pPr>
              <w:pStyle w:val="2"/>
              <w:ind w:left="0" w:leftChars="0" w:firstLine="0" w:firstLineChars="0"/>
              <w:rPr>
                <w:rFonts w:hint="eastAsia" w:ascii="宋体" w:hAnsi="宋体" w:eastAsia="宋体" w:cs="宋体"/>
                <w:lang w:val="en-US" w:eastAsia="zh-CN"/>
              </w:rPr>
            </w:pPr>
            <w:r>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t>★</w:t>
            </w:r>
            <w:r>
              <w:rPr>
                <w:rFonts w:hint="eastAsia" w:ascii="宋体" w:hAnsi="宋体" w:eastAsia="宋体" w:cs="宋体"/>
                <w:highlight w:val="yellow"/>
                <w:lang w:val="en-US" w:eastAsia="zh-CN"/>
              </w:rPr>
              <w:t>2.投标人须承诺中标后开展业务前满足阳江市住房和城乡建设局对建设工程质量检测机构的要求。</w:t>
            </w:r>
            <w:r>
              <w:rPr>
                <w:rFonts w:hint="eastAsia" w:ascii="宋体" w:hAnsi="宋体" w:eastAsia="宋体" w:cs="宋体"/>
                <w:b/>
                <w:bCs/>
                <w:highlight w:val="yellow"/>
                <w:lang w:val="en-US" w:eastAsia="zh-CN"/>
              </w:rPr>
              <w:t>(提供《承诺函》，格式自拟)</w:t>
            </w:r>
          </w:p>
        </w:tc>
      </w:tr>
    </w:tbl>
    <w:p w14:paraId="7FB1096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4AF1D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84575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2.技术标准与要求</w:t>
      </w:r>
    </w:p>
    <w:tbl>
      <w:tblPr>
        <w:tblStyle w:val="13"/>
        <w:tblW w:w="934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5"/>
        <w:gridCol w:w="1296"/>
        <w:gridCol w:w="875"/>
        <w:gridCol w:w="1084"/>
        <w:gridCol w:w="550"/>
        <w:gridCol w:w="636"/>
        <w:gridCol w:w="1266"/>
        <w:gridCol w:w="1365"/>
        <w:gridCol w:w="917"/>
        <w:gridCol w:w="683"/>
      </w:tblGrid>
      <w:tr w14:paraId="6595D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0" w:hRule="atLeast"/>
          <w:jc w:val="center"/>
        </w:trPr>
        <w:tc>
          <w:tcPr>
            <w:tcW w:w="675" w:type="dxa"/>
            <w:vAlign w:val="center"/>
          </w:tcPr>
          <w:p w14:paraId="7975C1D5">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296" w:type="dxa"/>
            <w:vAlign w:val="center"/>
          </w:tcPr>
          <w:p w14:paraId="268F1B2B">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核心产品要求（“△”）</w:t>
            </w:r>
          </w:p>
        </w:tc>
        <w:tc>
          <w:tcPr>
            <w:tcW w:w="875" w:type="dxa"/>
            <w:vAlign w:val="center"/>
          </w:tcPr>
          <w:p w14:paraId="3F437DD3">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1084" w:type="dxa"/>
            <w:vAlign w:val="center"/>
          </w:tcPr>
          <w:p w14:paraId="1C696055">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550" w:type="dxa"/>
            <w:vAlign w:val="center"/>
          </w:tcPr>
          <w:p w14:paraId="3EA8D9CF">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636" w:type="dxa"/>
            <w:vAlign w:val="center"/>
          </w:tcPr>
          <w:p w14:paraId="651B0D2B">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266" w:type="dxa"/>
            <w:vAlign w:val="center"/>
          </w:tcPr>
          <w:p w14:paraId="7BB4BDC0">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分项预算单价（元）</w:t>
            </w:r>
          </w:p>
        </w:tc>
        <w:tc>
          <w:tcPr>
            <w:tcW w:w="1365" w:type="dxa"/>
            <w:vAlign w:val="center"/>
          </w:tcPr>
          <w:p w14:paraId="18570D2C">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分项预算总价（元）</w:t>
            </w:r>
          </w:p>
        </w:tc>
        <w:tc>
          <w:tcPr>
            <w:tcW w:w="917" w:type="dxa"/>
            <w:vAlign w:val="center"/>
          </w:tcPr>
          <w:p w14:paraId="5AB8D70C">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所属行业</w:t>
            </w:r>
          </w:p>
        </w:tc>
        <w:tc>
          <w:tcPr>
            <w:tcW w:w="683" w:type="dxa"/>
            <w:vAlign w:val="center"/>
          </w:tcPr>
          <w:p w14:paraId="4E5E55BB">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技术要求</w:t>
            </w:r>
          </w:p>
        </w:tc>
      </w:tr>
      <w:tr w14:paraId="2E55D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5" w:type="dxa"/>
            <w:vAlign w:val="center"/>
          </w:tcPr>
          <w:p w14:paraId="744868FC">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296" w:type="dxa"/>
            <w:vAlign w:val="center"/>
          </w:tcPr>
          <w:p w14:paraId="1DDEBAEA">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75" w:type="dxa"/>
            <w:vAlign w:val="center"/>
          </w:tcPr>
          <w:p w14:paraId="1A8D099D">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其他专业技术服务</w:t>
            </w:r>
          </w:p>
        </w:tc>
        <w:tc>
          <w:tcPr>
            <w:tcW w:w="1084" w:type="dxa"/>
            <w:vAlign w:val="center"/>
          </w:tcPr>
          <w:p w14:paraId="460F757E">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工程检验监测</w:t>
            </w:r>
          </w:p>
        </w:tc>
        <w:tc>
          <w:tcPr>
            <w:tcW w:w="550" w:type="dxa"/>
            <w:vAlign w:val="center"/>
          </w:tcPr>
          <w:p w14:paraId="0C8CAF9E">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p>
        </w:tc>
        <w:tc>
          <w:tcPr>
            <w:tcW w:w="636" w:type="dxa"/>
            <w:vAlign w:val="center"/>
          </w:tcPr>
          <w:p w14:paraId="768DC95E">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w:t>
            </w:r>
          </w:p>
        </w:tc>
        <w:tc>
          <w:tcPr>
            <w:tcW w:w="1266" w:type="dxa"/>
            <w:vAlign w:val="center"/>
          </w:tcPr>
          <w:p w14:paraId="4F44534C">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1963800.00</w:t>
            </w:r>
          </w:p>
        </w:tc>
        <w:tc>
          <w:tcPr>
            <w:tcW w:w="1365" w:type="dxa"/>
            <w:vAlign w:val="center"/>
          </w:tcPr>
          <w:p w14:paraId="3DD54CCF">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1963800.00</w:t>
            </w:r>
          </w:p>
        </w:tc>
        <w:tc>
          <w:tcPr>
            <w:tcW w:w="917" w:type="dxa"/>
            <w:vAlign w:val="center"/>
          </w:tcPr>
          <w:p w14:paraId="6C6EAE20">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t>其他未列明行业</w:t>
            </w:r>
          </w:p>
        </w:tc>
        <w:tc>
          <w:tcPr>
            <w:tcW w:w="683" w:type="dxa"/>
            <w:vAlign w:val="center"/>
          </w:tcPr>
          <w:p w14:paraId="5F6AD942">
            <w:pPr>
              <w:pStyle w:val="18"/>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详见附表一</w:t>
            </w:r>
          </w:p>
        </w:tc>
      </w:tr>
    </w:tbl>
    <w:p w14:paraId="7285D66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3DA168">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591B6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附表一：</w:t>
      </w:r>
      <w:r>
        <w:rPr>
          <w:rFonts w:hint="eastAsia" w:asciiTheme="minorEastAsia" w:hAnsiTheme="minorEastAsia" w:cstheme="minorEastAsia"/>
          <w:b/>
          <w:color w:val="000000" w:themeColor="text1"/>
          <w:sz w:val="21"/>
          <w:szCs w:val="21"/>
          <w:highlight w:val="none"/>
          <w:lang w:eastAsia="zh-CN"/>
          <w14:textFill>
            <w14:solidFill>
              <w14:schemeClr w14:val="tx1"/>
            </w14:solidFill>
          </w14:textFill>
        </w:rPr>
        <w:t>阳江阳春产业园区配套基础建设工程项目工程检验监测</w:t>
      </w:r>
    </w:p>
    <w:tbl>
      <w:tblPr>
        <w:tblStyle w:val="13"/>
        <w:tblW w:w="951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4"/>
        <w:gridCol w:w="859"/>
        <w:gridCol w:w="7371"/>
      </w:tblGrid>
      <w:tr w14:paraId="1E879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284" w:type="dxa"/>
            <w:vAlign w:val="top"/>
          </w:tcPr>
          <w:p w14:paraId="0214E977">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859" w:type="dxa"/>
            <w:vAlign w:val="top"/>
          </w:tcPr>
          <w:p w14:paraId="772C0A26">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7371" w:type="dxa"/>
            <w:vAlign w:val="top"/>
          </w:tcPr>
          <w:p w14:paraId="25AFCF9E">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522F4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4" w:type="dxa"/>
            <w:vAlign w:val="top"/>
          </w:tcPr>
          <w:p w14:paraId="48AFD93C">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59" w:type="dxa"/>
            <w:vAlign w:val="top"/>
          </w:tcPr>
          <w:p w14:paraId="52DFD419">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7371" w:type="dxa"/>
            <w:vAlign w:val="top"/>
          </w:tcPr>
          <w:p w14:paraId="4CAA42DE">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auto"/>
              <w:rPr>
                <w:rFonts w:hint="default" w:ascii="宋体" w:hAnsi="宋体" w:eastAsia="宋体" w:cs="宋体"/>
                <w:bCs w:val="0"/>
                <w:color w:val="000000" w:themeColor="text1"/>
                <w:kern w:val="2"/>
                <w:sz w:val="21"/>
                <w:szCs w:val="24"/>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4"/>
                <w:lang w:val="en-US" w:eastAsia="zh-CN" w:bidi="ar-SA"/>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技术标准要求</w:t>
            </w:r>
          </w:p>
          <w:p w14:paraId="15FFF15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《建筑工程施工质量验收统一标准》GB 50300-2013；</w:t>
            </w:r>
          </w:p>
          <w:p w14:paraId="0FB056F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《建筑地基基础检测规范》DBJ/T 15-60-2019；</w:t>
            </w:r>
          </w:p>
          <w:p w14:paraId="0036E74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《城镇道路工程施工与质量验收规范》CJJ 1-2008</w:t>
            </w:r>
          </w:p>
          <w:p w14:paraId="002AD81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《给排水管道工程施工及验收规范》GB 50268-2008</w:t>
            </w:r>
          </w:p>
          <w:p w14:paraId="3FB3752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《土工试验方法标准》GB/T  50123-2019；</w:t>
            </w:r>
          </w:p>
          <w:p w14:paraId="04D6F2A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《公路路基面现场测试规程》JTG 3450-2019</w:t>
            </w:r>
          </w:p>
          <w:p w14:paraId="68EF253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设计图纸及文件等。</w:t>
            </w:r>
          </w:p>
          <w:p w14:paraId="304EA921">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b/>
                <w:bCs/>
                <w:color w:val="000000" w:themeColor="text1"/>
                <w:lang w:val="en-US" w:eastAsia="zh-CN"/>
                <w14:textFill>
                  <w14:solidFill>
                    <w14:schemeClr w14:val="tx1"/>
                  </w14:solidFill>
                </w14:textFill>
              </w:rPr>
            </w:pPr>
            <w:r>
              <w:rPr>
                <w:rFonts w:hint="eastAsia" w:cstheme="minorBidi"/>
                <w:b/>
                <w:bCs/>
                <w:color w:val="000000" w:themeColor="text1"/>
                <w:kern w:val="2"/>
                <w:sz w:val="21"/>
                <w:szCs w:val="24"/>
                <w:lang w:val="en-US" w:eastAsia="zh-CN" w:bidi="ar-SA"/>
                <w14:textFill>
                  <w14:solidFill>
                    <w14:schemeClr w14:val="tx1"/>
                  </w14:solidFill>
                </w14:textFill>
              </w:rPr>
              <w:t>二</w:t>
            </w:r>
            <w:r>
              <w:rPr>
                <w:rFonts w:hint="eastAsia" w:asciiTheme="minorHAnsi" w:hAnsiTheme="minorHAnsi" w:eastAsiaTheme="minorEastAsia" w:cstheme="minorBidi"/>
                <w:b/>
                <w:bCs/>
                <w:color w:val="000000" w:themeColor="text1"/>
                <w:kern w:val="2"/>
                <w:sz w:val="21"/>
                <w:szCs w:val="24"/>
                <w:lang w:val="en-US" w:eastAsia="zh-CN" w:bidi="ar-SA"/>
                <w14:textFill>
                  <w14:solidFill>
                    <w14:schemeClr w14:val="tx1"/>
                  </w14:solidFill>
                </w14:textFill>
              </w:rPr>
              <w:t>、</w:t>
            </w:r>
            <w:r>
              <w:rPr>
                <w:rFonts w:hint="eastAsia"/>
                <w:b/>
                <w:bCs/>
                <w:color w:val="000000" w:themeColor="text1"/>
                <w:lang w:val="en-US" w:eastAsia="zh-CN"/>
                <w14:textFill>
                  <w14:solidFill>
                    <w14:schemeClr w14:val="tx1"/>
                  </w14:solidFill>
                </w14:textFill>
              </w:rPr>
              <w:t>检测项目要求</w:t>
            </w:r>
          </w:p>
          <w:p w14:paraId="478C4664">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检测内容：服务内容为建设行政主管部门、监督部门要求的，由具有质量监控作用的地基基础检测、见证取样检测(不含材料进场检验)、消防检测、防雷检测、水质检测、建筑幕墙(含门窗、栏杆)检测、节能检测、室内环境检测、基坑监测、沉降监测、高支模监测、土壤氢浓度检测、噪声检测、水土保持监测、道路市政工程检测、精装实体检测、人防检测、光纤到户通信设施检测等按规范要求必须检测和监测的所有项目，以及为工程验收提供依据的所有检测和监测项目。(具体以工程量清单、施工图纸及质量监督部门、安全生产监督部门要求为准)</w:t>
            </w:r>
          </w:p>
          <w:p w14:paraId="09B898E0">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sz w:val="21"/>
                <w14:textFill>
                  <w14:solidFill>
                    <w14:schemeClr w14:val="tx1"/>
                  </w14:solidFill>
                </w14:textFill>
              </w:rPr>
              <w:t>成果要求：对施工阶段的各项质量评定所必须的全部质量检测工作根据有关规范及规定按要求出具合法有效的检测成果报告，为工程竣工验收提供依据检测，满足工程竣工验收的要求。</w:t>
            </w:r>
          </w:p>
        </w:tc>
      </w:tr>
      <w:tr w14:paraId="74EF6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4" w:type="dxa"/>
            <w:vAlign w:val="top"/>
          </w:tcPr>
          <w:p w14:paraId="549A2F72">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tc>
        <w:tc>
          <w:tcPr>
            <w:tcW w:w="8230" w:type="dxa"/>
            <w:gridSpan w:val="2"/>
            <w:vAlign w:val="top"/>
          </w:tcPr>
          <w:p w14:paraId="12224EE3">
            <w:pPr>
              <w:pStyle w:val="18"/>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打“★”号条款为实质性条款，若有任何一条负偏离或不满足则导致投标无效。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打“▲”号条款为重要技术参数，若有部分“▲”条款未响应或不满足，不作为无效投标条款。</w:t>
            </w:r>
          </w:p>
        </w:tc>
      </w:tr>
    </w:tbl>
    <w:p w14:paraId="6AB410F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E41455E">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D1BBDD">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D34FC23">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5F1ED39">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DC4BB0">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7ABCAA">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01BF42">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第三章 投标人须知</w:t>
      </w:r>
    </w:p>
    <w:p w14:paraId="75AF8DE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77A25642">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一、名词解释</w:t>
      </w:r>
    </w:p>
    <w:p w14:paraId="76946EC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1.采购代理机构：本项目是指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，负责整个采购活动的组织，依法负责编制和发布招标文件，对招标文件拥有最终的解释权，不以任何身份出任评标委员会成员。</w:t>
      </w:r>
    </w:p>
    <w:p w14:paraId="37AC12D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2.采购人：本项目是指</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阳春市春州工业园区开发有限公司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，是采购活动当事人之一，负责项目的整体规划、技术方案可行性设计论证与实施，作为合同采购方（用户）的主体承担质疑回复、履行合同、验收与评价等义务。</w:t>
      </w:r>
    </w:p>
    <w:p w14:paraId="2FF6E30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3.投标人：是指在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成本项目投标登记并提交投标文件的供应商。</w:t>
      </w:r>
    </w:p>
    <w:p w14:paraId="464426E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4.“评标委员会”是指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《中华人民共和国政府采购法》等法律法规规定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有关专家组成以确定中标供应商或者推荐中标候选人的临时组织。</w:t>
      </w:r>
    </w:p>
    <w:p w14:paraId="694D88D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5.“中标供应商”是指经评标委员会评审确定的对招标文件做出实质性响应，经采购人按照规定在评标委员会推荐的中标候选人中确定的或评标委员会受采购人委托直接确认的投标人。</w:t>
      </w:r>
    </w:p>
    <w:p w14:paraId="2019622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6.招标文件：是指包括招标公告和招标文件及其补充、变更和澄清等一系列文件。</w:t>
      </w:r>
    </w:p>
    <w:p w14:paraId="4C408EB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7.投标文件：是投标人按照招标文件中提供的投标文件格式编制投标文件</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710874F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.日期、天数、时间：未有特别说明时，均为公历日（天）及北京时间。</w:t>
      </w:r>
    </w:p>
    <w:p w14:paraId="5CEE7F6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93AE5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二、须知前附表</w:t>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1750"/>
        <w:gridCol w:w="3007"/>
        <w:gridCol w:w="3665"/>
      </w:tblGrid>
      <w:tr w14:paraId="0CAEF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9071" w:type="dxa"/>
            <w:gridSpan w:val="4"/>
            <w:vAlign w:val="center"/>
          </w:tcPr>
          <w:p w14:paraId="2BBB83EB">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本表与招标文件对应章节的内容若不一致，以本表为准。</w:t>
            </w:r>
          </w:p>
        </w:tc>
      </w:tr>
      <w:tr w14:paraId="4159C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AF66BC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50" w:type="dxa"/>
            <w:vAlign w:val="center"/>
          </w:tcPr>
          <w:p w14:paraId="1ED44FBF">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672" w:type="dxa"/>
            <w:gridSpan w:val="2"/>
            <w:vAlign w:val="center"/>
          </w:tcPr>
          <w:p w14:paraId="7AB03C3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内容及要求</w:t>
            </w:r>
          </w:p>
        </w:tc>
      </w:tr>
      <w:tr w14:paraId="0F142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442C66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50" w:type="dxa"/>
            <w:vAlign w:val="center"/>
          </w:tcPr>
          <w:p w14:paraId="455B2A6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采购包情况</w:t>
            </w:r>
          </w:p>
        </w:tc>
        <w:tc>
          <w:tcPr>
            <w:tcW w:w="6672" w:type="dxa"/>
            <w:gridSpan w:val="2"/>
            <w:vAlign w:val="center"/>
          </w:tcPr>
          <w:p w14:paraId="76C34FD6">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本项目共1个采购包</w:t>
            </w:r>
          </w:p>
        </w:tc>
      </w:tr>
      <w:tr w14:paraId="0ACF1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66D1C5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750" w:type="dxa"/>
            <w:vAlign w:val="center"/>
          </w:tcPr>
          <w:p w14:paraId="1C981F3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开标方式</w:t>
            </w:r>
          </w:p>
        </w:tc>
        <w:tc>
          <w:tcPr>
            <w:tcW w:w="6672" w:type="dxa"/>
            <w:gridSpan w:val="2"/>
            <w:vAlign w:val="center"/>
          </w:tcPr>
          <w:p w14:paraId="63E85B57">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线下现场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w:t>
            </w:r>
          </w:p>
        </w:tc>
      </w:tr>
      <w:tr w14:paraId="4D189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E0B3E2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750" w:type="dxa"/>
            <w:vAlign w:val="center"/>
          </w:tcPr>
          <w:p w14:paraId="165449E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评标方式</w:t>
            </w:r>
          </w:p>
        </w:tc>
        <w:tc>
          <w:tcPr>
            <w:tcW w:w="6672" w:type="dxa"/>
            <w:gridSpan w:val="2"/>
            <w:vAlign w:val="center"/>
          </w:tcPr>
          <w:p w14:paraId="71978CB4">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纸质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 （供应商应当审慎标记各评审项的应答部分，标记内容清晰且完整，否则将自行承担不利后果）</w:t>
            </w:r>
          </w:p>
        </w:tc>
      </w:tr>
      <w:tr w14:paraId="51A4F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212C2F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750" w:type="dxa"/>
            <w:vAlign w:val="center"/>
          </w:tcPr>
          <w:p w14:paraId="55FDBF58">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评标办法</w:t>
            </w:r>
          </w:p>
        </w:tc>
        <w:tc>
          <w:tcPr>
            <w:tcW w:w="6672" w:type="dxa"/>
            <w:gridSpan w:val="2"/>
            <w:vAlign w:val="center"/>
          </w:tcPr>
          <w:p w14:paraId="4C3EA7B4">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采购包1：综合评分法</w:t>
            </w:r>
          </w:p>
        </w:tc>
      </w:tr>
      <w:tr w14:paraId="035B2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F6FD5B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750" w:type="dxa"/>
            <w:vAlign w:val="center"/>
          </w:tcPr>
          <w:p w14:paraId="7F09FA4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报价形式</w:t>
            </w:r>
          </w:p>
        </w:tc>
        <w:tc>
          <w:tcPr>
            <w:tcW w:w="6672" w:type="dxa"/>
            <w:gridSpan w:val="2"/>
            <w:vAlign w:val="center"/>
          </w:tcPr>
          <w:p w14:paraId="52DC13A6">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下浮率</w:t>
            </w:r>
          </w:p>
        </w:tc>
      </w:tr>
      <w:tr w14:paraId="58C4B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7C7EBC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750" w:type="dxa"/>
            <w:vAlign w:val="center"/>
          </w:tcPr>
          <w:p w14:paraId="35A3D27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报价要求</w:t>
            </w:r>
          </w:p>
        </w:tc>
        <w:tc>
          <w:tcPr>
            <w:tcW w:w="6672" w:type="dxa"/>
            <w:gridSpan w:val="2"/>
            <w:vAlign w:val="center"/>
          </w:tcPr>
          <w:p w14:paraId="1687FD74">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0%-100%</w:t>
            </w:r>
          </w:p>
        </w:tc>
      </w:tr>
      <w:tr w14:paraId="37BAE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A2D996D">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750" w:type="dxa"/>
            <w:vAlign w:val="center"/>
          </w:tcPr>
          <w:p w14:paraId="0C80E898">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现场踏勘</w:t>
            </w:r>
          </w:p>
        </w:tc>
        <w:tc>
          <w:tcPr>
            <w:tcW w:w="6672" w:type="dxa"/>
            <w:gridSpan w:val="2"/>
            <w:vAlign w:val="center"/>
          </w:tcPr>
          <w:p w14:paraId="298192C4">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10BF6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4725988">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750" w:type="dxa"/>
            <w:vAlign w:val="center"/>
          </w:tcPr>
          <w:p w14:paraId="54483EA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投标有效期</w:t>
            </w:r>
          </w:p>
        </w:tc>
        <w:tc>
          <w:tcPr>
            <w:tcW w:w="6672" w:type="dxa"/>
            <w:gridSpan w:val="2"/>
            <w:vAlign w:val="center"/>
          </w:tcPr>
          <w:p w14:paraId="737969A6">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从提交投标（响应）文件的截止之日起90日历天</w:t>
            </w:r>
          </w:p>
        </w:tc>
      </w:tr>
      <w:tr w14:paraId="44980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2D0577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750" w:type="dxa"/>
            <w:vAlign w:val="center"/>
          </w:tcPr>
          <w:p w14:paraId="7F9007F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投标保证金</w:t>
            </w:r>
          </w:p>
        </w:tc>
        <w:tc>
          <w:tcPr>
            <w:tcW w:w="6672" w:type="dxa"/>
            <w:gridSpan w:val="2"/>
            <w:vAlign w:val="center"/>
          </w:tcPr>
          <w:p w14:paraId="0B890216">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不收取投标（响应）保证金</w:t>
            </w:r>
          </w:p>
        </w:tc>
      </w:tr>
      <w:tr w14:paraId="6D190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01ABE1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1750" w:type="dxa"/>
            <w:vAlign w:val="center"/>
          </w:tcPr>
          <w:p w14:paraId="5D1A256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投标文件要求</w:t>
            </w:r>
          </w:p>
        </w:tc>
        <w:tc>
          <w:tcPr>
            <w:tcW w:w="6672" w:type="dxa"/>
            <w:gridSpan w:val="2"/>
            <w:vAlign w:val="center"/>
          </w:tcPr>
          <w:p w14:paraId="72C1717D">
            <w:pPr>
              <w:pStyle w:val="18"/>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共提供</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份投标资料，分别封装：</w:t>
            </w:r>
          </w:p>
          <w:p w14:paraId="219433F7">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1.投标</w:t>
            </w:r>
            <w:r>
              <w:rPr>
                <w:rFonts w:hint="eastAsia" w:ascii="宋体" w:hAnsi="宋体" w:cs="宋体"/>
                <w:b/>
                <w:bCs/>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14:textFill>
                  <w14:solidFill>
                    <w14:schemeClr w14:val="tx1"/>
                  </w14:solidFill>
                </w14:textFill>
              </w:rPr>
              <w:t>（内含</w:t>
            </w:r>
            <w:r>
              <w:rPr>
                <w:rFonts w:hint="eastAsia" w:ascii="宋体" w:hAnsi="宋体" w:cs="宋体"/>
                <w:color w:val="000000" w:themeColor="text1"/>
                <w:sz w:val="21"/>
                <w:szCs w:val="21"/>
                <w:highlight w:val="none"/>
                <w:u w:val="single"/>
                <w14:textFill>
                  <w14:solidFill>
                    <w14:schemeClr w14:val="tx1"/>
                  </w14:solidFill>
                </w14:textFill>
              </w:rPr>
              <w:t xml:space="preserve"> 1 </w:t>
            </w:r>
            <w:r>
              <w:rPr>
                <w:rFonts w:hint="eastAsia" w:ascii="宋体" w:hAnsi="宋体" w:cs="宋体"/>
                <w:color w:val="000000" w:themeColor="text1"/>
                <w:sz w:val="21"/>
                <w:szCs w:val="21"/>
                <w:highlight w:val="none"/>
                <w14:textFill>
                  <w14:solidFill>
                    <w14:schemeClr w14:val="tx1"/>
                  </w14:solidFill>
                </w14:textFill>
              </w:rPr>
              <w:t>正</w:t>
            </w:r>
            <w:r>
              <w:rPr>
                <w:rFonts w:hint="eastAsia" w:ascii="宋体" w:hAnsi="宋体" w:cs="宋体"/>
                <w:color w:val="000000" w:themeColor="text1"/>
                <w:sz w:val="21"/>
                <w:szCs w:val="21"/>
                <w:highlight w:val="none"/>
                <w:u w:val="single"/>
                <w14:textFill>
                  <w14:solidFill>
                    <w14:schemeClr w14:val="tx1"/>
                  </w14:solidFill>
                </w14:textFill>
              </w:rPr>
              <w:t xml:space="preserve"> 4 </w:t>
            </w:r>
            <w:r>
              <w:rPr>
                <w:rFonts w:hint="eastAsia" w:ascii="宋体" w:hAnsi="宋体" w:cs="宋体"/>
                <w:color w:val="000000" w:themeColor="text1"/>
                <w:sz w:val="21"/>
                <w:szCs w:val="21"/>
                <w:highlight w:val="none"/>
                <w14:textFill>
                  <w14:solidFill>
                    <w14:schemeClr w14:val="tx1"/>
                  </w14:solidFill>
                </w14:textFill>
              </w:rPr>
              <w:t>副，</w:t>
            </w:r>
            <w:r>
              <w:rPr>
                <w:rFonts w:hint="eastAsia" w:ascii="宋体" w:hAnsi="宋体" w:cs="宋体"/>
                <w:bCs/>
                <w:color w:val="000000" w:themeColor="text1"/>
                <w:sz w:val="21"/>
                <w:szCs w:val="21"/>
                <w:highlight w:val="none"/>
                <w14:textFill>
                  <w14:solidFill>
                    <w14:schemeClr w14:val="tx1"/>
                  </w14:solidFill>
                </w14:textFill>
              </w:rPr>
              <w:t>独立装订成册</w:t>
            </w:r>
            <w:r>
              <w:rPr>
                <w:rFonts w:hint="eastAsia" w:ascii="宋体" w:hAnsi="宋体" w:cs="宋体"/>
                <w:color w:val="000000" w:themeColor="text1"/>
                <w:sz w:val="21"/>
                <w:szCs w:val="21"/>
                <w:highlight w:val="none"/>
                <w14:textFill>
                  <w14:solidFill>
                    <w14:schemeClr w14:val="tx1"/>
                  </w14:solidFill>
                </w14:textFill>
              </w:rPr>
              <w:t>）</w:t>
            </w:r>
          </w:p>
          <w:p w14:paraId="23530554">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2.开标信封</w:t>
            </w:r>
            <w:r>
              <w:rPr>
                <w:rFonts w:hint="eastAsia" w:ascii="宋体" w:hAnsi="宋体" w:cs="宋体"/>
                <w:color w:val="000000" w:themeColor="text1"/>
                <w:sz w:val="21"/>
                <w:szCs w:val="21"/>
                <w:highlight w:val="none"/>
                <w14:textFill>
                  <w14:solidFill>
                    <w14:schemeClr w14:val="tx1"/>
                  </w14:solidFill>
                </w14:textFill>
              </w:rPr>
              <w:t>（内含“开标一览表”、“分项报价表”、“法定代表人（负责人）证明书”和“法定代表人（负责人）授权书”）</w:t>
            </w:r>
          </w:p>
          <w:p w14:paraId="11C405E8">
            <w:pPr>
              <w:pStyle w:val="18"/>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投标文件电子版</w:t>
            </w:r>
            <w:r>
              <w:rPr>
                <w:rFonts w:hint="eastAsia" w:ascii="宋体" w:hAnsi="宋体" w:cs="宋体"/>
                <w:color w:val="000000" w:themeColor="text1"/>
                <w:sz w:val="21"/>
                <w:szCs w:val="21"/>
                <w:highlight w:val="none"/>
                <w14:textFill>
                  <w14:solidFill>
                    <w14:schemeClr w14:val="tx1"/>
                  </w14:solidFill>
                </w14:textFill>
              </w:rPr>
              <w:t>（以光盘或U盘提供，内含PDF及可编辑的投标文件电子版1份，在封面上注明“公司名称-投标文件电子版”）</w:t>
            </w:r>
          </w:p>
          <w:p w14:paraId="561ADAA5">
            <w:pPr>
              <w:pStyle w:val="18"/>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A802597">
            <w:pPr>
              <w:pStyle w:val="18"/>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注：</w:t>
            </w:r>
          </w:p>
          <w:p w14:paraId="17F8CC49">
            <w:pPr>
              <w:pStyle w:val="18"/>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cs="宋体"/>
                <w:b/>
                <w:color w:val="000000" w:themeColor="text1"/>
                <w:sz w:val="21"/>
                <w:szCs w:val="21"/>
                <w:highlight w:val="none"/>
                <w14:textFill>
                  <w14:solidFill>
                    <w14:schemeClr w14:val="tx1"/>
                  </w14:solidFill>
                </w14:textFill>
              </w:rPr>
              <w:t>所有投标资料</w:t>
            </w:r>
            <w:r>
              <w:rPr>
                <w:rFonts w:hint="eastAsia" w:ascii="宋体" w:hAnsi="宋体" w:cs="宋体"/>
                <w:bCs/>
                <w:color w:val="000000" w:themeColor="text1"/>
                <w:sz w:val="21"/>
                <w:szCs w:val="21"/>
                <w:highlight w:val="none"/>
                <w14:textFill>
                  <w14:solidFill>
                    <w14:schemeClr w14:val="tx1"/>
                  </w14:solidFill>
                </w14:textFill>
              </w:rPr>
              <w:t>分别密封在不透明的外层封装中，</w:t>
            </w:r>
            <w:r>
              <w:rPr>
                <w:rFonts w:hint="eastAsia" w:ascii="宋体" w:hAnsi="宋体" w:cs="宋体"/>
                <w:color w:val="000000" w:themeColor="text1"/>
                <w:sz w:val="21"/>
                <w:szCs w:val="21"/>
                <w:highlight w:val="none"/>
                <w14:textFill>
                  <w14:solidFill>
                    <w14:schemeClr w14:val="tx1"/>
                  </w14:solidFill>
                </w14:textFill>
              </w:rPr>
              <w:t>封面需按招标文件封面格式要求标注并加盖公章。</w:t>
            </w:r>
          </w:p>
          <w:p w14:paraId="40A241C3">
            <w:pPr>
              <w:pStyle w:val="18"/>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cs="宋体"/>
                <w:bCs/>
                <w:color w:val="000000" w:themeColor="text1"/>
                <w:sz w:val="21"/>
                <w:szCs w:val="21"/>
                <w:highlight w:val="none"/>
                <w14:textFill>
                  <w14:solidFill>
                    <w14:schemeClr w14:val="tx1"/>
                  </w14:solidFill>
                </w14:textFill>
              </w:rPr>
              <w:t>每一密封封装上均注明“于</w:t>
            </w:r>
            <w:r>
              <w:rPr>
                <w:rFonts w:hint="eastAsia" w:ascii="宋体" w:hAnsi="宋体" w:cs="宋体"/>
                <w:bCs/>
                <w:color w:val="000000" w:themeColor="text1"/>
                <w:sz w:val="21"/>
                <w:szCs w:val="21"/>
                <w:highlight w:val="none"/>
                <w:u w:val="single"/>
                <w14:textFill>
                  <w14:solidFill>
                    <w14:schemeClr w14:val="tx1"/>
                  </w14:solidFill>
                </w14:textFill>
              </w:rPr>
              <w:t xml:space="preserve">     （投标截止时间）   </w:t>
            </w:r>
            <w:r>
              <w:rPr>
                <w:rFonts w:hint="eastAsia" w:ascii="宋体" w:hAnsi="宋体" w:cs="宋体"/>
                <w:bCs/>
                <w:color w:val="000000" w:themeColor="text1"/>
                <w:sz w:val="21"/>
                <w:szCs w:val="21"/>
                <w:highlight w:val="none"/>
                <w14:textFill>
                  <w14:solidFill>
                    <w14:schemeClr w14:val="tx1"/>
                  </w14:solidFill>
                </w14:textFill>
              </w:rPr>
              <w:t>之前不准启封”的字样</w:t>
            </w:r>
            <w:r>
              <w:rPr>
                <w:rFonts w:hint="eastAsia" w:ascii="宋体" w:hAnsi="宋体" w:cs="宋体"/>
                <w:bCs/>
                <w:color w:val="000000" w:themeColor="text1"/>
                <w:sz w:val="21"/>
                <w:szCs w:val="21"/>
                <w:highlight w:val="none"/>
                <w:lang w:eastAsia="zh-CN"/>
                <w14:textFill>
                  <w14:solidFill>
                    <w14:schemeClr w14:val="tx1"/>
                  </w14:solidFill>
                </w14:textFill>
              </w:rPr>
              <w:t>。</w:t>
            </w:r>
          </w:p>
          <w:p w14:paraId="76B00BA5">
            <w:pPr>
              <w:pStyle w:val="18"/>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Cs/>
                <w:color w:val="000000" w:themeColor="text1"/>
                <w:highlight w:val="none"/>
                <w:lang w:val="en-US" w:eastAsia="zh-CN"/>
                <w14:textFill>
                  <w14:solidFill>
                    <w14:schemeClr w14:val="tx1"/>
                  </w14:solidFill>
                </w14:textFill>
              </w:rPr>
            </w:pPr>
            <w:r>
              <w:rPr>
                <w:rFonts w:hint="eastAsia" w:ascii="宋体"/>
                <w:bCs/>
                <w:color w:val="000000" w:themeColor="text1"/>
                <w:sz w:val="21"/>
                <w:szCs w:val="21"/>
                <w:highlight w:val="none"/>
                <w:lang w:val="en-US" w:eastAsia="zh-CN"/>
                <w14:textFill>
                  <w14:solidFill>
                    <w14:schemeClr w14:val="tx1"/>
                  </w14:solidFill>
                </w14:textFill>
              </w:rPr>
              <w:t>3.</w:t>
            </w:r>
            <w:r>
              <w:rPr>
                <w:rFonts w:hint="eastAsia" w:ascii="宋体"/>
                <w:bCs/>
                <w:color w:val="000000" w:themeColor="text1"/>
                <w:sz w:val="21"/>
                <w:szCs w:val="21"/>
                <w:highlight w:val="none"/>
                <w14:textFill>
                  <w14:solidFill>
                    <w14:schemeClr w14:val="tx1"/>
                  </w14:solidFill>
                </w14:textFill>
              </w:rPr>
              <w:t>投标人未按上述规定对投标文件进行</w:t>
            </w:r>
            <w:r>
              <w:rPr>
                <w:rFonts w:hint="eastAsia" w:ascii="宋体" w:hAnsi="宋体" w:cs="宋体"/>
                <w:bCs/>
                <w:color w:val="000000" w:themeColor="text1"/>
                <w:sz w:val="21"/>
                <w:szCs w:val="21"/>
                <w:highlight w:val="none"/>
                <w:lang w:val="en-US" w:eastAsia="zh-CN"/>
                <w14:textFill>
                  <w14:solidFill>
                    <w14:schemeClr w14:val="tx1"/>
                  </w14:solidFill>
                </w14:textFill>
              </w:rPr>
              <w:t>装订、</w:t>
            </w:r>
            <w:r>
              <w:rPr>
                <w:rFonts w:hint="eastAsia" w:ascii="宋体"/>
                <w:bCs/>
                <w:color w:val="000000" w:themeColor="text1"/>
                <w:sz w:val="21"/>
                <w:szCs w:val="21"/>
                <w:highlight w:val="none"/>
                <w14:textFill>
                  <w14:solidFill>
                    <w14:schemeClr w14:val="tx1"/>
                  </w14:solidFill>
                </w14:textFill>
              </w:rPr>
              <w:t>密封和加写标记，</w:t>
            </w:r>
            <w:r>
              <w:rPr>
                <w:rFonts w:hint="eastAsia" w:ascii="宋体" w:hAnsi="宋体"/>
                <w:color w:val="000000" w:themeColor="text1"/>
                <w:sz w:val="21"/>
                <w:szCs w:val="21"/>
                <w:highlight w:val="none"/>
                <w14:textFill>
                  <w14:solidFill>
                    <w14:schemeClr w14:val="tx1"/>
                  </w14:solidFill>
                </w14:textFill>
              </w:rPr>
              <w:t>代理采购机构有权予以拒收，并退回给投标人。电报、电话、传真</w:t>
            </w:r>
            <w:r>
              <w:rPr>
                <w:rFonts w:hint="eastAsia" w:ascii="宋体"/>
                <w:bCs/>
                <w:color w:val="000000" w:themeColor="text1"/>
                <w:sz w:val="21"/>
                <w:szCs w:val="21"/>
                <w:highlight w:val="none"/>
                <w14:textFill>
                  <w14:solidFill>
                    <w14:schemeClr w14:val="tx1"/>
                  </w14:solidFill>
                </w14:textFill>
              </w:rPr>
              <w:t>等非纸质形式</w:t>
            </w:r>
            <w:r>
              <w:rPr>
                <w:rFonts w:hint="eastAsia" w:ascii="宋体" w:hAnsi="宋体"/>
                <w:color w:val="000000" w:themeColor="text1"/>
                <w:sz w:val="21"/>
                <w:szCs w:val="21"/>
                <w:highlight w:val="none"/>
                <w14:textFill>
                  <w14:solidFill>
                    <w14:schemeClr w14:val="tx1"/>
                  </w14:solidFill>
                </w14:textFill>
              </w:rPr>
              <w:t>的投标概不接受</w:t>
            </w:r>
            <w:r>
              <w:rPr>
                <w:rFonts w:hint="eastAsia" w:ascii="宋体"/>
                <w:bCs/>
                <w:color w:val="000000" w:themeColor="text1"/>
                <w:sz w:val="21"/>
                <w:szCs w:val="21"/>
                <w:highlight w:val="none"/>
                <w14:textFill>
                  <w14:solidFill>
                    <w14:schemeClr w14:val="tx1"/>
                  </w14:solidFill>
                </w14:textFill>
              </w:rPr>
              <w:t>。</w:t>
            </w:r>
            <w:r>
              <w:rPr>
                <w:b/>
                <w:bCs/>
                <w:color w:val="000000" w:themeColor="text1"/>
                <w:sz w:val="21"/>
                <w:szCs w:val="21"/>
                <w:highlight w:val="none"/>
                <w14:textFill>
                  <w14:solidFill>
                    <w14:schemeClr w14:val="tx1"/>
                  </w14:solidFill>
                </w14:textFill>
              </w:rPr>
              <w:t>所有投标文件密封袋的封口处应加盖投标人</w:t>
            </w:r>
            <w:r>
              <w:rPr>
                <w:rFonts w:hint="eastAsia"/>
                <w:b/>
                <w:bCs/>
                <w:color w:val="000000" w:themeColor="text1"/>
                <w:sz w:val="21"/>
                <w:szCs w:val="21"/>
                <w:highlight w:val="none"/>
                <w14:textFill>
                  <w14:solidFill>
                    <w14:schemeClr w14:val="tx1"/>
                  </w14:solidFill>
                </w14:textFill>
              </w:rPr>
              <w:t>公章或密封章。</w:t>
            </w:r>
          </w:p>
        </w:tc>
      </w:tr>
      <w:tr w14:paraId="71043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D698FFC">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750" w:type="dxa"/>
            <w:vAlign w:val="center"/>
          </w:tcPr>
          <w:p w14:paraId="5585E3AC">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中标候选供应商推荐家数</w:t>
            </w:r>
          </w:p>
        </w:tc>
        <w:tc>
          <w:tcPr>
            <w:tcW w:w="6672" w:type="dxa"/>
            <w:gridSpan w:val="2"/>
            <w:vAlign w:val="center"/>
          </w:tcPr>
          <w:p w14:paraId="272ABCD1">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家</w:t>
            </w:r>
          </w:p>
        </w:tc>
      </w:tr>
      <w:tr w14:paraId="45A58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330C52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p>
        </w:tc>
        <w:tc>
          <w:tcPr>
            <w:tcW w:w="1750" w:type="dxa"/>
            <w:vAlign w:val="center"/>
          </w:tcPr>
          <w:p w14:paraId="657A812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中标供应商数量</w:t>
            </w:r>
          </w:p>
        </w:tc>
        <w:tc>
          <w:tcPr>
            <w:tcW w:w="6672" w:type="dxa"/>
            <w:gridSpan w:val="2"/>
            <w:vAlign w:val="center"/>
          </w:tcPr>
          <w:p w14:paraId="61E06862">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采购包1：1家</w:t>
            </w:r>
          </w:p>
        </w:tc>
      </w:tr>
      <w:tr w14:paraId="77F6B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4D724B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p>
        </w:tc>
        <w:tc>
          <w:tcPr>
            <w:tcW w:w="1750" w:type="dxa"/>
            <w:vAlign w:val="center"/>
          </w:tcPr>
          <w:p w14:paraId="17EE115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有效供应商家数</w:t>
            </w:r>
          </w:p>
        </w:tc>
        <w:tc>
          <w:tcPr>
            <w:tcW w:w="6672" w:type="dxa"/>
            <w:gridSpan w:val="2"/>
            <w:vAlign w:val="center"/>
          </w:tcPr>
          <w:p w14:paraId="7D551AEC">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采购包1：3家</w:t>
            </w:r>
          </w:p>
          <w:p w14:paraId="6468C7F8">
            <w:pPr>
              <w:pStyle w:val="1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此人数约定了开标与评标过程中的最低有效供应商家数，当家数不足时项目将不得开标、不得评标或直接废标。</w:t>
            </w:r>
          </w:p>
        </w:tc>
      </w:tr>
      <w:tr w14:paraId="36FF9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928064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p>
        </w:tc>
        <w:tc>
          <w:tcPr>
            <w:tcW w:w="1750" w:type="dxa"/>
            <w:vAlign w:val="center"/>
          </w:tcPr>
          <w:p w14:paraId="13C8F9A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项目兼投兼中（兼投不兼中）规则</w:t>
            </w:r>
          </w:p>
        </w:tc>
        <w:tc>
          <w:tcPr>
            <w:tcW w:w="6672" w:type="dxa"/>
            <w:gridSpan w:val="2"/>
            <w:vAlign w:val="center"/>
          </w:tcPr>
          <w:p w14:paraId="00E48F51">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w:t>
            </w:r>
          </w:p>
        </w:tc>
      </w:tr>
      <w:tr w14:paraId="32F30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B42137C">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w:t>
            </w:r>
          </w:p>
        </w:tc>
        <w:tc>
          <w:tcPr>
            <w:tcW w:w="1750" w:type="dxa"/>
            <w:vAlign w:val="center"/>
          </w:tcPr>
          <w:p w14:paraId="075C6DEC">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中标供应商确定方式</w:t>
            </w:r>
          </w:p>
        </w:tc>
        <w:tc>
          <w:tcPr>
            <w:tcW w:w="6672" w:type="dxa"/>
            <w:gridSpan w:val="2"/>
            <w:vAlign w:val="center"/>
          </w:tcPr>
          <w:p w14:paraId="37BC267A">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采购人按照评审报告中推荐的成交候选人确定中标（成交）人。</w:t>
            </w:r>
          </w:p>
        </w:tc>
      </w:tr>
      <w:tr w14:paraId="67782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CC6F3E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w:t>
            </w:r>
          </w:p>
        </w:tc>
        <w:tc>
          <w:tcPr>
            <w:tcW w:w="1750" w:type="dxa"/>
            <w:vAlign w:val="center"/>
          </w:tcPr>
          <w:p w14:paraId="2B71A9B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w:t>
            </w:r>
          </w:p>
        </w:tc>
        <w:tc>
          <w:tcPr>
            <w:tcW w:w="6672" w:type="dxa"/>
            <w:gridSpan w:val="2"/>
            <w:vAlign w:val="center"/>
          </w:tcPr>
          <w:p w14:paraId="66D129CB">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收取。</w:t>
            </w:r>
          </w:p>
          <w:p w14:paraId="53171D55">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采购机构代理服务收费标准：招标代理服务费按差额定率累进法计算</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FF0000"/>
                <w:sz w:val="21"/>
                <w:szCs w:val="21"/>
                <w:highlight w:val="none"/>
              </w:rPr>
              <w:t>按标准总费用*</w:t>
            </w:r>
            <w:r>
              <w:rPr>
                <w:rFonts w:hint="eastAsia" w:asciiTheme="minorEastAsia" w:hAnsiTheme="minorEastAsia" w:eastAsiaTheme="minorEastAsia" w:cstheme="minorEastAsia"/>
                <w:color w:val="FF0000"/>
                <w:sz w:val="21"/>
                <w:szCs w:val="21"/>
                <w:highlight w:val="none"/>
                <w:lang w:val="en-US" w:eastAsia="zh-CN"/>
              </w:rPr>
              <w:t>70</w:t>
            </w:r>
            <w:r>
              <w:rPr>
                <w:rFonts w:hint="eastAsia" w:asciiTheme="minorEastAsia" w:hAnsiTheme="minorEastAsia" w:eastAsiaTheme="minorEastAsia" w:cstheme="minorEastAsia"/>
                <w:color w:val="FF0000"/>
                <w:sz w:val="21"/>
                <w:szCs w:val="21"/>
                <w:highlight w:val="none"/>
              </w:rPr>
              <w:t>%计算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。收费标准参照原国家发展计划委员会颁发的计价格[2002]1980号文《招标代理服务收费管理暂行办法》及国家发改委[2003]857号文及发改价格[2011]534号文规定，当招标代理服务费计算不足</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00元按定额</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00元收取。</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中标服务费由中标人在领取中标通知书前以银行转账方式一次性支付。</w:t>
            </w:r>
          </w:p>
        </w:tc>
      </w:tr>
      <w:tr w14:paraId="7B0EB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8FAF97D">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w:t>
            </w:r>
          </w:p>
        </w:tc>
        <w:tc>
          <w:tcPr>
            <w:tcW w:w="1750" w:type="dxa"/>
            <w:vAlign w:val="center"/>
          </w:tcPr>
          <w:p w14:paraId="0E08D39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代理服务费收取方式</w:t>
            </w:r>
          </w:p>
        </w:tc>
        <w:tc>
          <w:tcPr>
            <w:tcW w:w="6672" w:type="dxa"/>
            <w:gridSpan w:val="2"/>
            <w:vAlign w:val="center"/>
          </w:tcPr>
          <w:p w14:paraId="3D6DAEC6">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向中标/成交供应商收取</w:t>
            </w:r>
          </w:p>
        </w:tc>
      </w:tr>
      <w:tr w14:paraId="0890D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596B3B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w:t>
            </w:r>
          </w:p>
        </w:tc>
        <w:tc>
          <w:tcPr>
            <w:tcW w:w="1750" w:type="dxa"/>
            <w:vAlign w:val="center"/>
          </w:tcPr>
          <w:p w14:paraId="4DFE0B82">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7BD64DD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6672" w:type="dxa"/>
            <w:gridSpan w:val="2"/>
            <w:vAlign w:val="center"/>
          </w:tcPr>
          <w:p w14:paraId="761DC1D6">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开户名称</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广东业信采购招标有限公司</w:t>
            </w:r>
          </w:p>
          <w:p w14:paraId="309A9D36">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账    号</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44547801040002249</w:t>
            </w:r>
          </w:p>
          <w:p w14:paraId="39889F53">
            <w:pPr>
              <w:spacing w:line="3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开户银行</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r w14:paraId="74402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2" w:hRule="atLeast"/>
          <w:jc w:val="center"/>
        </w:trPr>
        <w:tc>
          <w:tcPr>
            <w:tcW w:w="649" w:type="dxa"/>
            <w:vAlign w:val="center"/>
          </w:tcPr>
          <w:p w14:paraId="0CC8AF1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19</w:t>
            </w:r>
          </w:p>
        </w:tc>
        <w:tc>
          <w:tcPr>
            <w:tcW w:w="1750" w:type="dxa"/>
            <w:vAlign w:val="center"/>
          </w:tcPr>
          <w:p w14:paraId="2CF6517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专门面向中小企业采购</w:t>
            </w:r>
          </w:p>
        </w:tc>
        <w:tc>
          <w:tcPr>
            <w:tcW w:w="6672" w:type="dxa"/>
            <w:gridSpan w:val="2"/>
            <w:vAlign w:val="center"/>
          </w:tcPr>
          <w:p w14:paraId="4FF1B731">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采购包1：专门面向中小企业</w:t>
            </w:r>
          </w:p>
        </w:tc>
      </w:tr>
      <w:tr w14:paraId="17EA2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restart"/>
            <w:vAlign w:val="center"/>
          </w:tcPr>
          <w:p w14:paraId="52BB20A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20</w:t>
            </w:r>
          </w:p>
        </w:tc>
        <w:tc>
          <w:tcPr>
            <w:tcW w:w="1750" w:type="dxa"/>
            <w:vMerge w:val="restart"/>
            <w:vAlign w:val="center"/>
          </w:tcPr>
          <w:p w14:paraId="65E9376D">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信息公告媒体</w:t>
            </w:r>
          </w:p>
        </w:tc>
        <w:tc>
          <w:tcPr>
            <w:tcW w:w="3007" w:type="dxa"/>
            <w:tcBorders>
              <w:right w:val="single" w:color="auto" w:sz="4" w:space="0"/>
            </w:tcBorders>
            <w:vAlign w:val="center"/>
          </w:tcPr>
          <w:p w14:paraId="1331718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全国招标采购公共服务平台</w:t>
            </w:r>
          </w:p>
        </w:tc>
        <w:tc>
          <w:tcPr>
            <w:tcW w:w="3665" w:type="dxa"/>
            <w:tcBorders>
              <w:left w:val="single" w:color="auto" w:sz="4" w:space="0"/>
            </w:tcBorders>
            <w:vAlign w:val="center"/>
          </w:tcPr>
          <w:p w14:paraId="495FCA3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https://www.hnzbcgxxw.com/</w:t>
            </w:r>
          </w:p>
        </w:tc>
      </w:tr>
      <w:tr w14:paraId="2DF2F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2A6A8CAC">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79B9F301">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restart"/>
            <w:tcBorders>
              <w:right w:val="single" w:color="auto" w:sz="4" w:space="0"/>
            </w:tcBorders>
            <w:vAlign w:val="center"/>
          </w:tcPr>
          <w:p w14:paraId="0E3C226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广东业信采购招标有限公司网</w:t>
            </w:r>
          </w:p>
        </w:tc>
        <w:tc>
          <w:tcPr>
            <w:tcW w:w="3665" w:type="dxa"/>
            <w:tcBorders>
              <w:left w:val="single" w:color="auto" w:sz="4" w:space="0"/>
            </w:tcBorders>
            <w:shd w:val="clear" w:color="auto" w:fill="auto"/>
            <w:vAlign w:val="center"/>
          </w:tcPr>
          <w:p w14:paraId="26D7FAD9">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"http://www.gdgpo.gov.cn"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http://www.gdgpo.com.cn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p>
        </w:tc>
      </w:tr>
      <w:tr w14:paraId="7E71D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0DE4BD2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26CA619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continue"/>
            <w:tcBorders>
              <w:right w:val="single" w:color="auto" w:sz="4" w:space="0"/>
            </w:tcBorders>
            <w:vAlign w:val="center"/>
          </w:tcPr>
          <w:p w14:paraId="3D46AE8D">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665" w:type="dxa"/>
            <w:tcBorders>
              <w:left w:val="single" w:color="auto" w:sz="4" w:space="0"/>
            </w:tcBorders>
            <w:vAlign w:val="center"/>
          </w:tcPr>
          <w:p w14:paraId="3EB50389">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http://www.yjcg.cc</w:t>
            </w:r>
          </w:p>
        </w:tc>
      </w:tr>
    </w:tbl>
    <w:p w14:paraId="10C893F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0E640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AB2CE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三、说明</w:t>
      </w:r>
    </w:p>
    <w:p w14:paraId="2DA79CD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1.总则</w:t>
      </w:r>
    </w:p>
    <w:p w14:paraId="38E1DB5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采购人、采购代理机构及投标人进行的本次采购活动适用《中华人民共和国政府采购法》及其配套的法规、规章、政策。</w:t>
      </w:r>
    </w:p>
    <w:p w14:paraId="5BC20A7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58018FE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本次公开招标项目，是以招标公告的方式邀请非特定的投标人参加投标。</w:t>
      </w:r>
    </w:p>
    <w:p w14:paraId="3D6EFB8B">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2.适用范围</w:t>
      </w:r>
    </w:p>
    <w:p w14:paraId="5211228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本招标文件仅适用于本次招标公告中所涉及的项目和内容。</w:t>
      </w:r>
    </w:p>
    <w:p w14:paraId="5BA49C62">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3.进口产品</w:t>
      </w:r>
    </w:p>
    <w:p w14:paraId="566DB4F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若本项目允许采购进口产品，供应商应保证所投产品可履行合法报通关手续进入中国关境内。</w:t>
      </w:r>
    </w:p>
    <w:p w14:paraId="6334287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若本项目不允许采购进口产品，如供应商所投产品为进口产品，其响应将被认定为响应无效。</w:t>
      </w:r>
    </w:p>
    <w:p w14:paraId="3D3BDAE9">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4.投标的费用</w:t>
      </w:r>
    </w:p>
    <w:p w14:paraId="221D55E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不论投标结果如何，投标人应承担所有与准备和参加投标有关的费用。采购代理机构和采购人均无义务和责任承担相关费用。</w:t>
      </w:r>
    </w:p>
    <w:p w14:paraId="1300451E">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5.以联合体形式投标的，应符合以下规定：</w:t>
      </w:r>
    </w:p>
    <w:p w14:paraId="78814A6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5.1联合体各方均应当满足《中华人民共和国政府采购法》第二十二条规定的条件，并在投标文件中提供联合体各方的相关证明材料。</w:t>
      </w:r>
    </w:p>
    <w:p w14:paraId="40A4937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08403E1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5.3 联合体名称需与共同投标协议书签署方一致。对于需交投标保证金的，以牵头方名义缴纳。</w:t>
      </w:r>
    </w:p>
    <w:p w14:paraId="6E93CDF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5.4联合体成员存在不良信用记录的，视同联合体存在不良信用记录。</w:t>
      </w:r>
    </w:p>
    <w:p w14:paraId="13ED5EA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2F48FFF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5.6联合体各方应当共同与采购人签订采购合同，就合同约定的事项对采购人承担连带责任。</w:t>
      </w:r>
    </w:p>
    <w:p w14:paraId="1CBEE0C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6.关联企业投标说明</w:t>
      </w:r>
    </w:p>
    <w:p w14:paraId="6CD7037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1F469AB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2B9BC6B6">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7.关于中小微企业投标</w:t>
      </w:r>
    </w:p>
    <w:p w14:paraId="6F320BB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25AE40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F43DDF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74A70A85">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8.纪律与保密事项</w:t>
      </w:r>
    </w:p>
    <w:p w14:paraId="442E577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8.1投标人不得相互串通投标报价，不得妨碍其他投标人的公平竞争，不得损害采购人或其他投标人的合法权益，投标人不得以向采购人、评标委员会成员行贿或者采取其他不正当手段谋取中标。</w:t>
      </w:r>
    </w:p>
    <w:p w14:paraId="182F673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8.2在确定中标供应商之前，投标人不得与采购人就投标价格、投标方案等实质性内容进行谈判，也不得私下接触评标委员会成员。</w:t>
      </w:r>
    </w:p>
    <w:p w14:paraId="5DBB971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8.3在确定中标供应商之前，投标人试图在投标文件审查、澄清、比较和评价时对评标委员会、采购人和采购代理机构施加任何影响都可能导致其投标无效。</w:t>
      </w:r>
    </w:p>
    <w:p w14:paraId="7FC6130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8.4获得本招标文件者，须履行本项目下保密义务，不得将因本次项目获得的信息向第三人外传，不得将招标文件用作本次投标以外的任何用途。</w:t>
      </w:r>
    </w:p>
    <w:p w14:paraId="248FF84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36C89F5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8.6采购人或采购代理机构有权将供应商提供的所有资料向有关政府部门或评审小组披露。</w:t>
      </w:r>
    </w:p>
    <w:p w14:paraId="70113DA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5E7AEA1E">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9.语言文字以及度量衡单位</w:t>
      </w:r>
    </w:p>
    <w:p w14:paraId="1968C22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A9C78B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9.2除非招标文件的技术规格中另有规定，投标人在投标文件中及其与采购人和采购代理机构的所有往来文件中的计量单位均应采用中华人民共和国法定计量单位。</w:t>
      </w:r>
    </w:p>
    <w:p w14:paraId="524A1B8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9.3投标人所提供的货物和服务均应以人民币报价，货币单位：元。</w:t>
      </w:r>
    </w:p>
    <w:p w14:paraId="407DA87A">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10. 现场踏勘（如有）</w:t>
      </w:r>
    </w:p>
    <w:p w14:paraId="39A2EE3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10.1招标文件规定组织踏勘现场的，采购人按招标文件规定的时间、地点组织投标人踏勘项目现场。</w:t>
      </w:r>
    </w:p>
    <w:p w14:paraId="12A1E78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10.2投标人自行承担踏勘现场发生的责任、风险和自身费用。</w:t>
      </w:r>
    </w:p>
    <w:p w14:paraId="74D1F86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10.3采购人在踏勘现场中介绍的资料和数据等，只是为了使投标人能够利用招标人现有的资料。招标人对投标人由此而作出的推论、解释和结论概不负责。</w:t>
      </w:r>
    </w:p>
    <w:p w14:paraId="7534FE3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四、招标文件的澄清和修改</w:t>
      </w:r>
    </w:p>
    <w:p w14:paraId="0164B1D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2309C5C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25ED5E2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3.如更正公告有重新发布招标文件的，供应商应下载最新发布的招标文件制作投标文件。</w:t>
      </w:r>
    </w:p>
    <w:p w14:paraId="37A0627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4.投标人在规定的时间内未对招标文件提出疑问、质疑或要求澄清的，将视其为无异议。对招标文件中描述有歧义或前后不一致的地方，评标委员会有权进行评判，但对同一条款的评判应适用于每个投标人。</w:t>
      </w:r>
    </w:p>
    <w:p w14:paraId="55D66CD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五、投标要求</w:t>
      </w:r>
    </w:p>
    <w:p w14:paraId="7925E5A3">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1.投标登记</w:t>
      </w:r>
    </w:p>
    <w:p w14:paraId="490B163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在代理机构完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成项目投标登记并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购买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招标文件（未按上述方式获取招标文件的供应商，其投标资格将被视为无效）。</w:t>
      </w:r>
    </w:p>
    <w:p w14:paraId="6CF0BCEE">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2.投标文件的制作</w:t>
      </w:r>
    </w:p>
    <w:p w14:paraId="5636A271">
      <w:pPr>
        <w:pStyle w:val="1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2.1投标文件中，其格式要求详见第六章说明。如因不按要求编制，其后果由投标人承担。</w:t>
      </w:r>
    </w:p>
    <w:p w14:paraId="75676C2A">
      <w:pPr>
        <w:pStyle w:val="1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正确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编制、标记投标文件。关于投标报价（如有报价）说明如下：</w:t>
      </w:r>
    </w:p>
    <w:p w14:paraId="0B5A5D6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3943663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(2)投标报价包括本项目采购需求和投入使用的所有费用，包括但不限于主件、标准附件、备品备件、施工、服务、专用工具、安装、调试、检验、培训、运输、保险、税款等。</w:t>
      </w:r>
    </w:p>
    <w:p w14:paraId="66D3A97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如有对多个采购包投标的，要对每个采购包独立制作投标文件。</w:t>
      </w:r>
    </w:p>
    <w:p w14:paraId="61B759A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2.4投标人不得将同一个项目或同一个采购包的内容拆开投标，否则其报价将被视为非实质性响应。</w:t>
      </w:r>
    </w:p>
    <w:p w14:paraId="79D3F44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2.5投标人须对招标文件的对应要求给予唯一的实质性响应，否则将视为不响应。</w:t>
      </w:r>
    </w:p>
    <w:p w14:paraId="02CF31C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2.6招标文件中，凡标有“★”的地方均为实质性响应条款，投标人若有一项带“★”的条款未响应或不满足，将按无效投标处理。</w:t>
      </w:r>
    </w:p>
    <w:p w14:paraId="542D7C0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2.7投标人必须按招标文件指定的格式填写各种报价，各报价应计算正确。除在招标文件另有规定外（如：报折扣、报优惠率等），计量单位应使用中华人民共和国法定计量单位，以人民币填报所有报价。</w:t>
      </w:r>
    </w:p>
    <w:p w14:paraId="1A75F91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2.8投标文件以及投标人与采购人、代理机构就有关投标的往来函电均应使用中文。投标人提交的支持性文件和印制的文件可以用另一种语言，但相应内容应翻译成中文，在解释投标文件时以中文文本为准。</w:t>
      </w:r>
    </w:p>
    <w:p w14:paraId="20C1D6F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2.9投标人应按招标文件的规定及附件要求的内容和格式完整地填写和提供资料。投标人必须对投标文件所提供的全部资料的真实性承担法律责任，并无条件接受采购人对其中任何资料进行核实（核对原件）的要求。</w:t>
      </w:r>
    </w:p>
    <w:p w14:paraId="2DB581B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3.投标文件的提交</w:t>
      </w:r>
    </w:p>
    <w:p w14:paraId="7024F51C">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递交投标文件的地点与开标的地点为同一地点；投标截止时间与开标时间为同一时间。</w:t>
      </w:r>
    </w:p>
    <w:p w14:paraId="55BD89EE">
      <w:pPr>
        <w:widowControl/>
        <w:tabs>
          <w:tab w:val="left" w:pos="753"/>
        </w:tabs>
        <w:adjustRightInd w:val="0"/>
        <w:snapToGrid w:val="0"/>
        <w:spacing w:line="360" w:lineRule="auto"/>
        <w:ind w:left="0" w:leftChars="0" w:firstLine="420" w:firstLineChars="200"/>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.2投标文件需由专人送交。投标人须将密封和标记后的投标文件，按照招标文件中注明的开标地址于投标截止时间之前送交代理采购机构。</w:t>
      </w:r>
    </w:p>
    <w:p w14:paraId="1EA8574A">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bookmarkStart w:id="0" w:name="_Toc339441078"/>
      <w:bookmarkStart w:id="1" w:name="_Toc341348329"/>
      <w:bookmarkStart w:id="2" w:name="_Toc333237779"/>
      <w:bookmarkStart w:id="3" w:name="_Toc331512889"/>
      <w:bookmarkStart w:id="4" w:name="_Toc330459976"/>
      <w:bookmarkStart w:id="5" w:name="_Toc366072519"/>
      <w:bookmarkStart w:id="6" w:name="_Toc336681571"/>
      <w:bookmarkStart w:id="7" w:name="_Toc333935337"/>
      <w:bookmarkStart w:id="8" w:name="_Toc339020224"/>
      <w:bookmarkStart w:id="9" w:name="_Toc374454591"/>
      <w:bookmarkStart w:id="10" w:name="_Toc342296751"/>
      <w:bookmarkStart w:id="11" w:name="_Toc337632349"/>
      <w:bookmarkStart w:id="12" w:name="_Toc349143580"/>
      <w:bookmarkStart w:id="13" w:name="_Toc339362291"/>
      <w:bookmarkStart w:id="14" w:name="_Toc333935678"/>
      <w:bookmarkStart w:id="15" w:name="_Toc365967064"/>
      <w:bookmarkStart w:id="16" w:name="_Toc340507433"/>
      <w:bookmarkStart w:id="17" w:name="_Toc339019880"/>
      <w:bookmarkStart w:id="18" w:name="_Toc333237668"/>
      <w:bookmarkStart w:id="19" w:name="_Toc342060365"/>
      <w:bookmarkStart w:id="20" w:name="_Toc333238624"/>
      <w:bookmarkStart w:id="21" w:name="_Toc365985170"/>
      <w:bookmarkStart w:id="22" w:name="_Toc339020006"/>
      <w:bookmarkStart w:id="23" w:name="_Toc503785420"/>
      <w:bookmarkStart w:id="24" w:name="_Toc340672860"/>
      <w:bookmarkStart w:id="25" w:name="_Toc497224218"/>
      <w:bookmarkStart w:id="26" w:name="_Toc336681926"/>
      <w:bookmarkStart w:id="27" w:name="_Toc350756441"/>
      <w:bookmarkStart w:id="28" w:name="_Toc332270337"/>
      <w:bookmarkStart w:id="29" w:name="_Toc339020086"/>
      <w:bookmarkStart w:id="30" w:name="_Toc331684029"/>
      <w:bookmarkStart w:id="31" w:name="_Toc349127617"/>
      <w:bookmarkStart w:id="32" w:name="_Toc350438740"/>
      <w:bookmarkStart w:id="33" w:name="_Toc332206699"/>
      <w:bookmarkStart w:id="34" w:name="_Toc340677061"/>
      <w:bookmarkStart w:id="35" w:name="_Toc345513858"/>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.3代理采购机构于投标截止时间前30分钟开始接收投标文件，并于招标文件规定的开标时间、</w:t>
      </w:r>
    </w:p>
    <w:p w14:paraId="34A9B126">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开标地点公开开标。</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16A1E2B0">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代理采购机构将拒绝在投标截止时间后递交的任何投标文件。</w:t>
      </w:r>
    </w:p>
    <w:p w14:paraId="0FF344B7">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4.投标文件的修改、撤回与撤销</w:t>
      </w:r>
    </w:p>
    <w:p w14:paraId="26D26B9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投标人在投标截止时间前，可以修改或撤回其投标文件。但必须在规定的投标截止时间之</w:t>
      </w:r>
    </w:p>
    <w:p w14:paraId="17D7E6C0">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前以书面通知到代理采购机构，该通知须有投标人法定代表人（负责人）或其授权代表签字。</w:t>
      </w:r>
    </w:p>
    <w:p w14:paraId="6AACCA49">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投标人对投标文件修改的书面材料或撤销的通知应注明“修改投标文件”或“撤销</w:t>
      </w:r>
    </w:p>
    <w:p w14:paraId="11590BD2">
      <w:pPr>
        <w:widowControl/>
        <w:tabs>
          <w:tab w:val="left" w:pos="753"/>
        </w:tabs>
        <w:adjustRightInd w:val="0"/>
        <w:snapToGrid w:val="0"/>
        <w:spacing w:line="360" w:lineRule="auto"/>
        <w:ind w:left="751" w:leftChars="1" w:hanging="749" w:hangingChars="357"/>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投标”字样。</w:t>
      </w:r>
    </w:p>
    <w:p w14:paraId="21EC4D1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在投标截止时间之后，投标人不得对其投标文件做任何修改。</w:t>
      </w:r>
    </w:p>
    <w:p w14:paraId="11057DBF">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从投标截止时间至投标文件有效期期满之前，投标人不得撤回其投标文件，否则代理采购机</w:t>
      </w:r>
    </w:p>
    <w:p w14:paraId="2722D83E">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构将按规定不予退还投标保证金。</w:t>
      </w:r>
    </w:p>
    <w:p w14:paraId="152E9DEB">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w:t>
      </w:r>
      <w:bookmarkStart w:id="36" w:name="_Toc333237782"/>
      <w:bookmarkStart w:id="37" w:name="_Toc339020089"/>
      <w:bookmarkStart w:id="38" w:name="_Toc336681574"/>
      <w:bookmarkStart w:id="39" w:name="_Toc337632352"/>
      <w:bookmarkStart w:id="40" w:name="_Toc17227"/>
      <w:bookmarkStart w:id="41" w:name="_Toc349143583"/>
      <w:bookmarkStart w:id="42" w:name="_Toc339019883"/>
      <w:bookmarkStart w:id="43" w:name="_Toc339020227"/>
      <w:bookmarkStart w:id="44" w:name="_Toc340507436"/>
      <w:bookmarkStart w:id="45" w:name="_Toc350756444"/>
      <w:bookmarkStart w:id="46" w:name="_Toc345513861"/>
      <w:bookmarkStart w:id="47" w:name="_Toc333238627"/>
      <w:bookmarkStart w:id="48" w:name="_Toc350438743"/>
      <w:bookmarkStart w:id="49" w:name="_Toc342296754"/>
      <w:bookmarkStart w:id="50" w:name="_Toc366072522"/>
      <w:bookmarkStart w:id="51" w:name="_Toc332270340"/>
      <w:bookmarkStart w:id="52" w:name="_Toc503785423"/>
      <w:bookmarkStart w:id="53" w:name="_Toc365967067"/>
      <w:bookmarkStart w:id="54" w:name="_Toc339020009"/>
      <w:bookmarkStart w:id="55" w:name="_Toc339362294"/>
      <w:bookmarkStart w:id="56" w:name="_Toc365985173"/>
      <w:bookmarkStart w:id="57" w:name="_Toc331512892"/>
      <w:bookmarkStart w:id="58" w:name="_Toc349127620"/>
      <w:bookmarkStart w:id="59" w:name="_Toc340677064"/>
      <w:bookmarkStart w:id="60" w:name="_Toc331684032"/>
      <w:bookmarkStart w:id="61" w:name="_Toc341348332"/>
      <w:bookmarkStart w:id="62" w:name="_Toc342060368"/>
      <w:bookmarkStart w:id="63" w:name="_Toc340672863"/>
      <w:bookmarkStart w:id="64" w:name="_Toc339441081"/>
      <w:bookmarkStart w:id="65" w:name="_Toc330459979"/>
      <w:bookmarkStart w:id="66" w:name="_Toc374454594"/>
      <w:bookmarkStart w:id="67" w:name="_Toc336681929"/>
      <w:bookmarkStart w:id="68" w:name="_Toc497224221"/>
      <w:bookmarkStart w:id="69" w:name="_Toc333935340"/>
      <w:bookmarkStart w:id="70" w:name="_Toc333237671"/>
      <w:bookmarkStart w:id="71" w:name="_Toc332206702"/>
      <w:bookmarkStart w:id="72" w:name="_Toc333935681"/>
      <w:r>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t>开</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hint="eastAsia" w:asciiTheme="minorEastAsia" w:hAnsiTheme="minorEastAsia" w:cstheme="minorEastAsia"/>
          <w:b/>
          <w:bCs w:val="0"/>
          <w:color w:val="000000" w:themeColor="text1"/>
          <w:sz w:val="21"/>
          <w:szCs w:val="21"/>
          <w:highlight w:val="none"/>
          <w:lang w:val="en-US" w:eastAsia="zh-CN"/>
          <w14:textFill>
            <w14:solidFill>
              <w14:schemeClr w14:val="tx1"/>
            </w14:solidFill>
          </w14:textFill>
        </w:rPr>
        <w:t>启</w:t>
      </w:r>
    </w:p>
    <w:p w14:paraId="6133399B">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现场开启</w:t>
      </w:r>
      <w:r>
        <w:rPr>
          <w:rFonts w:hint="eastAsia" w:ascii="宋体" w:hAnsi="宋体"/>
          <w:bCs/>
          <w:color w:val="000000" w:themeColor="text1"/>
          <w:highlight w:val="none"/>
          <w14:textFill>
            <w14:solidFill>
              <w14:schemeClr w14:val="tx1"/>
            </w14:solidFill>
          </w14:textFill>
        </w:rPr>
        <w:t>。</w:t>
      </w:r>
    </w:p>
    <w:p w14:paraId="45EB498B">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6.投标保证金</w:t>
      </w:r>
    </w:p>
    <w:p w14:paraId="2049483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6.1投标保证金的缴纳</w:t>
      </w:r>
    </w:p>
    <w:p w14:paraId="39EEC20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投标人在提交投标文件时，应按投标人须知前附表规定的金额和缴纳要求缴纳投标保证金，并作为其投标文件的组成部分。</w:t>
      </w:r>
    </w:p>
    <w:p w14:paraId="30C9FB5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如采用转账、支票、本票、汇票形式提交的，投标保证金从投标人基本账户递交，由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代收。具体操作要求详见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有关指引，递交事宜请自行咨询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；请各投标人在投标文件递交截止时间前按须知前附表规定的金额递交至</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，到账情况以开标时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查询的信息为准。</w:t>
      </w:r>
    </w:p>
    <w:p w14:paraId="25D6AFB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如采用金融机构、专业担保机构开具的投标担保函、投标保证保险函等形式提交投标保证金的，投标担保函或投标保证保险函须开具给采购人（保险受益人须为采购人），并与投标文件一同递交。</w:t>
      </w:r>
    </w:p>
    <w:p w14:paraId="367473C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电子保函与纸质保函具有同样效力。</w:t>
      </w:r>
    </w:p>
    <w:p w14:paraId="3895214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6.2投标保证金的退还：</w:t>
      </w:r>
    </w:p>
    <w:p w14:paraId="694B366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（1）投标人在投标截止时间前放弃投标的，自所投采购包结果公告发出后5个工作日内退还。</w:t>
      </w:r>
    </w:p>
    <w:p w14:paraId="4369680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（2）未中标的投标人投标保证金，自中标通知书发出之日起5个工作日内退还。</w:t>
      </w:r>
    </w:p>
    <w:p w14:paraId="3216C07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（3）中标供应商的投标保证金，自政府采购合同签订之日起5个工作日内退还。</w:t>
      </w:r>
    </w:p>
    <w:p w14:paraId="77EB7E9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备注：但因投标人自身原因导致无法及时退还的除外。</w:t>
      </w:r>
    </w:p>
    <w:p w14:paraId="1C9223A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6.3有下列情形之一的，投标保证金将不予退还：</w:t>
      </w:r>
    </w:p>
    <w:p w14:paraId="782AE31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（1）提供虚假材料谋取中标、成交的；</w:t>
      </w:r>
    </w:p>
    <w:p w14:paraId="3432DB7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（2）投标人在招标文件规定的投标有效期内撤销其投标；</w:t>
      </w:r>
    </w:p>
    <w:p w14:paraId="3AE006A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（3）中标后，无正当理由放弃中标资格；</w:t>
      </w:r>
    </w:p>
    <w:p w14:paraId="5A3CD51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（4）中标后，无正当理由不与采购人签订合同；</w:t>
      </w:r>
    </w:p>
    <w:p w14:paraId="33D36B6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（5）法律法规和招标文件规定的其他情形。</w:t>
      </w:r>
    </w:p>
    <w:p w14:paraId="6DD97DC0">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7.投标有效期</w:t>
      </w:r>
    </w:p>
    <w:p w14:paraId="33BC27F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7.1投标有效期内投标人撤销投标文件的，采购人或者采购代理机构可以不退还投标保证金（如有）。采用投标保函方式替代保证金的，采购人或者采购代理机构可以向担保机构索赔保证金。</w:t>
      </w:r>
    </w:p>
    <w:p w14:paraId="6D92BB6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4802618C">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8.样品（演示）</w:t>
      </w:r>
    </w:p>
    <w:p w14:paraId="41514AF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8.1招标文件规定投标人提交样品的，样品属于投标文件的组成部分。样品的生产、运输、安装、保全等一切费用由投标人自理。</w:t>
      </w:r>
    </w:p>
    <w:p w14:paraId="70D01D4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8.2投标截止时间前，投标人应将样品送达至指定地点。若需要现场演示的，投标人应提前做好演示准备（包括演示设备）。</w:t>
      </w:r>
    </w:p>
    <w:p w14:paraId="40BCF21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6D14943">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9.除招标文件另有规定外，有下列情形之一的，投标无效：</w:t>
      </w:r>
    </w:p>
    <w:p w14:paraId="6E2C028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9.1投标文件未按照招标文件要求签署、盖章；</w:t>
      </w:r>
    </w:p>
    <w:p w14:paraId="1054CD9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9.2不符合招标文件中规定的资格要求；</w:t>
      </w:r>
    </w:p>
    <w:p w14:paraId="4C34660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9.3投标报价超过招标文件中规定的预算金额或最高限价；</w:t>
      </w:r>
    </w:p>
    <w:p w14:paraId="0375E91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9.4投标文件含有采购人不能接受的附加条件；</w:t>
      </w:r>
    </w:p>
    <w:p w14:paraId="1128C4F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9.5有关法律、法规和规章及招标文件规定的其他无效情形。</w:t>
      </w:r>
    </w:p>
    <w:p w14:paraId="4AC9B02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六、开标、评标和定标</w:t>
      </w:r>
    </w:p>
    <w:p w14:paraId="31595274">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1.开标</w:t>
      </w:r>
    </w:p>
    <w:p w14:paraId="2E99854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 开标程序</w:t>
      </w:r>
    </w:p>
    <w:p w14:paraId="137025E5">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w:t>
      </w:r>
    </w:p>
    <w:p w14:paraId="726E3DB3">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代表均需按时参加开标会。参加开标的投标人代表应签名报到以证明其出席。</w:t>
      </w:r>
    </w:p>
    <w:p w14:paraId="2C970F2B">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w:t>
      </w:r>
    </w:p>
    <w:p w14:paraId="6B04EFAC">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无误后，由工作人员当众拆封唱标。唱标主要内容为投标文件正本中的“开标一览表”的内容以及代理采购机构认为合适的其他内容。</w:t>
      </w:r>
    </w:p>
    <w:p w14:paraId="7D26E5AD">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在投标截止之前收到的所有投标文件，开标时都应当众拆封并宣读。在开标时没有当众拆封和</w:t>
      </w:r>
    </w:p>
    <w:p w14:paraId="6EAFA631">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宣读的投标文件在评标时将不予考虑。提交了可接受的“撤回”通知的投标文件将不予拆封。</w:t>
      </w:r>
    </w:p>
    <w:p w14:paraId="06C0C4BD">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2ACA406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1.2开标异议</w:t>
      </w:r>
    </w:p>
    <w:p w14:paraId="504D7A0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投标人代表对开标过程和开标记录有疑义，以及认为采购人、采购代理机构相关工作人员有需要回避的情形的，应当场提出询问或者回避申请。投标人未参加开标的，视同认可开标结果。</w:t>
      </w:r>
    </w:p>
    <w:p w14:paraId="6006661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 投标截止时间后，投标人不足须知前附表中约定的有效供应商家数的，不得开标。同时，本次采购活动结束。</w:t>
      </w:r>
    </w:p>
    <w:p w14:paraId="448C721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1.4开标时出现下列情况的，视为投标无效处理：</w:t>
      </w:r>
    </w:p>
    <w:p w14:paraId="0B39F4A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（1）经检查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无效的；</w:t>
      </w:r>
    </w:p>
    <w:p w14:paraId="401B66F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（2）因投标人自身原因，未在规定时间内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递交投标文件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4646C60">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2.评审（详见第四章）</w:t>
      </w:r>
    </w:p>
    <w:p w14:paraId="7AEA1EF3">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3.定标</w:t>
      </w:r>
    </w:p>
    <w:p w14:paraId="7694B73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3.1中标公告：</w:t>
      </w:r>
    </w:p>
    <w:p w14:paraId="1022728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中标供应商确定之日起2个工作日内， 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上以公告的形式发布中标结果，中标公告的公告期限为 1 个工作日。中标公告同时作为采购代理机构通知除中标供应商外的其他投标人没有中标的书面形式，采购代理机构不再以其它方式另行通知。</w:t>
      </w:r>
    </w:p>
    <w:p w14:paraId="754A6FE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3.2中标通知书：</w:t>
      </w:r>
    </w:p>
    <w:p w14:paraId="5CE4CA1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中标通知书在发布中标公告时，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同时发出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《中标通知书》，《中标通知书》将作为授予合同资格的唯一合法依据。中标通知书发出后，采购人不得违法改变中标结果，中标供应商不得放弃中标。中标供应商放弃中标的，应当依法承担相应的法律责任。</w:t>
      </w:r>
    </w:p>
    <w:p w14:paraId="5A04CDE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3.3终止公告：</w:t>
      </w:r>
    </w:p>
    <w:p w14:paraId="046C25D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项目废标后，采购代理机构将在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上发布终止公告，终止公告的公告期限为1个工作日。</w:t>
      </w:r>
    </w:p>
    <w:p w14:paraId="139F489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七、询问、质疑与投诉</w:t>
      </w:r>
    </w:p>
    <w:p w14:paraId="5DC6892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1.询问</w:t>
      </w:r>
    </w:p>
    <w:p w14:paraId="710A101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40CF310A">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2.质疑</w:t>
      </w:r>
    </w:p>
    <w:p w14:paraId="2B636ED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5CD52F5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(1)对招标文件提出质疑的，为获取招标文件之日或者招标文件公告期限届满之日；</w:t>
      </w:r>
    </w:p>
    <w:p w14:paraId="10B6F3A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(2)对采购过程提出质疑的，为各采购程序环节结束之日；</w:t>
      </w:r>
    </w:p>
    <w:p w14:paraId="6D87E90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(3)对中标结果提出质疑的，为中标结果公告期限届满之日。</w:t>
      </w:r>
    </w:p>
    <w:p w14:paraId="5D4DCCE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2.2质疑函应当包括下列主要内容：</w:t>
      </w:r>
    </w:p>
    <w:p w14:paraId="79518E6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(1)质疑供应商和相关供应商的名称、地址、邮编、联系人及联系电话等；</w:t>
      </w:r>
    </w:p>
    <w:p w14:paraId="2DCA0E9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(2)质疑项目名称及编号、具体明确的质疑事项和与质疑事项相关的请求；</w:t>
      </w:r>
    </w:p>
    <w:p w14:paraId="5D07A6F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(3)认为采购文件、采购过程、中标和成交结果使自己的合法权益受到损害的法律依据、事实依据、相关证明材料及证据来源；</w:t>
      </w:r>
    </w:p>
    <w:p w14:paraId="495387A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(4)提出质疑的日期。</w:t>
      </w:r>
    </w:p>
    <w:p w14:paraId="52463BA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质疑函应当署名。质疑供应商为自然人的，应当由本人签字；质疑供应商为法人或者其他组织的，应当由法定代表人、主要负责人，或者其授权代表签字或者盖章，并加盖公章。</w:t>
      </w:r>
    </w:p>
    <w:p w14:paraId="00DF342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2.4以联合体形式参加政府采购活动的，其质疑应当由联合体成员委托主体提出。</w:t>
      </w:r>
    </w:p>
    <w:p w14:paraId="76B7CE1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2B1F33E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2.6质疑联系方式如下：</w:t>
      </w:r>
    </w:p>
    <w:p w14:paraId="627E597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质疑联系人：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小姐</w:t>
      </w:r>
    </w:p>
    <w:p w14:paraId="31292E5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58F7C6A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p>
    <w:p w14:paraId="7AFCFBF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gdyxcg@126.com</w:t>
      </w:r>
    </w:p>
    <w:p w14:paraId="42F43BC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阳江市江城区猫山四街33号A座2楼</w:t>
      </w:r>
    </w:p>
    <w:p w14:paraId="0F20F11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邮编：</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529500</w:t>
      </w:r>
    </w:p>
    <w:p w14:paraId="5DDF895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八、合同签订和履行</w:t>
      </w:r>
    </w:p>
    <w:p w14:paraId="11416B0B">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1.合同签订</w:t>
      </w:r>
    </w:p>
    <w:p w14:paraId="6969B98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1.1采购人应当自《中标通知书》发出之日起三十日内，按照招标文件和中标供应商投标文件的约定，与中标供应商签订合同。所签订的合同不得对招标文件和中标供应商投标文件作实质性修改。</w:t>
      </w:r>
    </w:p>
    <w:p w14:paraId="0480D68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1.2采购人不得提出试用合格等任何不合理的要求作为签订合同的条件，且不得与中标供应商私下订立背离合同实质性内容的协议。</w:t>
      </w:r>
    </w:p>
    <w:p w14:paraId="6F0BC19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1.3合同条款中应规定，乙方完全遵守《中华人民共和国民法典》有关规定和《中华人民共和国妇女权益保障法》中关于“劳动和社会保障权益”的有关要求。</w:t>
      </w:r>
    </w:p>
    <w:p w14:paraId="5658424A">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2.合同的履行</w:t>
      </w:r>
    </w:p>
    <w:p w14:paraId="0D29728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2.1政府采购合同订立后，合同各方不得擅自变更、中止或者终止合同。</w:t>
      </w:r>
    </w:p>
    <w:p w14:paraId="214ACC4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w:t>
      </w:r>
    </w:p>
    <w:p w14:paraId="178746BB">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74CE649">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30C207D4">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第四章 评标</w:t>
      </w:r>
    </w:p>
    <w:p w14:paraId="74C76CA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一、评标要求</w:t>
      </w:r>
    </w:p>
    <w:p w14:paraId="4362B7E9">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1.评标方法</w:t>
      </w:r>
    </w:p>
    <w:p w14:paraId="2B51C44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)：综合评分法,是指投标文件满足招标文件全部实质性要求，且按照评审因素的量化指标评审得分最高的投标人为中标候选人的评标方法。（最低报价不是中标的唯一依据。）</w:t>
      </w:r>
    </w:p>
    <w:p w14:paraId="122EFEC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2.评标原则</w:t>
      </w:r>
    </w:p>
    <w:p w14:paraId="3BAB759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2.1评标活动遵循公平、公正、科学和择优的原则，以招标文件和投标文件为评标的基本依据，并按照招标文件规定的评标方法和评标标准进行评标。</w:t>
      </w:r>
    </w:p>
    <w:p w14:paraId="1D69886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2.2具体评标事项由评标委员会负责，并按招标文件的规定办法进行评审。</w:t>
      </w:r>
    </w:p>
    <w:p w14:paraId="1E9A955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2.3合格投标人不足须知前附表中约定的有效供应商家数的，不得评标。</w:t>
      </w:r>
    </w:p>
    <w:p w14:paraId="24434228">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3.评标委员会</w:t>
      </w:r>
    </w:p>
    <w:p w14:paraId="6AA844B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3.1评标委员会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参考政府采购相关法规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组成，成员人数应当为5人及以上单数，其中评审专家不得少于成员总数的三分之二。</w:t>
      </w:r>
    </w:p>
    <w:p w14:paraId="6E5DB8D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3.2评标应遵守下列评标纪律：</w:t>
      </w:r>
    </w:p>
    <w:p w14:paraId="7158E3E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（1）评标情况不得私自外泄，有关信息由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统一对外发布。</w:t>
      </w:r>
    </w:p>
    <w:p w14:paraId="48B8DA0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或投标人提供的要求保密的资料，不得摘记翻印和外传。</w:t>
      </w:r>
    </w:p>
    <w:p w14:paraId="5558BA0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（3）不得收受投标供应商或有关人员的任何礼物，不得串联鼓动其他人袒护某投标人。若与投标人存在利害关系，则应主动声明并回避。</w:t>
      </w:r>
    </w:p>
    <w:p w14:paraId="3A2B0F4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（4）全体评委应按照招标文件规定进行评标，一切认定事项应查有实据且不得弄虚作假。</w:t>
      </w:r>
    </w:p>
    <w:p w14:paraId="7647C02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（5）评标委员会各成员应当独立对每个投标人的投标文件进行评价，并对评价意见承担个人责任。评审过程中，不得发表倾向性言论。</w:t>
      </w:r>
    </w:p>
    <w:p w14:paraId="5E7BBA2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※对违反评标纪律的评委，将取消其评委资格，对评标工作造成严重损失者将予以通报批评乃至追究法律责任。</w:t>
      </w:r>
    </w:p>
    <w:p w14:paraId="023CBA53">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4.有下列情形之一的，视为投标人串通投标，其投标无效；</w:t>
      </w:r>
    </w:p>
    <w:p w14:paraId="61DF99D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4.1不同投标人的投标文件由同一单位或者个人编制；</w:t>
      </w:r>
    </w:p>
    <w:p w14:paraId="6EBD5E4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4.2不同投标人委托同一单位或者个人办理投标事宜；</w:t>
      </w:r>
    </w:p>
    <w:p w14:paraId="288CD5E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4.3不同投标人的投标文件载明的项目管理成员或者联系人员为同一人；</w:t>
      </w:r>
    </w:p>
    <w:p w14:paraId="54B36D2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4.4不同投标人的投标文件异常一致或者投标报价呈规律性差异；</w:t>
      </w:r>
    </w:p>
    <w:p w14:paraId="70B8C57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4.5不同投标人的投标文件相互混装；</w:t>
      </w:r>
    </w:p>
    <w:p w14:paraId="4248EA6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4.6不同投标人的投标保证金或购买电子保函支付款为从同一单位或个人的账户转出；</w:t>
      </w:r>
    </w:p>
    <w:p w14:paraId="1290A26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4.7投标人的投标文件加盖该项目的其他投标人的</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p>
    <w:p w14:paraId="494E334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说明：在评标过程中发现投标人有上述情形的，评标委员会应当认定其投标无效。同时，项目评审时被认定为串通投标的投标人不得参加该合同项下的采购活动。</w:t>
      </w:r>
    </w:p>
    <w:p w14:paraId="4486A99B">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5.投标无效的情形</w:t>
      </w:r>
    </w:p>
    <w:p w14:paraId="1ED8136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详见资格性审查、符合性审查和招标文件其他投标无效条款。</w:t>
      </w:r>
    </w:p>
    <w:p w14:paraId="67FEE571">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6.定标</w:t>
      </w:r>
    </w:p>
    <w:p w14:paraId="0750ED3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评标委员会按照招标文件确定的评标方法、步骤、标准，对投标文件进行评审。评标结束后，对投标人的评审名次进行排序，确定中标供应商或者推荐中标候选人。</w:t>
      </w:r>
    </w:p>
    <w:p w14:paraId="3F626F56">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7.价格修正</w:t>
      </w:r>
    </w:p>
    <w:p w14:paraId="478E3F1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对报价的计算错误按以下原则修正：</w:t>
      </w:r>
    </w:p>
    <w:p w14:paraId="52EDF9B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（1）投标文件中开标一览表内容与投标文件中相应内容不一致的，以开标一览表为准；</w:t>
      </w:r>
    </w:p>
    <w:p w14:paraId="6F625F8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（2）大写金额和小写金额不一致的，以大写金额为准；</w:t>
      </w:r>
    </w:p>
    <w:p w14:paraId="5CD4CB2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（3）单价金额小数点或者百分比有明显错位的，以开标一览表的总价为准，并修改单价。</w:t>
      </w:r>
    </w:p>
    <w:p w14:paraId="09023C4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（4）总价金额与按单价汇总金额不一致的，以单价金额计算结果为准。但是单价金额计算结果超过预算价的，对其按无效投标处理。</w:t>
      </w:r>
    </w:p>
    <w:p w14:paraId="44A89BB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注：同时出现两种以上不一致的，按照前款规定的顺序在系统上进行价格澄清。澄清后的价格加盖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确认后产生约束力，但不得超出投标文件的范围或者改变投标文件的实质性内容，投标人不确认的，其投标无效。</w:t>
      </w:r>
    </w:p>
    <w:p w14:paraId="7DA8071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二.政府采购政策落实</w:t>
      </w:r>
    </w:p>
    <w:p w14:paraId="0541E42B">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1.节能、环保要求</w:t>
      </w:r>
    </w:p>
    <w:p w14:paraId="5DAB290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1538158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相关认证机构和获证产品信息以市场监管总局组织建立的节能产品、环境标志产品认证结果信息发布平台公布为准。</w:t>
      </w:r>
    </w:p>
    <w:p w14:paraId="00FFC777">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2.对符合本国产品标准的产品给予价格扣除</w:t>
      </w:r>
    </w:p>
    <w:p w14:paraId="6958B5B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2C8F9FA2">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本国产品标准的适用范围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18F977A">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准确界定产品在中国境内生产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1319F9D">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对本国产品的支持政策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0D86F574">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E3CE627">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认真审查有关证明文件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0E783145">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3.对小型、微型企业、监狱企业或残疾人福利性单位给予价格扣除</w:t>
      </w:r>
    </w:p>
    <w:p w14:paraId="4F812EB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442C21A5">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4.价格扣除相关要求</w:t>
      </w:r>
    </w:p>
    <w:p w14:paraId="07EE921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3"/>
        <w:tblW w:w="96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1421"/>
        <w:gridCol w:w="1935"/>
        <w:gridCol w:w="859"/>
        <w:gridCol w:w="4706"/>
      </w:tblGrid>
      <w:tr w14:paraId="6FD03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jc w:val="center"/>
        </w:trPr>
        <w:tc>
          <w:tcPr>
            <w:tcW w:w="720" w:type="dxa"/>
            <w:vAlign w:val="center"/>
          </w:tcPr>
          <w:p w14:paraId="2FD0277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21" w:type="dxa"/>
            <w:vAlign w:val="center"/>
          </w:tcPr>
          <w:p w14:paraId="6302563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情形</w:t>
            </w:r>
          </w:p>
        </w:tc>
        <w:tc>
          <w:tcPr>
            <w:tcW w:w="1935" w:type="dxa"/>
            <w:vAlign w:val="center"/>
          </w:tcPr>
          <w:p w14:paraId="55C9523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适用对象</w:t>
            </w:r>
          </w:p>
        </w:tc>
        <w:tc>
          <w:tcPr>
            <w:tcW w:w="859" w:type="dxa"/>
            <w:vAlign w:val="center"/>
          </w:tcPr>
          <w:p w14:paraId="0FBB1ED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价格扣除比例</w:t>
            </w:r>
          </w:p>
        </w:tc>
        <w:tc>
          <w:tcPr>
            <w:tcW w:w="4706" w:type="dxa"/>
            <w:vAlign w:val="center"/>
          </w:tcPr>
          <w:p w14:paraId="17E664C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计算公式</w:t>
            </w:r>
          </w:p>
        </w:tc>
      </w:tr>
      <w:tr w14:paraId="37CCD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32F27F2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21" w:type="dxa"/>
            <w:vAlign w:val="center"/>
          </w:tcPr>
          <w:p w14:paraId="6747C2B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vAlign w:val="center"/>
          </w:tcPr>
          <w:p w14:paraId="739A090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w:t>
            </w:r>
          </w:p>
        </w:tc>
        <w:tc>
          <w:tcPr>
            <w:tcW w:w="859" w:type="dxa"/>
            <w:vAlign w:val="center"/>
          </w:tcPr>
          <w:p w14:paraId="77A209FD">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4706" w:type="dxa"/>
            <w:vAlign w:val="center"/>
          </w:tcPr>
          <w:p w14:paraId="28041C6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09ACF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shd w:val="clear" w:color="auto" w:fill="auto"/>
            <w:vAlign w:val="center"/>
          </w:tcPr>
          <w:p w14:paraId="54CA7C93">
            <w:pPr>
              <w:pStyle w:val="18"/>
              <w:jc w:val="center"/>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21" w:type="dxa"/>
            <w:shd w:val="clear" w:color="auto" w:fill="auto"/>
            <w:vAlign w:val="center"/>
          </w:tcPr>
          <w:p w14:paraId="380886A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shd w:val="clear" w:color="auto" w:fill="auto"/>
            <w:vAlign w:val="center"/>
          </w:tcPr>
          <w:p w14:paraId="323487C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投标（响应）供应商为大中型企业与小微企业组成联合体或者大中型企业向一家或者多家小微企业分包的，对于联合体协议或者分包意向协议约定小微企业的合同份额占到合同总金额30%以上</w:t>
            </w:r>
          </w:p>
        </w:tc>
        <w:tc>
          <w:tcPr>
            <w:tcW w:w="859" w:type="dxa"/>
            <w:shd w:val="clear" w:color="auto" w:fill="auto"/>
            <w:vAlign w:val="center"/>
          </w:tcPr>
          <w:p w14:paraId="086B522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4706" w:type="dxa"/>
            <w:shd w:val="clear" w:color="auto" w:fill="auto"/>
            <w:vAlign w:val="center"/>
          </w:tcPr>
          <w:p w14:paraId="49662C6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大中型企业与小微企业组成联合体或者允许大中</w:t>
            </w:r>
          </w:p>
          <w:p w14:paraId="22CBCFD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55ECD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41" w:type="dxa"/>
            <w:gridSpan w:val="5"/>
            <w:vAlign w:val="center"/>
          </w:tcPr>
          <w:p w14:paraId="3251BB8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注：（1）上述评标价仅用于计算价格分，成交金额以实际投标价为准。 （2）组成联合体的大中型企业和其他自然人、法人或者其他组织、与小型、微型企业之间不得存在投资关系。</w:t>
            </w:r>
          </w:p>
        </w:tc>
      </w:tr>
    </w:tbl>
    <w:p w14:paraId="1D8D26D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（1）所称小型和微型企业应当符合以下条件：</w:t>
      </w:r>
    </w:p>
    <w:p w14:paraId="585FF0D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在中华人民共和国境内依法设立，依据国务院批准的中小企业划分标准确定的小型企业和微型企业，但与大企业的负责人为同一人，或者与大企业存在直接控股、管理关系的除外。</w:t>
      </w:r>
    </w:p>
    <w:p w14:paraId="7E87E87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符合中小企业划分标准的个体工商户，在政府采购活动中视同中小企业。</w:t>
      </w:r>
    </w:p>
    <w:p w14:paraId="7AB5F31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提供本企业（属于小微企业）制造的货物或者提供其他小型或微型企业制造的货物/提供本企业（属于小微企业）承接的服务。</w:t>
      </w:r>
    </w:p>
    <w:p w14:paraId="3BDDC80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291B5E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说明：投标人应当对其出具的《中小企业声明函》真实性负责，投标人出具的《中小企业声明函》内容不实的，属于提供虚假材料谋取中标。</w:t>
      </w:r>
    </w:p>
    <w:p w14:paraId="665FD8C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4729E28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三、评审程序</w:t>
      </w:r>
    </w:p>
    <w:p w14:paraId="74BAB6A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1.资格性审查、符合性审查和异常低价审查</w:t>
      </w:r>
    </w:p>
    <w:p w14:paraId="079FF83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资格性审查。公开招标采购项目开标结束后，采购人或采购代理机构应当依法对投标人的资格进行审查，以确定投标人是否具备投标资格。（详见后附表一资格性审查表）</w:t>
      </w:r>
    </w:p>
    <w:p w14:paraId="7DFB6C7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符合性审查。评标委员会依据招标文件的规定，从投标文件的有效性、完整性和对招标文件的响应程度进行审查，以确定是否对招标文件的实质性要求作出响应。（详见后附表二符合性审查表）</w:t>
      </w:r>
    </w:p>
    <w:p w14:paraId="75B74C0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资格性审查和符合性审查中凡有其中任意一项未通过的，评审结果为未通过，未通过资格性审查、符合性审查的投标人按无效投标处理。</w:t>
      </w:r>
    </w:p>
    <w:p w14:paraId="22CDF12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异常低价审查。政府采购评审中出现采购文件明确的异常低价情形，评审委员会应当启动异常低价投标（响应）审查程序。</w:t>
      </w:r>
    </w:p>
    <w:p w14:paraId="6DA9407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14:paraId="2729D30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被启动异常低价审查的供应商，如果不提供书面说明、证明材料，或者提供的书面说明、证明材料不能证明其报价合理性的，应当将其作为无效投标（响应）处理。</w:t>
      </w:r>
    </w:p>
    <w:p w14:paraId="25C2BEB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通过异常低价审查的不足3家，不得进入详细评审。</w:t>
      </w:r>
    </w:p>
    <w:p w14:paraId="14A7A0B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资格性审查、符合性审查、异常低价审查中凡有其中任意一项未通过的，评审结果为未通过，未通过资格性审查、符合性审查、异常低价审查的投标人按无效投标处理。</w:t>
      </w:r>
    </w:p>
    <w:p w14:paraId="36E6F62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对各投标人进行资格审查、符合性审查、异常低价审查过程中，对初步被认定为无效投标者，由评标委员会组长或采购人代表将集体意见及时告知投标当事人。</w:t>
      </w:r>
    </w:p>
    <w:p w14:paraId="6476F2B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025497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合格投标人不足3家的，不得评标。</w:t>
      </w:r>
    </w:p>
    <w:p w14:paraId="4552C5F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表一资格性审查表：</w:t>
      </w:r>
    </w:p>
    <w:p w14:paraId="3F6AADC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402"/>
        <w:gridCol w:w="5697"/>
      </w:tblGrid>
      <w:tr w14:paraId="5A3E1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C934D8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8099" w:type="dxa"/>
            <w:gridSpan w:val="2"/>
            <w:vAlign w:val="center"/>
          </w:tcPr>
          <w:p w14:paraId="1B337AE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资格审查内容</w:t>
            </w:r>
          </w:p>
        </w:tc>
      </w:tr>
      <w:tr w14:paraId="0EEA5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A941D08">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402" w:type="dxa"/>
            <w:vAlign w:val="center"/>
          </w:tcPr>
          <w:p w14:paraId="3926E2C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具有独立承担民事责任的能力</w:t>
            </w:r>
          </w:p>
        </w:tc>
        <w:tc>
          <w:tcPr>
            <w:tcW w:w="5697" w:type="dxa"/>
            <w:vAlign w:val="center"/>
          </w:tcPr>
          <w:p w14:paraId="4397D9FB">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1596E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DCC1BE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402" w:type="dxa"/>
            <w:vAlign w:val="center"/>
          </w:tcPr>
          <w:p w14:paraId="06974FE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有依法缴纳税收和社会保障资金的良好记录</w:t>
            </w:r>
          </w:p>
        </w:tc>
        <w:tc>
          <w:tcPr>
            <w:tcW w:w="5697" w:type="dxa"/>
            <w:vAlign w:val="center"/>
          </w:tcPr>
          <w:p w14:paraId="67EC2C09">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提供投标截止日前6个月内任意1个月依法缴纳税收和社会保障资金的相关材料或出具《承诺函》。如依法免税或不需要缴纳社会保障资金的，提供相应证明材料。</w:t>
            </w:r>
          </w:p>
        </w:tc>
      </w:tr>
      <w:tr w14:paraId="1BCA8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541378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402" w:type="dxa"/>
            <w:vAlign w:val="center"/>
          </w:tcPr>
          <w:p w14:paraId="27B9F8F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具有良好的商业信誉和健全的财务会计制度</w:t>
            </w:r>
          </w:p>
        </w:tc>
        <w:tc>
          <w:tcPr>
            <w:tcW w:w="5697" w:type="dxa"/>
            <w:vAlign w:val="center"/>
          </w:tcPr>
          <w:p w14:paraId="232D9B44">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投标人必须具有良好的商业信誉和健全的财务会计制度（提供202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年至今任意一个月的财务报表或基本开户行出具的资信证明或出具《承诺函》）。</w:t>
            </w:r>
          </w:p>
        </w:tc>
      </w:tr>
      <w:tr w14:paraId="01BC7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EC78E5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402" w:type="dxa"/>
            <w:vAlign w:val="center"/>
          </w:tcPr>
          <w:p w14:paraId="6812F92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履行合同所必需的设备和专业技术能力</w:t>
            </w:r>
          </w:p>
        </w:tc>
        <w:tc>
          <w:tcPr>
            <w:tcW w:w="5697" w:type="dxa"/>
            <w:vAlign w:val="center"/>
          </w:tcPr>
          <w:p w14:paraId="4F39C469">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设备及专业技术能力情况或出具《承诺函》。</w:t>
            </w:r>
          </w:p>
        </w:tc>
      </w:tr>
      <w:tr w14:paraId="0F1DF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8603A5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402" w:type="dxa"/>
            <w:vAlign w:val="center"/>
          </w:tcPr>
          <w:p w14:paraId="7CF29AB9">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参加采购活动前3年内，在经营活动中没有重大违法记录</w:t>
            </w:r>
          </w:p>
        </w:tc>
        <w:tc>
          <w:tcPr>
            <w:tcW w:w="5697" w:type="dxa"/>
            <w:vAlign w:val="center"/>
          </w:tcPr>
          <w:p w14:paraId="62A3AC53">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01B42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4BFF9A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2402" w:type="dxa"/>
            <w:vAlign w:val="center"/>
          </w:tcPr>
          <w:p w14:paraId="4AA9D7DD">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信用记录</w:t>
            </w:r>
          </w:p>
        </w:tc>
        <w:tc>
          <w:tcPr>
            <w:tcW w:w="5697" w:type="dxa"/>
            <w:vAlign w:val="center"/>
          </w:tcPr>
          <w:p w14:paraId="3913AC8F">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0579C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AE8B90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2402" w:type="dxa"/>
            <w:vAlign w:val="center"/>
          </w:tcPr>
          <w:p w14:paraId="19ECF6A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供应商必须符合法律、行政法规规定的其他条件</w:t>
            </w:r>
          </w:p>
        </w:tc>
        <w:tc>
          <w:tcPr>
            <w:tcW w:w="5697" w:type="dxa"/>
            <w:vAlign w:val="center"/>
          </w:tcPr>
          <w:p w14:paraId="67B49B30">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51603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7A4BD4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p>
        </w:tc>
        <w:tc>
          <w:tcPr>
            <w:tcW w:w="2402" w:type="dxa"/>
            <w:vAlign w:val="center"/>
          </w:tcPr>
          <w:p w14:paraId="67637B2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特定资格要求</w:t>
            </w:r>
          </w:p>
        </w:tc>
        <w:tc>
          <w:tcPr>
            <w:tcW w:w="5697" w:type="dxa"/>
            <w:vAlign w:val="center"/>
          </w:tcPr>
          <w:p w14:paraId="3866BE90">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投标人须具有质量技术监督部门（或市场监督管理部门）颁发的CMA计量认证合格证书（或CMA检验检测机构资质认定证书），且证书在有效期内。</w:t>
            </w:r>
          </w:p>
        </w:tc>
      </w:tr>
      <w:tr w14:paraId="4260B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480C5F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9</w:t>
            </w:r>
          </w:p>
        </w:tc>
        <w:tc>
          <w:tcPr>
            <w:tcW w:w="2402" w:type="dxa"/>
            <w:vAlign w:val="center"/>
          </w:tcPr>
          <w:p w14:paraId="7645A74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特定资格要求</w:t>
            </w:r>
          </w:p>
        </w:tc>
        <w:tc>
          <w:tcPr>
            <w:tcW w:w="5697" w:type="dxa"/>
            <w:vAlign w:val="center"/>
          </w:tcPr>
          <w:p w14:paraId="1ED780FA">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投标人须具有有效的建设行政主管部门颁发的建设工程质量检测机构综合资质证书或专项资质证书（专项资质证书包括：地基基础、建筑材料及构配件、道路工程），且在有效期内。</w:t>
            </w:r>
          </w:p>
        </w:tc>
      </w:tr>
      <w:tr w14:paraId="76F46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411845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w:t>
            </w:r>
          </w:p>
        </w:tc>
        <w:tc>
          <w:tcPr>
            <w:tcW w:w="2402" w:type="dxa"/>
            <w:vAlign w:val="center"/>
          </w:tcPr>
          <w:p w14:paraId="5B1DBC3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落实政府采购政策需满足的资格要求</w:t>
            </w:r>
          </w:p>
        </w:tc>
        <w:tc>
          <w:tcPr>
            <w:tcW w:w="5697" w:type="dxa"/>
            <w:vAlign w:val="center"/>
          </w:tcPr>
          <w:p w14:paraId="68F7F695">
            <w:pPr>
              <w:pStyle w:val="1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本项目专门面向中小企业。</w:t>
            </w:r>
          </w:p>
        </w:tc>
      </w:tr>
    </w:tbl>
    <w:p w14:paraId="6B30605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表二符合性审查表：</w:t>
      </w:r>
    </w:p>
    <w:p w14:paraId="6ADD835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372"/>
        <w:gridCol w:w="5727"/>
      </w:tblGrid>
      <w:tr w14:paraId="49980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A1F9E59">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372" w:type="dxa"/>
            <w:vAlign w:val="center"/>
          </w:tcPr>
          <w:p w14:paraId="3318F4B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评审点要求概况</w:t>
            </w:r>
          </w:p>
        </w:tc>
        <w:tc>
          <w:tcPr>
            <w:tcW w:w="5727" w:type="dxa"/>
            <w:vAlign w:val="center"/>
          </w:tcPr>
          <w:p w14:paraId="2BC317F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评审点具体描述</w:t>
            </w:r>
          </w:p>
        </w:tc>
      </w:tr>
      <w:tr w14:paraId="65899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8CD9381">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372" w:type="dxa"/>
            <w:vAlign w:val="center"/>
          </w:tcPr>
          <w:p w14:paraId="486FA526">
            <w:pPr>
              <w:pStyle w:val="18"/>
              <w:spacing w:line="320" w:lineRule="exact"/>
              <w:jc w:val="center"/>
              <w:rPr>
                <w:rFonts w:hint="default"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满足带“★”号要求</w:t>
            </w:r>
          </w:p>
        </w:tc>
        <w:tc>
          <w:tcPr>
            <w:tcW w:w="5727" w:type="dxa"/>
            <w:vAlign w:val="center"/>
          </w:tcPr>
          <w:p w14:paraId="4E1A37A7">
            <w:pPr>
              <w:pStyle w:val="18"/>
              <w:spacing w:line="32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投标人须承诺中标后开展业务前满足阳江市住房和城乡建设局对建设工程质量检测机构的要求。</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(提供《承诺函》，格式自拟)</w:t>
            </w:r>
          </w:p>
        </w:tc>
      </w:tr>
      <w:tr w14:paraId="2ABB4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C1EF98D">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2372" w:type="dxa"/>
            <w:shd w:val="clear" w:color="auto" w:fill="auto"/>
            <w:vAlign w:val="center"/>
          </w:tcPr>
          <w:p w14:paraId="2FBF8EC5">
            <w:pPr>
              <w:pStyle w:val="18"/>
              <w:spacing w:line="32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合同履行期限须满足要求</w:t>
            </w:r>
          </w:p>
        </w:tc>
        <w:tc>
          <w:tcPr>
            <w:tcW w:w="5727" w:type="dxa"/>
            <w:shd w:val="clear" w:color="auto" w:fill="auto"/>
            <w:vAlign w:val="center"/>
          </w:tcPr>
          <w:p w14:paraId="552F2348">
            <w:pPr>
              <w:pStyle w:val="18"/>
              <w:spacing w:line="320" w:lineRule="exact"/>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从服务合同签订之日起至本项目检测任务完成为止，服务周期必须满足实际施工要求和验收要求。具体开工时间以采购人书面通知为准，因采购人原因或现场不具备作业条件，检测时间顺延，但中标人不得因此向采购人提出任何费用索赔或补偿要求。</w:t>
            </w:r>
          </w:p>
        </w:tc>
      </w:tr>
      <w:tr w14:paraId="4B87D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BF0D33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p>
        </w:tc>
        <w:tc>
          <w:tcPr>
            <w:tcW w:w="2372" w:type="dxa"/>
            <w:vAlign w:val="center"/>
          </w:tcPr>
          <w:p w14:paraId="3506D7DD">
            <w:pPr>
              <w:pStyle w:val="18"/>
              <w:spacing w:line="3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投标报价未超出报价上限</w:t>
            </w:r>
          </w:p>
        </w:tc>
        <w:tc>
          <w:tcPr>
            <w:tcW w:w="5727" w:type="dxa"/>
            <w:vAlign w:val="center"/>
          </w:tcPr>
          <w:p w14:paraId="4BAE2EEA">
            <w:pPr>
              <w:pStyle w:val="18"/>
              <w:spacing w:line="32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下浮率</w:t>
            </w:r>
            <w:r>
              <w:rPr>
                <w:rFonts w:hint="eastAsia" w:ascii="宋体" w:hAnsi="宋体" w:eastAsia="宋体" w:cs="宋体"/>
                <w:color w:val="000000" w:themeColor="text1"/>
                <w:sz w:val="21"/>
                <w:szCs w:val="21"/>
                <w:highlight w:val="none"/>
                <w14:textFill>
                  <w14:solidFill>
                    <w14:schemeClr w14:val="tx1"/>
                  </w14:solidFill>
                </w14:textFill>
              </w:rPr>
              <w:t>报价</w:t>
            </w:r>
            <w:r>
              <w:rPr>
                <w:rFonts w:hint="eastAsia" w:ascii="宋体" w:hAnsi="宋体" w:eastAsia="宋体" w:cs="宋体"/>
                <w:color w:val="000000" w:themeColor="text1"/>
                <w:sz w:val="21"/>
                <w:szCs w:val="21"/>
                <w:highlight w:val="none"/>
                <w:lang w:val="en-US" w:eastAsia="zh-CN"/>
                <w14:textFill>
                  <w14:solidFill>
                    <w14:schemeClr w14:val="tx1"/>
                  </w14:solidFill>
                </w14:textFill>
              </w:rPr>
              <w:t>（0%-100%）</w:t>
            </w:r>
          </w:p>
        </w:tc>
      </w:tr>
      <w:tr w14:paraId="088D2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DED17E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p>
        </w:tc>
        <w:tc>
          <w:tcPr>
            <w:tcW w:w="2372" w:type="dxa"/>
            <w:vAlign w:val="center"/>
          </w:tcPr>
          <w:p w14:paraId="220EED29">
            <w:pPr>
              <w:pStyle w:val="18"/>
              <w:spacing w:line="3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法定代表人/负责人资格证明书及授权委托书</w:t>
            </w:r>
          </w:p>
        </w:tc>
        <w:tc>
          <w:tcPr>
            <w:tcW w:w="5727" w:type="dxa"/>
            <w:vAlign w:val="center"/>
          </w:tcPr>
          <w:p w14:paraId="68AE17F3">
            <w:pPr>
              <w:pStyle w:val="18"/>
              <w:spacing w:line="32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提供法定代表人/负责人资格证明书及授权委托书</w:t>
            </w:r>
          </w:p>
        </w:tc>
      </w:tr>
      <w:tr w14:paraId="3BF12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0545AE3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p>
        </w:tc>
        <w:tc>
          <w:tcPr>
            <w:tcW w:w="2372" w:type="dxa"/>
            <w:vAlign w:val="center"/>
          </w:tcPr>
          <w:p w14:paraId="0B8FB30B">
            <w:pPr>
              <w:pStyle w:val="18"/>
              <w:spacing w:line="3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其他要求</w:t>
            </w:r>
          </w:p>
        </w:tc>
        <w:tc>
          <w:tcPr>
            <w:tcW w:w="5727" w:type="dxa"/>
            <w:vAlign w:val="center"/>
          </w:tcPr>
          <w:p w14:paraId="5CDF323A">
            <w:pPr>
              <w:pStyle w:val="18"/>
              <w:spacing w:line="32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按投标资料清单中规定提供“必须提交”的文件资料</w:t>
            </w:r>
          </w:p>
        </w:tc>
      </w:tr>
    </w:tbl>
    <w:p w14:paraId="1F5080B0">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2.投标文件澄清</w:t>
      </w:r>
    </w:p>
    <w:p w14:paraId="746CB28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2.1对于投标文件中含义不明确、同类问题表述不一致或者有明显文字和计算错误的内容，评标委员会应当在评审过程中发起澄清，要求投标人针对价格或内容做出必要的澄清、说明或补正。</w:t>
      </w:r>
    </w:p>
    <w:p w14:paraId="0D4E3FF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投标人需在规定时间内完成澄清（响应），并加盖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章。</w:t>
      </w:r>
    </w:p>
    <w:p w14:paraId="52842DD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若因投标人联系方式错误未接收短信、未接听电话或超时未进行澄清（响应）造成的不利后果由供应商自行承担。投标人的澄清、说明或者补正不得超出投标文件的范围或者改变投标文件的实质性内容。</w:t>
      </w:r>
    </w:p>
    <w:p w14:paraId="7ABBCD3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2.2评标委员会不接受投标人主动提出的澄清、说明或补正。</w:t>
      </w:r>
    </w:p>
    <w:p w14:paraId="6E3582C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2.3评标委员会对投标人提交的澄清、说明或补正有疑问的，可以要求投标人进一步澄清、说明或补正。</w:t>
      </w:r>
    </w:p>
    <w:p w14:paraId="304FC9BC">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3.详细评审</w:t>
      </w:r>
    </w:p>
    <w:p w14:paraId="7E7A828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3"/>
        <w:tblW w:w="4996"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7"/>
        <w:gridCol w:w="1409"/>
        <w:gridCol w:w="6693"/>
      </w:tblGrid>
      <w:tr w14:paraId="5A186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7" w:hRule="atLeast"/>
          <w:jc w:val="center"/>
        </w:trPr>
        <w:tc>
          <w:tcPr>
            <w:tcW w:w="634" w:type="pct"/>
            <w:noWrap w:val="0"/>
            <w:vAlign w:val="center"/>
          </w:tcPr>
          <w:p w14:paraId="6D233A9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评审因素</w:t>
            </w:r>
          </w:p>
        </w:tc>
        <w:tc>
          <w:tcPr>
            <w:tcW w:w="4365" w:type="pct"/>
            <w:gridSpan w:val="2"/>
            <w:noWrap w:val="0"/>
            <w:vAlign w:val="center"/>
          </w:tcPr>
          <w:p w14:paraId="0C68985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评审标准</w:t>
            </w:r>
          </w:p>
        </w:tc>
      </w:tr>
      <w:tr w14:paraId="40656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51" w:hRule="atLeast"/>
          <w:jc w:val="center"/>
        </w:trPr>
        <w:tc>
          <w:tcPr>
            <w:tcW w:w="634" w:type="pct"/>
            <w:noWrap w:val="0"/>
            <w:vAlign w:val="center"/>
          </w:tcPr>
          <w:p w14:paraId="70A3686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分值构成</w:t>
            </w:r>
          </w:p>
        </w:tc>
        <w:tc>
          <w:tcPr>
            <w:tcW w:w="4365" w:type="pct"/>
            <w:gridSpan w:val="2"/>
            <w:noWrap w:val="0"/>
            <w:vAlign w:val="center"/>
          </w:tcPr>
          <w:p w14:paraId="65A2456C">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商务部分</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0.0分</w:t>
            </w:r>
          </w:p>
          <w:p w14:paraId="3825E7DC">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技术部分</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0.0分</w:t>
            </w:r>
          </w:p>
          <w:p w14:paraId="32208538">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报价得分10.0分</w:t>
            </w:r>
          </w:p>
        </w:tc>
      </w:tr>
      <w:tr w14:paraId="4CE89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34" w:type="pct"/>
            <w:vMerge w:val="restart"/>
            <w:noWrap w:val="0"/>
            <w:vAlign w:val="center"/>
          </w:tcPr>
          <w:p w14:paraId="72DDE63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技术部分</w:t>
            </w:r>
          </w:p>
        </w:tc>
        <w:tc>
          <w:tcPr>
            <w:tcW w:w="759" w:type="pct"/>
            <w:shd w:val="clear" w:color="auto" w:fill="auto"/>
            <w:noWrap w:val="0"/>
            <w:vAlign w:val="center"/>
          </w:tcPr>
          <w:p w14:paraId="0386ABC9">
            <w:pPr>
              <w:pStyle w:val="18"/>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工作大纲与实施计划(11.0分)</w:t>
            </w:r>
          </w:p>
        </w:tc>
        <w:tc>
          <w:tcPr>
            <w:tcW w:w="3606" w:type="pct"/>
            <w:shd w:val="clear" w:color="auto" w:fill="auto"/>
            <w:noWrap w:val="0"/>
            <w:vAlign w:val="center"/>
          </w:tcPr>
          <w:p w14:paraId="105822E2">
            <w:pPr>
              <w:pStyle w:val="18"/>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根据投标人提供的工作大纲与实施计划进行评审：</w:t>
            </w:r>
          </w:p>
          <w:p w14:paraId="0E20D6FE">
            <w:pPr>
              <w:pStyle w:val="18"/>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检测工作大纲全面，进度计划合理，措施方案安全、可行性高，优于或完全满足采购需求的，得11分；</w:t>
            </w:r>
          </w:p>
          <w:p w14:paraId="0F3E033C">
            <w:pPr>
              <w:pStyle w:val="18"/>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检测工作大纲较全面，进度计划较合理，措施方案安全性较好、可行性较高，基本满足采购需求的，得8分；</w:t>
            </w:r>
          </w:p>
          <w:p w14:paraId="654F93DD">
            <w:pPr>
              <w:pStyle w:val="18"/>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检测工作大纲基本全面，进度计划一般，措施方案安全性一般、可行性一般，部分满足采购需求的，得4分；</w:t>
            </w:r>
          </w:p>
          <w:p w14:paraId="0B6529A9">
            <w:pPr>
              <w:pStyle w:val="18"/>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检测工作大纲片面，进度计划差，措施方案安全性差、可行性差，不能满足采购需求的，得1分；</w:t>
            </w:r>
          </w:p>
          <w:p w14:paraId="4E15EFDF">
            <w:pPr>
              <w:pStyle w:val="18"/>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不提供不得分。</w:t>
            </w:r>
          </w:p>
        </w:tc>
      </w:tr>
      <w:tr w14:paraId="01C8A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34" w:type="pct"/>
            <w:vMerge w:val="continue"/>
            <w:noWrap w:val="0"/>
            <w:vAlign w:val="center"/>
          </w:tcPr>
          <w:p w14:paraId="30966F5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759" w:type="pct"/>
            <w:shd w:val="clear" w:color="auto" w:fill="auto"/>
            <w:noWrap w:val="0"/>
            <w:vAlign w:val="center"/>
          </w:tcPr>
          <w:p w14:paraId="6D8A4CB7">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检测工作重点、难点的理解分析和应对措施(</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11</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.0分)</w:t>
            </w:r>
          </w:p>
        </w:tc>
        <w:tc>
          <w:tcPr>
            <w:tcW w:w="3606" w:type="pct"/>
            <w:shd w:val="clear" w:color="auto" w:fill="auto"/>
            <w:noWrap w:val="0"/>
            <w:vAlign w:val="center"/>
          </w:tcPr>
          <w:p w14:paraId="49BDEBA0">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根据投标人提供的检测工作重点、难点的理解分析和应对措施进行评审：</w:t>
            </w:r>
          </w:p>
          <w:p w14:paraId="13186CB7">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对检测工作的特点理解透彻，对项目的重点、难点理解分析透彻，应对措施得当，优于或完全满足采购需求的，得</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11</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分；</w:t>
            </w:r>
          </w:p>
          <w:p w14:paraId="2D864172">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对检测工作的特点理解较透彻，对项目的重点、难点理解分析较透彻，应对措施较得当，基本满足采购需求的，得</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分；</w:t>
            </w:r>
          </w:p>
          <w:p w14:paraId="77AAD4E2">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对检测工作的特点理解基本正确，对检测工作重点、难点分析基本全面，应对措施基本可行，部分满足采购需求的，得</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分；</w:t>
            </w:r>
          </w:p>
          <w:p w14:paraId="53CEF86E">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对检测工作的特点理解不透彻，对检测工作重点、难点分析不到位，应对措施差，不能满足采购需求的，得1分；</w:t>
            </w:r>
          </w:p>
          <w:p w14:paraId="7B87569C">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不提供不得分。</w:t>
            </w:r>
          </w:p>
        </w:tc>
      </w:tr>
      <w:tr w14:paraId="2D505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34" w:type="pct"/>
            <w:vMerge w:val="continue"/>
            <w:noWrap w:val="0"/>
            <w:vAlign w:val="center"/>
          </w:tcPr>
          <w:p w14:paraId="38C454D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759" w:type="pct"/>
            <w:shd w:val="clear" w:color="auto" w:fill="auto"/>
            <w:noWrap w:val="0"/>
            <w:vAlign w:val="center"/>
          </w:tcPr>
          <w:p w14:paraId="15A5E9A4">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检测方案(12.0分)</w:t>
            </w:r>
          </w:p>
        </w:tc>
        <w:tc>
          <w:tcPr>
            <w:tcW w:w="3606" w:type="pct"/>
            <w:shd w:val="clear" w:color="auto" w:fill="auto"/>
            <w:noWrap w:val="0"/>
            <w:vAlign w:val="center"/>
          </w:tcPr>
          <w:p w14:paraId="747F2520">
            <w:pPr>
              <w:shd w:val="clear" w:color="auto" w:fill="auto"/>
              <w:spacing w:line="276" w:lineRule="auto"/>
              <w:ind w:hanging="2" w:firstLineChars="0"/>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 xml:space="preserve">根据投标人提供的检测方案进行评审： </w:t>
            </w:r>
          </w:p>
          <w:p w14:paraId="7B06CC98">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检测方案具体可行、详细明确，运行成本构成合理，优于或完全满足采购需求的，得12分；</w:t>
            </w:r>
          </w:p>
          <w:p w14:paraId="2B561626">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检测方案较为可行明确，运行成本构成较合理，基本满足采购需求的，得8分；</w:t>
            </w:r>
          </w:p>
          <w:p w14:paraId="503A1C7E">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检测方案一般，运行成本构成基本合理，部分满足采购需求的，得</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分；</w:t>
            </w:r>
          </w:p>
          <w:p w14:paraId="6CD3E894">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检测方案差，运行成本构成不合理，不能满足采购需求的，得</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分；</w:t>
            </w:r>
          </w:p>
          <w:p w14:paraId="5CB6DD52">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不提供不得分。</w:t>
            </w:r>
          </w:p>
        </w:tc>
      </w:tr>
      <w:tr w14:paraId="37319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34" w:type="pct"/>
            <w:vMerge w:val="continue"/>
            <w:noWrap w:val="0"/>
            <w:vAlign w:val="center"/>
          </w:tcPr>
          <w:p w14:paraId="11073C5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759" w:type="pct"/>
            <w:shd w:val="clear" w:color="auto" w:fill="auto"/>
            <w:noWrap w:val="0"/>
            <w:vAlign w:val="center"/>
          </w:tcPr>
          <w:p w14:paraId="10241654">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售后服务措施与保障（12.0分）</w:t>
            </w:r>
          </w:p>
        </w:tc>
        <w:tc>
          <w:tcPr>
            <w:tcW w:w="3606" w:type="pct"/>
            <w:shd w:val="clear" w:color="auto" w:fill="auto"/>
            <w:noWrap w:val="0"/>
            <w:vAlign w:val="center"/>
          </w:tcPr>
          <w:p w14:paraId="74957BE3">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根据投标人的售后服务方案、售后服务机构的便利性、售后服务保障进行综合评分：</w:t>
            </w:r>
          </w:p>
          <w:p w14:paraId="7AE1778D">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服务资源配备充足，保证按时按质按量完成委托的检测任务，提供优质服务，质量控制措施完善、全面，有违约责任、经济赔偿等承诺情况的，优于或完全满足采购需求的，得12分；</w:t>
            </w:r>
          </w:p>
          <w:p w14:paraId="2467BE36">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服务资源配备较充足，能完成委托的检测任务，质量控制措施较全面的，基本满足采购需求的，得8分；</w:t>
            </w:r>
          </w:p>
          <w:p w14:paraId="01797A07">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服务资源配备较充足，基本能完成委托的检测任务，质量控制措施基本完善的，部分满足采购需求的，得</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分；</w:t>
            </w:r>
          </w:p>
          <w:p w14:paraId="15FD0AEB">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服务资源配备不充足，不能完成委托的检测任务，质量控制措施不完善的，不能满足采购需求的，得</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分；</w:t>
            </w:r>
          </w:p>
          <w:p w14:paraId="4B21DC53">
            <w:pPr>
              <w:numPr>
                <w:ilvl w:val="0"/>
                <w:numId w:val="0"/>
              </w:num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不提供不得分。</w:t>
            </w:r>
          </w:p>
        </w:tc>
      </w:tr>
      <w:tr w14:paraId="6A3C5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34" w:type="pct"/>
            <w:vMerge w:val="continue"/>
            <w:noWrap w:val="0"/>
            <w:vAlign w:val="center"/>
          </w:tcPr>
          <w:p w14:paraId="3463545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759" w:type="pct"/>
            <w:shd w:val="clear" w:color="auto" w:fill="auto"/>
            <w:noWrap w:val="0"/>
            <w:vAlign w:val="center"/>
          </w:tcPr>
          <w:p w14:paraId="3E8B625E">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服务能力(4.0分)</w:t>
            </w:r>
          </w:p>
        </w:tc>
        <w:tc>
          <w:tcPr>
            <w:tcW w:w="3606" w:type="pct"/>
            <w:shd w:val="clear" w:color="auto" w:fill="auto"/>
            <w:noWrap w:val="0"/>
            <w:vAlign w:val="center"/>
          </w:tcPr>
          <w:p w14:paraId="5DD93BBB">
            <w:pPr>
              <w:numPr>
                <w:ilvl w:val="0"/>
                <w:numId w:val="0"/>
              </w:numPr>
              <w:shd w:val="clear" w:color="auto" w:fill="auto"/>
              <w:spacing w:line="276"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根据投标人承诺到达项目实施地点应急反应时间进行评审:</w:t>
            </w:r>
          </w:p>
          <w:p w14:paraId="66F557D1">
            <w:pPr>
              <w:numPr>
                <w:ilvl w:val="0"/>
                <w:numId w:val="0"/>
              </w:numPr>
              <w:shd w:val="clear" w:color="auto" w:fill="auto"/>
              <w:spacing w:line="276"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承诺4小时(含)以内到达项目实施地点的，得4分；</w:t>
            </w:r>
          </w:p>
          <w:p w14:paraId="69DEEF61">
            <w:pPr>
              <w:numPr>
                <w:ilvl w:val="0"/>
                <w:numId w:val="0"/>
              </w:numPr>
              <w:shd w:val="clear" w:color="auto" w:fill="auto"/>
              <w:spacing w:line="276"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承诺4小时(不含)~8小时(含)到达项目实施地点的，得2分；</w:t>
            </w:r>
          </w:p>
          <w:p w14:paraId="3EB035C1">
            <w:pPr>
              <w:numPr>
                <w:ilvl w:val="0"/>
                <w:numId w:val="0"/>
              </w:numPr>
              <w:shd w:val="clear" w:color="auto" w:fill="auto"/>
              <w:spacing w:line="276"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超过8小时(不含)到达项目实施地点的，得1分；</w:t>
            </w:r>
          </w:p>
          <w:p w14:paraId="45883580">
            <w:pPr>
              <w:numPr>
                <w:ilvl w:val="0"/>
                <w:numId w:val="0"/>
              </w:numPr>
              <w:shd w:val="clear" w:color="auto" w:fill="auto"/>
              <w:spacing w:line="276"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没有提供承诺不得分。</w:t>
            </w:r>
          </w:p>
          <w:p w14:paraId="705A023B">
            <w:pPr>
              <w:numPr>
                <w:ilvl w:val="0"/>
                <w:numId w:val="0"/>
              </w:numPr>
              <w:shd w:val="clear" w:color="auto" w:fill="auto"/>
              <w:spacing w:line="276" w:lineRule="auto"/>
              <w:ind w:left="0" w:leftChars="0" w:firstLine="0"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注:提供承诺函，格式自拟。</w:t>
            </w:r>
          </w:p>
        </w:tc>
      </w:tr>
      <w:tr w14:paraId="19F99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7" w:hRule="atLeast"/>
          <w:jc w:val="center"/>
        </w:trPr>
        <w:tc>
          <w:tcPr>
            <w:tcW w:w="634" w:type="pct"/>
            <w:vMerge w:val="restart"/>
            <w:noWrap w:val="0"/>
            <w:vAlign w:val="center"/>
          </w:tcPr>
          <w:p w14:paraId="4AF5BA8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商务部分</w:t>
            </w:r>
          </w:p>
        </w:tc>
        <w:tc>
          <w:tcPr>
            <w:tcW w:w="759" w:type="pct"/>
            <w:noWrap w:val="0"/>
            <w:vAlign w:val="center"/>
          </w:tcPr>
          <w:p w14:paraId="13112B92">
            <w:pPr>
              <w:pStyle w:val="18"/>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同类业绩（10.0分）</w:t>
            </w:r>
          </w:p>
        </w:tc>
        <w:tc>
          <w:tcPr>
            <w:tcW w:w="3606" w:type="pct"/>
            <w:noWrap w:val="0"/>
            <w:vAlign w:val="center"/>
          </w:tcPr>
          <w:p w14:paraId="7CBEC533">
            <w:pPr>
              <w:pStyle w:val="18"/>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 xml:space="preserve">投标人自2022年1月1日至今承接的同类（指与采购本项目的同类）项目，每提供一个得2分，最高得10分。 </w:t>
            </w:r>
          </w:p>
          <w:p w14:paraId="603979D8">
            <w:pPr>
              <w:pStyle w:val="18"/>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注：需提供</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合同关键页</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的证明材料复印件。业绩时间合同签订时间为准。</w:t>
            </w:r>
          </w:p>
        </w:tc>
      </w:tr>
      <w:tr w14:paraId="0BECC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60" w:hRule="atLeast"/>
          <w:jc w:val="center"/>
        </w:trPr>
        <w:tc>
          <w:tcPr>
            <w:tcW w:w="634" w:type="pct"/>
            <w:vMerge w:val="continue"/>
            <w:noWrap w:val="0"/>
            <w:vAlign w:val="center"/>
          </w:tcPr>
          <w:p w14:paraId="36A120B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759" w:type="pct"/>
            <w:shd w:val="clear" w:color="auto" w:fill="auto"/>
            <w:noWrap w:val="0"/>
            <w:vAlign w:val="center"/>
          </w:tcPr>
          <w:p w14:paraId="600F72E5">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项目负责人专业水平（</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.0分）</w:t>
            </w:r>
          </w:p>
        </w:tc>
        <w:tc>
          <w:tcPr>
            <w:tcW w:w="3606" w:type="pct"/>
            <w:shd w:val="clear" w:color="auto" w:fill="auto"/>
            <w:noWrap w:val="0"/>
            <w:vAlign w:val="center"/>
          </w:tcPr>
          <w:p w14:paraId="397EF4BF">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拟投入项目负责人(1人)</w:t>
            </w:r>
          </w:p>
          <w:p w14:paraId="091FBBF3">
            <w:pPr>
              <w:shd w:val="clear" w:color="auto" w:fill="auto"/>
              <w:spacing w:line="276" w:lineRule="auto"/>
              <w:ind w:hanging="2" w:firstLineChars="0"/>
              <w:rPr>
                <w:rFonts w:hint="eastAsia" w:ascii="宋体" w:hAnsi="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1.具有注册岩土工程师执业资格证书的，得5分</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w:t>
            </w:r>
          </w:p>
          <w:p w14:paraId="135C9A42">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2.具有二级(或以上)注册结构师执业资格证书的，得5分。</w:t>
            </w:r>
          </w:p>
          <w:p w14:paraId="5C956FF4">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注：提供人员的证书</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、有效身份证</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复印件及投标截止日前6个月任意</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个月的社保证明材料，不提供不得分。(一人一岗，不得兼任)</w:t>
            </w:r>
          </w:p>
        </w:tc>
      </w:tr>
      <w:tr w14:paraId="3B66A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8" w:hRule="atLeast"/>
          <w:jc w:val="center"/>
        </w:trPr>
        <w:tc>
          <w:tcPr>
            <w:tcW w:w="634" w:type="pct"/>
            <w:vMerge w:val="continue"/>
            <w:noWrap w:val="0"/>
            <w:vAlign w:val="center"/>
          </w:tcPr>
          <w:p w14:paraId="2E0AE3E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759" w:type="pct"/>
            <w:shd w:val="clear" w:color="auto" w:fill="auto"/>
            <w:noWrap w:val="0"/>
            <w:vAlign w:val="center"/>
          </w:tcPr>
          <w:p w14:paraId="3D24E1DD">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技术负责人专业水平（10.0分）</w:t>
            </w:r>
          </w:p>
        </w:tc>
        <w:tc>
          <w:tcPr>
            <w:tcW w:w="3606" w:type="pct"/>
            <w:shd w:val="clear" w:color="auto" w:fill="auto"/>
            <w:noWrap w:val="0"/>
            <w:vAlign w:val="center"/>
          </w:tcPr>
          <w:p w14:paraId="13364B5F">
            <w:pPr>
              <w:shd w:val="clear" w:color="auto" w:fill="auto"/>
              <w:spacing w:line="276" w:lineRule="auto"/>
              <w:ind w:hanging="2" w:firstLineChars="0"/>
              <w:rPr>
                <w:rFonts w:hint="eastAsia" w:ascii="宋体" w:hAnsi="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拟投入项目技术负责人(1人)</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w:t>
            </w:r>
          </w:p>
          <w:p w14:paraId="6B0C09CF">
            <w:pPr>
              <w:shd w:val="clear" w:color="auto" w:fill="auto"/>
              <w:spacing w:line="276" w:lineRule="auto"/>
              <w:ind w:hanging="2" w:firstLineChars="0"/>
              <w:rPr>
                <w:rFonts w:hint="eastAsia" w:ascii="宋体" w:hAnsi="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1.具有建筑工程检测高级或以上技术职称的，得7分</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w:t>
            </w:r>
          </w:p>
          <w:p w14:paraId="3F273AE3">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2.具有检测员上岗证的</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，1个专业得1分，最多得3分。</w:t>
            </w:r>
          </w:p>
          <w:p w14:paraId="2AF12702">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注：提供人员的证书</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、有效身份证</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复印件及投标截止日前6个月任意</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个月的社保证明材料，不提供不得分。(一人一岗，不得兼任)</w:t>
            </w:r>
          </w:p>
        </w:tc>
      </w:tr>
      <w:tr w14:paraId="05477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76" w:hRule="atLeast"/>
          <w:jc w:val="center"/>
        </w:trPr>
        <w:tc>
          <w:tcPr>
            <w:tcW w:w="634" w:type="pct"/>
            <w:vMerge w:val="continue"/>
            <w:noWrap w:val="0"/>
            <w:vAlign w:val="center"/>
          </w:tcPr>
          <w:p w14:paraId="4AA856E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759" w:type="pct"/>
            <w:shd w:val="clear" w:color="auto" w:fill="auto"/>
            <w:noWrap w:val="0"/>
            <w:vAlign w:val="center"/>
          </w:tcPr>
          <w:p w14:paraId="0551AB11">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项目质量负责人（5.0分）</w:t>
            </w:r>
          </w:p>
          <w:p w14:paraId="4E897871">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3606" w:type="pct"/>
            <w:shd w:val="clear" w:color="auto" w:fill="auto"/>
            <w:noWrap w:val="0"/>
            <w:vAlign w:val="center"/>
          </w:tcPr>
          <w:p w14:paraId="7668B44B">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拟投入项目质量负责人(1人):</w:t>
            </w:r>
          </w:p>
          <w:p w14:paraId="03285243">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1.具有建筑工程检测专业</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中级或以上技术职称的，得3分；</w:t>
            </w:r>
          </w:p>
          <w:p w14:paraId="3F7A3EF6">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2.具有检测员上岗证的</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，得2分。</w:t>
            </w:r>
          </w:p>
          <w:p w14:paraId="1C33D186">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注：提供人员的证书</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、有效身份证</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复印件及投标截止日前6个月任意</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个月的社保证明材料，不提供不得分。(一人一岗，不得兼任)</w:t>
            </w:r>
          </w:p>
        </w:tc>
      </w:tr>
      <w:tr w14:paraId="18235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48" w:hRule="atLeast"/>
          <w:jc w:val="center"/>
        </w:trPr>
        <w:tc>
          <w:tcPr>
            <w:tcW w:w="634" w:type="pct"/>
            <w:vMerge w:val="continue"/>
            <w:noWrap w:val="0"/>
            <w:vAlign w:val="center"/>
          </w:tcPr>
          <w:p w14:paraId="2E5DA87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759" w:type="pct"/>
            <w:shd w:val="clear" w:color="auto" w:fill="auto"/>
            <w:noWrap w:val="0"/>
            <w:vAlign w:val="center"/>
          </w:tcPr>
          <w:p w14:paraId="735E39A9">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其他技术人员（</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.0分）</w:t>
            </w:r>
          </w:p>
          <w:p w14:paraId="180BB586">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3606" w:type="pct"/>
            <w:shd w:val="clear" w:color="auto" w:fill="auto"/>
            <w:noWrap w:val="0"/>
            <w:vAlign w:val="center"/>
          </w:tcPr>
          <w:p w14:paraId="547F21F8">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拟投入其他技术人员(除项目负责人、项目技术负责人、项目质量负责人外)：具有检测员上岗证的，</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每人得1分，最高得5分。</w:t>
            </w:r>
          </w:p>
          <w:p w14:paraId="4F2A8B53">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注：提供人员的证书</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、有效身份证</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复印件及投标截止日前6个月任意</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个月的社保证明材料，不提供不得分。(一人一岗，不得兼任)</w:t>
            </w:r>
          </w:p>
        </w:tc>
      </w:tr>
      <w:tr w14:paraId="3E70B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88" w:hRule="atLeast"/>
          <w:jc w:val="center"/>
        </w:trPr>
        <w:tc>
          <w:tcPr>
            <w:tcW w:w="634" w:type="pct"/>
            <w:noWrap w:val="0"/>
            <w:vAlign w:val="center"/>
          </w:tcPr>
          <w:p w14:paraId="1941489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投标报价</w:t>
            </w:r>
          </w:p>
        </w:tc>
        <w:tc>
          <w:tcPr>
            <w:tcW w:w="759" w:type="pct"/>
            <w:noWrap w:val="0"/>
            <w:vAlign w:val="center"/>
          </w:tcPr>
          <w:p w14:paraId="2CBE03BF">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投标报价得分（10.0分）</w:t>
            </w:r>
          </w:p>
        </w:tc>
        <w:tc>
          <w:tcPr>
            <w:tcW w:w="3606" w:type="pct"/>
            <w:noWrap w:val="0"/>
            <w:vAlign w:val="center"/>
          </w:tcPr>
          <w:p w14:paraId="79787FD5">
            <w:pPr>
              <w:shd w:val="clear" w:color="auto" w:fill="auto"/>
              <w:spacing w:line="276" w:lineRule="auto"/>
              <w:ind w:hanging="2" w:firstLineChars="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投标报价得分＝（评标基准价/投标报价）×价格分值（注：满足招标文件要求且投标价格最高的投标报价为评标基准价。）最高报价不是中标的唯一依据。【注：满足招标文件要求且“XXXX”报价最高（相当于投标价格最低）的为评标基准价。如：投标报价XXXX 60%为报价最高，评标基准价为 1-60%=40%，得满分 ；有投标报价为 50%，投标报价为 1-50%=50%；以此类推。】因落实政府采购政策进行价格调整的，以调整后的价格计算评标基准价和投标报价。</w:t>
            </w:r>
          </w:p>
        </w:tc>
      </w:tr>
    </w:tbl>
    <w:p w14:paraId="08AE59C7">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718D7E">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0DC227">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4.汇总、排序</w:t>
      </w:r>
    </w:p>
    <w:p w14:paraId="2FDB751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p>
    <w:p w14:paraId="6B7E258A">
      <w:pPr>
        <w:pStyle w:val="1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230AAD99">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5.中标价的确定</w:t>
      </w:r>
    </w:p>
    <w:p w14:paraId="303560C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除了按第四章第一点第7条修正并经投标人确认的投标报价作为中标价外，中标价以开标时公开唱标价为准。</w:t>
      </w:r>
    </w:p>
    <w:p w14:paraId="33CB9162">
      <w:pPr>
        <w:pStyle w:val="18"/>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6.其他无效投标的情形：</w:t>
      </w:r>
    </w:p>
    <w:p w14:paraId="0129359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(1)评标期间，投标人没有按评标委员会的要求提交法定代表人或其委托代理人签字的澄清、说明、补正或改变了投标文件的实质性内容的。</w:t>
      </w:r>
    </w:p>
    <w:p w14:paraId="7F228B4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(2)投标文件提供虚假材料的。</w:t>
      </w:r>
    </w:p>
    <w:p w14:paraId="5312F71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(3)投标人以他人名义投标、串通投标、以行贿手段谋取中标或者以其他弄虚作假方式投标的。</w:t>
      </w:r>
    </w:p>
    <w:p w14:paraId="4FC4866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(4)投标人对采购人、采购代理机构、评标委员会及其工作人员施加影响，有碍招标公平、公正的。</w:t>
      </w:r>
    </w:p>
    <w:p w14:paraId="0A59E41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(5)投标文件含有采购人不能接受的附加条件的。</w:t>
      </w:r>
    </w:p>
    <w:p w14:paraId="791A261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(6)法律、法规和招标文件规定的其他无效情形。</w:t>
      </w:r>
    </w:p>
    <w:p w14:paraId="411FE3A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95290D4">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253E6F">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3D33EDC4">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第五章 合同</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范</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w:t>
      </w:r>
    </w:p>
    <w:p w14:paraId="6BD560B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749EEA41">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5613D052">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28A54D7A">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469817">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A101E0">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5174EA23">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合</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　同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书</w:t>
      </w:r>
    </w:p>
    <w:p w14:paraId="2A3D59BD">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A1F5403">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25C494B">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F5B9AC9">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FB63EA">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8670C69">
      <w:pPr>
        <w:pStyle w:val="18"/>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A43CBF3">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6F581D76">
      <w:pPr>
        <w:pStyle w:val="18"/>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3AF4BD6">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19138C4A">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FC69837">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1DC4044">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C4EE2B9">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3CCCCA">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8ED2BC5">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775015AF">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3C07EE81">
      <w:pPr>
        <w:pStyle w:val="18"/>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17A892A0">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3CA2B603">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629425B">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传真 ：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30DD0D36">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乙方：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B6EBF82">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B888C82">
      <w:pPr>
        <w:pStyle w:val="18"/>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5E9398C">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项目 </w:t>
      </w:r>
      <w:r>
        <w:rPr>
          <w:rFonts w:hint="eastAsia" w:ascii="宋体" w:hAnsi="宋体" w:eastAsia="宋体" w:cs="宋体"/>
          <w:color w:val="000000" w:themeColor="text1"/>
          <w:sz w:val="21"/>
          <w:szCs w:val="21"/>
          <w:highlight w:val="none"/>
          <w14:textFill>
            <w14:solidFill>
              <w14:schemeClr w14:val="tx1"/>
            </w14:solidFill>
          </w14:textFill>
        </w:rPr>
        <w:t>的采购结果，按照《中华人民共和国政府采购法》，《中华人民共和国民法典(合同编)》的规定，经双方协商，本着平等互利和诚实信用的原则，一致同意遵守本合同如下。</w:t>
      </w:r>
    </w:p>
    <w:p w14:paraId="1F560BBF">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一、合同金额</w:t>
      </w:r>
    </w:p>
    <w:p w14:paraId="3F418C30">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合同金额为（大写）：人民币_____________元（￥_________元）。</w:t>
      </w:r>
    </w:p>
    <w:p w14:paraId="10A88682">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二、服务范围</w:t>
      </w:r>
    </w:p>
    <w:p w14:paraId="0EE95EBB">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甲方聘请乙方提供以下服务：</w:t>
      </w:r>
    </w:p>
    <w:p w14:paraId="77AB439D">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w:t>
      </w:r>
    </w:p>
    <w:p w14:paraId="5192CAD2">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w:t>
      </w:r>
      <w:r>
        <w:rPr>
          <w:rFonts w:hint="eastAsia" w:ascii="宋体" w:hAnsi="宋体" w:eastAsia="宋体" w:cs="宋体"/>
          <w:color w:val="000000" w:themeColor="text1"/>
          <w:sz w:val="21"/>
          <w:szCs w:val="21"/>
          <w:highlight w:val="none"/>
          <w:u w:val="single"/>
          <w14:textFill>
            <w14:solidFill>
              <w14:schemeClr w14:val="tx1"/>
            </w14:solidFill>
          </w14:textFill>
        </w:rPr>
        <w:t>　　　　　　　　　　　</w:t>
      </w:r>
    </w:p>
    <w:p w14:paraId="68A30872">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6FB72EB">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三、甲方乙方的权利和义务</w:t>
      </w:r>
    </w:p>
    <w:p w14:paraId="42E56F6D">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1.甲方的权利和义务</w:t>
      </w:r>
    </w:p>
    <w:p w14:paraId="25AD45BA">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2.乙方的权利和义务</w:t>
      </w:r>
    </w:p>
    <w:p w14:paraId="5D4D9B45">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四、服务期间（项目完成期限）</w:t>
      </w:r>
    </w:p>
    <w:p w14:paraId="51FFB86C">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1.委托服务期间自______年______月至______年______月止。</w:t>
      </w:r>
    </w:p>
    <w:p w14:paraId="3BA246DC">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五、付款方式</w:t>
      </w:r>
    </w:p>
    <w:p w14:paraId="38A7A639">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由甲方按下列程序在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内付款：</w:t>
      </w:r>
    </w:p>
    <w:p w14:paraId="0783234D">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1.在合同实施及服务人员到达服务地后__天内，甲方应将第一次付　　款总服务费的__(-%)付给乙方。</w:t>
      </w:r>
    </w:p>
    <w:p w14:paraId="4D3145B4">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2.第二次付款额应为总服务费的__(-%)，甲方应在乙方已经准备好，并递交了服务报告及其它相关文件，而这些报告和文件符合合同附件上的要求并被甲方验收后付给乙方。</w:t>
      </w:r>
    </w:p>
    <w:p w14:paraId="532E2A59">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3.最后一次付款额应为总服务费的__(-%)，甲方应在乙方递交了服务总结报告和说明并完全履行合同完毕_________日内付给乙方。</w:t>
      </w:r>
    </w:p>
    <w:p w14:paraId="03E910F5">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6524399A">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六、知识产权归属</w:t>
      </w:r>
    </w:p>
    <w:p w14:paraId="3BDAD5DA">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七、保密</w:t>
      </w:r>
    </w:p>
    <w:p w14:paraId="1C2055A5">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八、违约责任与赔偿损失</w:t>
      </w:r>
    </w:p>
    <w:p w14:paraId="4A2158B0">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1.乙方提供的服务不符合本合同规定的，甲方有权拒收，并且乙方须向甲方方支付本合同总价5%的违约金。</w:t>
      </w:r>
    </w:p>
    <w:p w14:paraId="48DFFD57">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2.乙方未能按本合同规定的交货时间提供服务，从逾期之日起每日按本合同总价3‰的数额向甲方支付违约金；逾期半个月以上的，甲方有权终止合同，由此造成的甲方经济损失由乙方承担。</w:t>
      </w:r>
    </w:p>
    <w:p w14:paraId="640F8A51">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3.甲方无正当理由拒收接受服务，到期拒付服务款项的，甲方向乙方偿付本合同总的5%的违约金。甲方人逾期付款，则每日按本合同总价的3‰向乙方偿付违约金。</w:t>
      </w:r>
    </w:p>
    <w:p w14:paraId="71AE4129">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4.对于因甲方原因导致变更、中止或者终止政府采购合同的，甲方应当依照以下合同约定对供应商受到的损失予以赔偿或者补偿：</w:t>
      </w:r>
    </w:p>
    <w:p w14:paraId="100A1015">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A1A9515">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5.其它违约责任按《中华人民共和国民法典(合同编)》处理。</w:t>
      </w:r>
    </w:p>
    <w:p w14:paraId="0316E887">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九、争议的解决</w:t>
      </w:r>
    </w:p>
    <w:p w14:paraId="0EAC59E7">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firstLine="4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合同执行过程中发生的任何争议，如双方不能通过友好协商解决，按相关法律法规处理。     </w:t>
      </w:r>
    </w:p>
    <w:p w14:paraId="4270246E">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十、不可抗力</w:t>
      </w:r>
    </w:p>
    <w:p w14:paraId="5701AD4F">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482468F">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十一、税费</w:t>
      </w:r>
    </w:p>
    <w:p w14:paraId="4FDB0107">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在中国境内、外发生的与本合同执行有关的一切税费均由乙方负担。</w:t>
      </w:r>
    </w:p>
    <w:p w14:paraId="30006FF3">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十二、其它</w:t>
      </w:r>
    </w:p>
    <w:p w14:paraId="45F8A22C">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1.本合同所有附件、招标文件、投标文件、中标通知书均为合同的有效组成部分，与本合同具有同等法律效力。</w:t>
      </w:r>
    </w:p>
    <w:p w14:paraId="32DFC32F">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2.在执行本合同的过程中，所有经双方签署确认的文件（包括会议纪要、补充协议、往来信函）即成为本合同的有效组成部分。</w:t>
      </w:r>
    </w:p>
    <w:p w14:paraId="331FFDA0">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3.如一方地址、电话、传真号码有变更，应在变更当日内书面通知对方，否则，应承担相应责任。</w:t>
      </w:r>
    </w:p>
    <w:p w14:paraId="780EC501">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4.除甲方事先书面同意外，乙方不得部分或全部转让其应履行的合同项下的义务。</w:t>
      </w:r>
    </w:p>
    <w:p w14:paraId="2D93B4D1">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十三、合同生效</w:t>
      </w:r>
    </w:p>
    <w:p w14:paraId="6E3ABD7E">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1.本合同在甲乙双方法人代表或其授权代表签字盖章后生效。</w:t>
      </w:r>
    </w:p>
    <w:p w14:paraId="1AF809D8">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2.合同一式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份。</w:t>
      </w:r>
    </w:p>
    <w:p w14:paraId="6945DE6A">
      <w:pPr>
        <w:pStyle w:val="18"/>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ED98E4A">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甲方（盖章）：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乙方（盖章）：</w:t>
      </w:r>
    </w:p>
    <w:p w14:paraId="7F0170E4">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代表：</w:t>
      </w:r>
    </w:p>
    <w:p w14:paraId="7C6E6F4D">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签订地点：</w:t>
      </w:r>
    </w:p>
    <w:p w14:paraId="66D3D9D7">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签订日期：　　　年　　月　　日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签订日期：　　　年　　月　　日</w:t>
      </w:r>
    </w:p>
    <w:p w14:paraId="3CE83124">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0AFAB7E7">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1D50617C">
      <w:pPr>
        <w:pStyle w:val="18"/>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0ECB0D15">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90A306">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A324F9">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D33E71">
      <w:pPr>
        <w:pStyle w:val="18"/>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3CB9EB">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5F4338E">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08C43A85">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第六章 投标文件格式与要求</w:t>
      </w:r>
    </w:p>
    <w:p w14:paraId="5FB0DF4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投标人应提交证明其有资格参加投标和中标后有能力履行合同的相关文件，并作为其投标文件的一部分，所有文件必须真实可靠、不得伪造，否则将按相关规定予以处罚。</w:t>
      </w:r>
    </w:p>
    <w:p w14:paraId="110E3EE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1.法人或者其他组织的营业执照等证明文件，自然人的身份证明：</w:t>
      </w:r>
    </w:p>
    <w:p w14:paraId="0B111C6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5D662C5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19CF3E2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2.财务状况报告，依法缴纳税收和社会保障资金的相关材料（详见资格性审查表要求）</w:t>
      </w:r>
    </w:p>
    <w:p w14:paraId="4F95EBA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3.具有履行合同所必需的设备和专业技术能力的声明。</w:t>
      </w:r>
    </w:p>
    <w:p w14:paraId="0FD8F03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4.投标人参加政府采购前三年内在经营活动中没有重大违法记录书面声明函。</w:t>
      </w:r>
    </w:p>
    <w:p w14:paraId="392D9A6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5.信用记录查询</w:t>
      </w:r>
    </w:p>
    <w:p w14:paraId="03E2F37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（1）查询渠道：通过“信用中国”网站(www.creditchina.gov.cn)和“中国政府采购网”（www.ccgp.gov.cn）进行查询；</w:t>
      </w:r>
    </w:p>
    <w:p w14:paraId="665B73B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（2）查询截止时点：提交投标文件截止日当天；</w:t>
      </w:r>
    </w:p>
    <w:p w14:paraId="77A3BB4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（3）查询记录：对列入失信被执行人、重大税收违法案件当事人名单、政府采购严重违法失信行为记录名单、信用报告进行查询；</w:t>
      </w:r>
    </w:p>
    <w:p w14:paraId="5B1EDD5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34531F6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 按照招标文件要求，投标人应当提交的资格、资信证明文件。</w:t>
      </w:r>
    </w:p>
    <w:p w14:paraId="674B355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078279CE">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0252E62F">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1058C013">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146B9F97">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78255BE2">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（项目名称）</w:t>
      </w:r>
    </w:p>
    <w:p w14:paraId="0DCB3D25">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6A71C1FE">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401F71E7">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（正本/副本）</w:t>
      </w: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br w:type="textWrapping"/>
      </w:r>
      <w:r>
        <w:rPr>
          <w:rFonts w:hint="eastAsia" w:asciiTheme="minorEastAsia" w:hAnsiTheme="minorEastAsia" w:eastAsiaTheme="minorEastAsia" w:cstheme="minorEastAsia"/>
          <w:b/>
          <w:bCs w:val="0"/>
          <w:color w:val="000000" w:themeColor="text1"/>
          <w:sz w:val="32"/>
          <w:szCs w:val="32"/>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26EB1198">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采购项目编号：</w:t>
      </w: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YXCG-20260514</w:t>
      </w:r>
    </w:p>
    <w:p w14:paraId="77CB80F1">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所投采购包：第 包</w:t>
      </w:r>
    </w:p>
    <w:p w14:paraId="2D188EFA">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（投标人名称）</w:t>
      </w:r>
    </w:p>
    <w:p w14:paraId="25B02C43">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年</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月</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日</w:t>
      </w:r>
    </w:p>
    <w:p w14:paraId="5C0216B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E5C341D">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82E0E64">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1C80848C">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投标文件目录</w:t>
      </w:r>
    </w:p>
    <w:p w14:paraId="52A33A8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一、投标函</w:t>
      </w:r>
    </w:p>
    <w:p w14:paraId="31CB883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二、开标一览表</w:t>
      </w:r>
    </w:p>
    <w:p w14:paraId="79382A1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三、分项报价表</w:t>
      </w:r>
    </w:p>
    <w:p w14:paraId="09A4B38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四、政策适用性说明</w:t>
      </w:r>
    </w:p>
    <w:p w14:paraId="01FB3AA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五、关于符合本国产品标准的声明函等有关证明文件</w:t>
      </w:r>
    </w:p>
    <w:p w14:paraId="49241C2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六、法定代表人证明书</w:t>
      </w:r>
    </w:p>
    <w:p w14:paraId="4151A77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七、法定代表人授权书</w:t>
      </w:r>
    </w:p>
    <w:p w14:paraId="60FCD15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八、投标保证金</w:t>
      </w:r>
    </w:p>
    <w:p w14:paraId="229D5E9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九、提供具有独立承担民事责任的能力的证明材料</w:t>
      </w:r>
    </w:p>
    <w:p w14:paraId="3897281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十、资格性审查要求的其他资质证明文件</w:t>
      </w:r>
    </w:p>
    <w:p w14:paraId="21E1DE5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十一、承诺函</w:t>
      </w:r>
    </w:p>
    <w:p w14:paraId="564D125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十二、中小企业声明函</w:t>
      </w:r>
    </w:p>
    <w:p w14:paraId="48DA78B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十三、监狱企业</w:t>
      </w:r>
    </w:p>
    <w:p w14:paraId="3D7492B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十四、残疾人福利性单位声明函</w:t>
      </w:r>
    </w:p>
    <w:p w14:paraId="3EAC16F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十五、联合体共同投标协议书</w:t>
      </w:r>
    </w:p>
    <w:p w14:paraId="1F3055F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十六、投标人业绩情况表</w:t>
      </w:r>
    </w:p>
    <w:p w14:paraId="0B008F0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十七、技术和服务要求响应表</w:t>
      </w:r>
    </w:p>
    <w:p w14:paraId="26850DA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十八、商务条件响应表</w:t>
      </w:r>
    </w:p>
    <w:p w14:paraId="357C5D9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十九、履约进度计划表</w:t>
      </w:r>
    </w:p>
    <w:p w14:paraId="0F9FA7E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二十、各类证明材料</w:t>
      </w:r>
    </w:p>
    <w:p w14:paraId="215E993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二十一、采购代理服务费支付承诺书</w:t>
      </w:r>
    </w:p>
    <w:p w14:paraId="5FB561E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二十二、需要采购人提供的附加条件</w:t>
      </w:r>
    </w:p>
    <w:p w14:paraId="422A9CE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二十三、询问函、质疑函、投诉书格式</w:t>
      </w:r>
    </w:p>
    <w:p w14:paraId="6112AAF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二十四、项目实施方案、质量保证及售后服务承诺等</w:t>
      </w:r>
    </w:p>
    <w:p w14:paraId="3EBC1C2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46B58E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57F5ED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F8830F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4C3359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5C93F2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80B033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F76B15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ED1F72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74CC7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格式一：</w:t>
      </w:r>
    </w:p>
    <w:p w14:paraId="5983FA30">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投标函</w:t>
      </w:r>
    </w:p>
    <w:p w14:paraId="61A21E5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致：</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广东业信采购招标有限公司</w:t>
      </w:r>
    </w:p>
    <w:p w14:paraId="3042317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你方组织的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阳江阳春产业园区配套基础建设工程项目工程检验监测</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项目的招标[采购项目编号为：</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YXCG-20260514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]，我方愿参与投标。</w:t>
      </w:r>
    </w:p>
    <w:p w14:paraId="05F332D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作为投标人正式授权</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(授权代表全名,职务)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代表我方全权处理有关本投标的一切事宜。</w:t>
      </w:r>
    </w:p>
    <w:p w14:paraId="20ED6C0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我方确认收到贵方提供的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阳江阳春产业园区配套基础建设工程项目工程检验监测</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项目的招标文件的全部内容。</w:t>
      </w:r>
    </w:p>
    <w:p w14:paraId="0ACF447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我方已完全明白招标文件的所有条款要求，并申明如下：</w:t>
      </w:r>
    </w:p>
    <w:p w14:paraId="0EEA041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（一）按招标文件提供全部标的投标总价详见《开标一览表》。</w:t>
      </w:r>
    </w:p>
    <w:p w14:paraId="3A0E490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7090C11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（三）我方明白并同意，在规定的开标日之后，投标有效期之内撤销投标或中标后不按规定与采购人签订合同或不提交履约保证金, 则贵方将不予退还投标保证金。</w:t>
      </w:r>
    </w:p>
    <w:p w14:paraId="41F86FE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（四）我方愿意向贵方提供任何与本项报价有关的数据、情况和技术资料。若贵方需要，我方愿意提供我方作出的一切承诺的证明材料。</w:t>
      </w:r>
    </w:p>
    <w:p w14:paraId="521303F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（五）我方理解贵方不一定接受最低投标价或任何贵方可能收到的投标。</w:t>
      </w:r>
    </w:p>
    <w:p w14:paraId="6AB0842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（六）我方如果中标，将保证履行招标（采购）文件及其澄清、修改文件（如果有）以及投标（响应）文件中的全部责任和义务，按质、按量、按期完成《合同书》中的全部任务。</w:t>
      </w:r>
    </w:p>
    <w:p w14:paraId="21CC83F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（七）我方作为法律、财务和运作上独立于采购人、采购代理机构的投标人，在此保证所提交的所有文件和全部说明是真实的和正确的。</w:t>
      </w:r>
    </w:p>
    <w:p w14:paraId="7687A0B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（八）我方投标报价已包含应向知识产权所有权人支付的所有相关税费，并保证采购人在中国使用我方提供的标的时，如有第三方提出侵犯其知识产权主张的，责任由我方承担。</w:t>
      </w:r>
    </w:p>
    <w:p w14:paraId="7B9112C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（九）我方接受采购人委托向贵方支付代理服务费，项目总报价已包含代理服务费，如果被确定为中标人，承诺向贵方足额支付。（若采购人支付代理服务费，则此条不适用）</w:t>
      </w:r>
    </w:p>
    <w:p w14:paraId="4B5CECD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（十）我方与其他投标人不存在单位负责人为同一人或者存在直接控股、管理关系。</w:t>
      </w:r>
    </w:p>
    <w:p w14:paraId="2A5ACEC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（十一）投标人未存在《政府采购法实施条例》第十八条第二款规定的情形：</w:t>
      </w:r>
    </w:p>
    <w:p w14:paraId="034F3BB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（1）对于除整体设计、规范编制或者项目管理、监理、检测等服务以外的采购项目:即未为本项目提供整体设计、规范编制或者项目管理、监理、检测等服务；</w:t>
      </w:r>
    </w:p>
    <w:p w14:paraId="48F5CCD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（2）对于整体设计、规范编制或者项目管理、监理、检测等服务的项目:即未成为本项目除前期整体设计、规范编制或者项目管理、监理、检测等服务以外的其它采购活动中标商(或成交商)；</w:t>
      </w:r>
    </w:p>
    <w:p w14:paraId="0A7D756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（3）对于设计施工一体化的项目:即未为本项目提供规范编制或者项目管理、监理、检测等服务。</w:t>
      </w:r>
    </w:p>
    <w:p w14:paraId="73A1338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（十二）我方承诺遵守《中华人民共和国民法典》有关规定和《中华人民共和国妇女权益保障法》中关于“劳动和社会保障权益”的有关要求。</w:t>
      </w:r>
    </w:p>
    <w:p w14:paraId="3C35472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（十三）我方具备《中华人民共和国政府采购法》第二十二条规定的条件，声明如下：</w:t>
      </w:r>
    </w:p>
    <w:p w14:paraId="0DDA152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04D239C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（2）我方符合法律、行政法规规定的其他条件。</w:t>
      </w:r>
    </w:p>
    <w:p w14:paraId="5E3F4F5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75AA2E4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（十五）我方对在本函及投标文件中所作的所有承诺承担法律责任。</w:t>
      </w:r>
    </w:p>
    <w:p w14:paraId="603A1D0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（十六）以上内容如有虚假或与事实不符的，评标委员会可将我方做无效投标处理，我方愿意承担相应的法律责任。</w:t>
      </w:r>
    </w:p>
    <w:p w14:paraId="18E3F95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（十七）所有与本招标有关的函件请发往下列地址：</w:t>
      </w:r>
    </w:p>
    <w:p w14:paraId="78452EF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 址：__________________邮政编码：__________________</w:t>
      </w:r>
    </w:p>
    <w:p w14:paraId="7FEDFF9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 话：__________________</w:t>
      </w:r>
    </w:p>
    <w:p w14:paraId="03B3DBA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传 真：__________________电子邮箱：__________________</w:t>
      </w:r>
    </w:p>
    <w:p w14:paraId="279B810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代表姓名：__________________职 务：__________________</w:t>
      </w:r>
    </w:p>
    <w:p w14:paraId="0661AAE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投标人法定代表人（或法定代表人授权代表）签字或盖章：__________________</w:t>
      </w:r>
    </w:p>
    <w:p w14:paraId="2D1DA4D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22A1D8A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C75917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73698A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9640A5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D36EF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2EAD7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D61C18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4CB50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02F48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89032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39ACA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9B652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F1567E0">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41FD49D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w:t>
      </w:r>
    </w:p>
    <w:p w14:paraId="735782C6">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开标一览表</w:t>
      </w:r>
    </w:p>
    <w:p w14:paraId="6A72939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8D79C0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6F746A7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576BB81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12A74EE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8"/>
        <w:gridCol w:w="1781"/>
        <w:gridCol w:w="2609"/>
        <w:gridCol w:w="1357"/>
        <w:gridCol w:w="1331"/>
        <w:gridCol w:w="1235"/>
      </w:tblGrid>
      <w:tr w14:paraId="4EA01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58" w:type="dxa"/>
            <w:vAlign w:val="center"/>
          </w:tcPr>
          <w:p w14:paraId="148D5BC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81" w:type="dxa"/>
            <w:vAlign w:val="center"/>
          </w:tcPr>
          <w:p w14:paraId="79EA9EF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采购项目名称/采购包名称</w:t>
            </w:r>
          </w:p>
        </w:tc>
        <w:tc>
          <w:tcPr>
            <w:tcW w:w="2609" w:type="dxa"/>
            <w:vAlign w:val="center"/>
          </w:tcPr>
          <w:p w14:paraId="6D4911C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p w14:paraId="03812D89">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1357" w:type="dxa"/>
            <w:vAlign w:val="center"/>
          </w:tcPr>
          <w:p w14:paraId="398E611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交货或服务期</w:t>
            </w:r>
          </w:p>
        </w:tc>
        <w:tc>
          <w:tcPr>
            <w:tcW w:w="1331" w:type="dxa"/>
            <w:vAlign w:val="center"/>
          </w:tcPr>
          <w:p w14:paraId="12ABA40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交货或服务地点</w:t>
            </w:r>
          </w:p>
        </w:tc>
        <w:tc>
          <w:tcPr>
            <w:tcW w:w="1235" w:type="dxa"/>
            <w:vAlign w:val="center"/>
          </w:tcPr>
          <w:p w14:paraId="69EA7AB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备注</w:t>
            </w:r>
          </w:p>
        </w:tc>
      </w:tr>
      <w:tr w14:paraId="279C7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jc w:val="center"/>
        </w:trPr>
        <w:tc>
          <w:tcPr>
            <w:tcW w:w="758" w:type="dxa"/>
            <w:vAlign w:val="center"/>
          </w:tcPr>
          <w:p w14:paraId="65DA635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81" w:type="dxa"/>
            <w:vAlign w:val="center"/>
          </w:tcPr>
          <w:p w14:paraId="19E6D5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609" w:type="dxa"/>
            <w:vAlign w:val="center"/>
          </w:tcPr>
          <w:p w14:paraId="2274B1B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p>
          <w:p w14:paraId="51BA913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大写:人民币</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p>
          <w:p w14:paraId="33D239C6">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p>
          <w:p w14:paraId="36D4D558">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小写:¥</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p>
          <w:p w14:paraId="61D5204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p>
        </w:tc>
        <w:tc>
          <w:tcPr>
            <w:tcW w:w="1357" w:type="dxa"/>
            <w:vAlign w:val="center"/>
          </w:tcPr>
          <w:p w14:paraId="093772E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p>
        </w:tc>
        <w:tc>
          <w:tcPr>
            <w:tcW w:w="1331" w:type="dxa"/>
            <w:vAlign w:val="center"/>
          </w:tcPr>
          <w:p w14:paraId="1DCB745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35" w:type="dxa"/>
            <w:vAlign w:val="center"/>
          </w:tcPr>
          <w:p w14:paraId="25F903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8F1F0D2">
      <w:pPr>
        <w:numPr>
          <w:ilvl w:val="0"/>
          <w:numId w:val="0"/>
        </w:numPr>
        <w:tabs>
          <w:tab w:val="left" w:pos="1365"/>
        </w:tabs>
        <w:spacing w:line="360" w:lineRule="auto"/>
        <w:ind w:leftChars="0"/>
        <w:rPr>
          <w:rFonts w:hint="eastAsia" w:ascii="宋体" w:hAnsi="宋体"/>
          <w:bCs/>
          <w:color w:val="000000" w:themeColor="text1"/>
          <w:highlight w:val="none"/>
          <w:lang w:val="en-US" w:eastAsia="zh-CN"/>
          <w14:textFill>
            <w14:solidFill>
              <w14:schemeClr w14:val="tx1"/>
            </w14:solidFill>
          </w14:textFill>
        </w:rPr>
      </w:pPr>
    </w:p>
    <w:p w14:paraId="0E8F5119">
      <w:pPr>
        <w:numPr>
          <w:ilvl w:val="0"/>
          <w:numId w:val="0"/>
        </w:numPr>
        <w:tabs>
          <w:tab w:val="left" w:pos="1365"/>
        </w:tabs>
        <w:spacing w:line="360" w:lineRule="auto"/>
        <w:ind w:leftChars="0"/>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注：</w:t>
      </w:r>
    </w:p>
    <w:p w14:paraId="3D9E4D4A">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投标人填写此表时不得改变表格的形式。</w:t>
      </w:r>
    </w:p>
    <w:p w14:paraId="57D7D342">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438E3C">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563CAAD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AFA01A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4B6ED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C5C4F1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5D95B0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E4A5DB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62B9DE8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2E21528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E71911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60BF7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9F0DB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541FE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05FDE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0B5C54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格式三：</w:t>
      </w:r>
    </w:p>
    <w:p w14:paraId="393F4ECF">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分项报价表</w:t>
      </w:r>
    </w:p>
    <w:p w14:paraId="107015C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BBBCF4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02F3792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75E1DE0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4AC4FDA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p>
    <w:p w14:paraId="3B7E5A9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货币及单位：人民币/元</w:t>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647"/>
        <w:gridCol w:w="705"/>
        <w:gridCol w:w="1260"/>
        <w:gridCol w:w="765"/>
        <w:gridCol w:w="765"/>
        <w:gridCol w:w="1301"/>
      </w:tblGrid>
      <w:tr w14:paraId="51015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8F6C2C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554CDA5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59C4A38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w:t>
            </w:r>
          </w:p>
          <w:p w14:paraId="4A8B104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7A96755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w:t>
            </w:r>
          </w:p>
          <w:p w14:paraId="5C3649FD">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647" w:type="dxa"/>
            <w:vAlign w:val="center"/>
          </w:tcPr>
          <w:p w14:paraId="0BB8D92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品牌</w:t>
            </w:r>
          </w:p>
        </w:tc>
        <w:tc>
          <w:tcPr>
            <w:tcW w:w="705" w:type="dxa"/>
            <w:vAlign w:val="center"/>
          </w:tcPr>
          <w:p w14:paraId="08A9E03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产地</w:t>
            </w:r>
          </w:p>
        </w:tc>
        <w:tc>
          <w:tcPr>
            <w:tcW w:w="1260" w:type="dxa"/>
            <w:vAlign w:val="center"/>
          </w:tcPr>
          <w:p w14:paraId="74985E1E">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制造商</w:t>
            </w:r>
          </w:p>
          <w:p w14:paraId="6C61C6D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765" w:type="dxa"/>
            <w:vAlign w:val="center"/>
          </w:tcPr>
          <w:p w14:paraId="061E73D1">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2CA28BE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5DF6AE3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54CBE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F28228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32C71E4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609BEB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4AD16D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3A42BF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5D7145D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65C5305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6EFF9CA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DC1D4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58BD5A1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E88B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486A381A">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3B9FE7B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182B97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07EDBD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48822C5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5AE3DA2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74AD046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24623B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0617D2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94092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203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E1963EB">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1FBDD3C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81BBA7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5066996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46B31D8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00DF6CB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782799C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19192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EB99F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5AE70C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0C1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32BC2D70">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4B7F07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582BE64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5AD912A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4D4538C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15C4569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0E6F45B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11DCE0E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798"/>
        <w:gridCol w:w="765"/>
        <w:gridCol w:w="765"/>
        <w:gridCol w:w="1301"/>
      </w:tblGrid>
      <w:tr w14:paraId="39C60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907" w:type="dxa"/>
            <w:vAlign w:val="center"/>
          </w:tcPr>
          <w:p w14:paraId="605903D1">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07A294E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471FDF7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16C7200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541FA60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27FBD039">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范围</w:t>
            </w:r>
          </w:p>
        </w:tc>
        <w:tc>
          <w:tcPr>
            <w:tcW w:w="907" w:type="dxa"/>
            <w:vAlign w:val="center"/>
          </w:tcPr>
          <w:p w14:paraId="28673C3D">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5B418C2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要求</w:t>
            </w:r>
          </w:p>
        </w:tc>
        <w:tc>
          <w:tcPr>
            <w:tcW w:w="907" w:type="dxa"/>
            <w:vAlign w:val="center"/>
          </w:tcPr>
          <w:p w14:paraId="23DB529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2BDDE3B8">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时间</w:t>
            </w:r>
          </w:p>
        </w:tc>
        <w:tc>
          <w:tcPr>
            <w:tcW w:w="798" w:type="dxa"/>
            <w:vAlign w:val="center"/>
          </w:tcPr>
          <w:p w14:paraId="541BC995">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服务标准</w:t>
            </w:r>
          </w:p>
        </w:tc>
        <w:tc>
          <w:tcPr>
            <w:tcW w:w="765" w:type="dxa"/>
            <w:vAlign w:val="center"/>
          </w:tcPr>
          <w:p w14:paraId="6A86D7B3">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75E4A092">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748D1F96">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62655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2DA502B8">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224D2D6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F4154D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B1B74A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E05B7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2BAF26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37FBAD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4AE70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BCC272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2B6182D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6775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2C8A808F">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28141BF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EE68E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A3A57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CCA655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17F88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1758A70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792028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1B6E3B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66D92B1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B6A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76F26727">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0CAC1A8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5AA71D4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7DEBC0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666875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518D99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24F8DDA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1F2C53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2285B46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372F002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2F0D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2CFBD74">
            <w:pPr>
              <w:pStyle w:val="1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7F2813B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451CF6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5846D7B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0F7936D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45F7B0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6AA8398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6A1EB09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18A9B7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CB4027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31F3DD0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7569051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326F65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F1F5E5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80789D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3C269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F70082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21E60A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格式四：</w:t>
      </w:r>
    </w:p>
    <w:p w14:paraId="3128224F">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政策适用性说明</w:t>
      </w:r>
    </w:p>
    <w:p w14:paraId="79EF310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按照政府采购有关政策的要求，在本次的技术方案中，采用符合政策的小型或微型企业产品、节能产品、环境标志产品，主要产品与核心技术介绍说明如下：</w:t>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134"/>
        <w:gridCol w:w="1134"/>
        <w:gridCol w:w="1134"/>
        <w:gridCol w:w="1134"/>
        <w:gridCol w:w="1134"/>
        <w:gridCol w:w="1134"/>
        <w:gridCol w:w="1134"/>
      </w:tblGrid>
      <w:tr w14:paraId="29AAD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38" w:type="dxa"/>
            <w:vAlign w:val="top"/>
          </w:tcPr>
          <w:p w14:paraId="7C27D08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038" w:type="dxa"/>
            <w:vAlign w:val="top"/>
          </w:tcPr>
          <w:p w14:paraId="42FD0DA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主要产品/技术名称（规格型号、注册商标）</w:t>
            </w:r>
          </w:p>
        </w:tc>
        <w:tc>
          <w:tcPr>
            <w:tcW w:w="1038" w:type="dxa"/>
            <w:vAlign w:val="top"/>
          </w:tcPr>
          <w:p w14:paraId="38D78D0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制造商(开发商)</w:t>
            </w:r>
          </w:p>
        </w:tc>
        <w:tc>
          <w:tcPr>
            <w:tcW w:w="1038" w:type="dxa"/>
            <w:vAlign w:val="top"/>
          </w:tcPr>
          <w:p w14:paraId="2BCBCFA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制造商企业类型</w:t>
            </w:r>
          </w:p>
        </w:tc>
        <w:tc>
          <w:tcPr>
            <w:tcW w:w="1038" w:type="dxa"/>
            <w:vAlign w:val="top"/>
          </w:tcPr>
          <w:p w14:paraId="50A3895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节能产品</w:t>
            </w:r>
          </w:p>
        </w:tc>
        <w:tc>
          <w:tcPr>
            <w:tcW w:w="1038" w:type="dxa"/>
            <w:vAlign w:val="top"/>
          </w:tcPr>
          <w:p w14:paraId="5C069EE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环境标志产品</w:t>
            </w:r>
          </w:p>
        </w:tc>
        <w:tc>
          <w:tcPr>
            <w:tcW w:w="1038" w:type="dxa"/>
            <w:vAlign w:val="top"/>
          </w:tcPr>
          <w:p w14:paraId="25A547E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认证证书编号</w:t>
            </w:r>
          </w:p>
        </w:tc>
        <w:tc>
          <w:tcPr>
            <w:tcW w:w="1038" w:type="dxa"/>
            <w:vAlign w:val="top"/>
          </w:tcPr>
          <w:p w14:paraId="6370FEC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该产品报价在总报价中占比（%）</w:t>
            </w:r>
          </w:p>
        </w:tc>
      </w:tr>
      <w:tr w14:paraId="55DD4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31B5884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038" w:type="dxa"/>
            <w:vAlign w:val="top"/>
          </w:tcPr>
          <w:p w14:paraId="333880C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0625F9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D3804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6202E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3236A7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F54C4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8AE565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1719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07B1B16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038" w:type="dxa"/>
            <w:vAlign w:val="top"/>
          </w:tcPr>
          <w:p w14:paraId="37D6D1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FFC64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D62AC4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4EF023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9D2365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52A7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6F822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0311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4C9EE04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038" w:type="dxa"/>
            <w:vAlign w:val="top"/>
          </w:tcPr>
          <w:p w14:paraId="23F85F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6AC69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ABD43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7D337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C2B7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8BAC5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F1A56E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4E5A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DA1D66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038" w:type="dxa"/>
            <w:vAlign w:val="top"/>
          </w:tcPr>
          <w:p w14:paraId="14F426B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BCF02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F507F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81868A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975173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1A0D5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29393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67B4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1F1CBD7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5</w:t>
            </w:r>
          </w:p>
        </w:tc>
        <w:tc>
          <w:tcPr>
            <w:tcW w:w="1038" w:type="dxa"/>
            <w:vAlign w:val="top"/>
          </w:tcPr>
          <w:p w14:paraId="1AA2B9D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AC370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D4FBA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BAAB5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11276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4BB35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152A1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1024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606164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038" w:type="dxa"/>
            <w:vAlign w:val="top"/>
          </w:tcPr>
          <w:p w14:paraId="198B702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EFD612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6EE206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E023E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37688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0B88A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997CD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72772E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注：1.制造商为小型或微型企业时才需要填“制造商企业类型”栏,填写内容为“小型”或“微型”；</w:t>
      </w:r>
    </w:p>
    <w:p w14:paraId="4FE3E23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2.“节能产品、环境标志产品”须填写认证证书编号，并在对应“节能产品”、“环境标志产品”栏中勾选，同时提供有效期内的证书复印件（加盖投标人公章）</w:t>
      </w:r>
    </w:p>
    <w:p w14:paraId="510199F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17959B7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568FADD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CDA7AD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693A6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30281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E568C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4A4B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1B99B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82761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128CE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7B91F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9C3DE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9E151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格式五：关于符合本国产品标准的声明函等有关证明文件（如适用）</w:t>
      </w:r>
    </w:p>
    <w:p w14:paraId="59D049E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4772E605">
      <w:pPr>
        <w:pStyle w:val="18"/>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5DF7B0F7">
      <w:pPr>
        <w:pStyle w:val="18"/>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供应商提供虚假《声明函》、虚假证明文件谋取中标、成交的，依照政府采购法律法规规定追究相应责任。</w:t>
      </w:r>
    </w:p>
    <w:p w14:paraId="3F2A2B3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F43372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10203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64CB2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ADF7F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2F044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D6AB1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E517D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3CB60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B9649E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16709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4EC9B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F9F96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6E21D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E1AEC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DAA2C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78187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447A5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C4077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221EB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1F626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72E76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49402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9D30B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5F57A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5F80A4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附件1</w:t>
      </w:r>
    </w:p>
    <w:p w14:paraId="1F468E46">
      <w:pPr>
        <w:pStyle w:val="18"/>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中国境内生产的组件成本核算基本规则</w:t>
      </w:r>
    </w:p>
    <w:p w14:paraId="6D41C37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C10283D">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产品的一级组件是指直接组成产品的组件。产品的二级组件是指直接组成产品一级组件的组件。一级组件不可分解的，视同二级组件。</w:t>
      </w:r>
    </w:p>
    <w:p w14:paraId="5F7886EA">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二级组件在中国境内生产的，其全部成本计入中国境内生产的组件成本；二级组件不在中国境内生产的，其成本不计入中国境内生产的组件成本。</w:t>
      </w:r>
    </w:p>
    <w:p w14:paraId="230C15D4">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产品总成本和组件成本以相关会计核算数据、采购合同、进货记录等为基础进行计算。</w:t>
      </w:r>
    </w:p>
    <w:p w14:paraId="4904A8C2">
      <w:pPr>
        <w:pStyle w:val="18"/>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需要对成本核算规则予以进一步明确的其他有关事项，由财政部会同有关部门另行规定。</w:t>
      </w:r>
    </w:p>
    <w:p w14:paraId="4324866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DC6F5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BC22B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1BCFD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7004D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5770D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90A5B4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7F668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93E2A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519C23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0F07A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F8786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F4829F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A6542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58B5D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F5A64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5C34EA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C4EB0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B34CA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A6DBF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C1A41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附件2</w:t>
      </w:r>
    </w:p>
    <w:p w14:paraId="06238911">
      <w:pPr>
        <w:pStyle w:val="18"/>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关于符合本国产品标准的声明函</w:t>
      </w:r>
    </w:p>
    <w:p w14:paraId="45312FA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5D5B228A">
      <w:pPr>
        <w:pStyle w:val="18"/>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09453CD5">
      <w:pPr>
        <w:pStyle w:val="18"/>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444F6796">
      <w:pPr>
        <w:pStyle w:val="18"/>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w:t>
      </w:r>
    </w:p>
    <w:p w14:paraId="7E8DE73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本公司（单位）对上述声明内容的真实性负责。如有虚假，愿承担相应法律责任。</w:t>
      </w:r>
    </w:p>
    <w:p w14:paraId="5F1B0605">
      <w:pPr>
        <w:pStyle w:val="18"/>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__________________</w:t>
      </w:r>
    </w:p>
    <w:p w14:paraId="0D989300">
      <w:pPr>
        <w:pStyle w:val="18"/>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 年 ______ 月 ______ 日</w:t>
      </w:r>
    </w:p>
    <w:p w14:paraId="67336DA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66AAC6AC">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产品如有型号，请在“产品名称”栏一并填写。</w:t>
      </w:r>
    </w:p>
    <w:p w14:paraId="07FE2D34">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生产厂名与厂址应与生产厂营业执照载明的相关信息保持一致。</w:t>
      </w:r>
    </w:p>
    <w:p w14:paraId="796D90BA">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该产品的中国境内生产的组件成本占比相关要求实施前，"规定比例"栏可不填，下同。</w:t>
      </w:r>
    </w:p>
    <w:p w14:paraId="4763397B">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该产品的关键组件要求实施前，"关键组件"栏可不填，下同。</w:t>
      </w:r>
    </w:p>
    <w:p w14:paraId="6F5F77A1">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 该产品的关键工序要求实施前，"关键工序"栏可不填，下同。</w:t>
      </w:r>
    </w:p>
    <w:p w14:paraId="24BD778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86DAA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A49FD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3CCB2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097A6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328DA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附件3（当采购项目或者采购包中含有多种产品的，供应商还应当提供本承诺函，格式内容仅供参考）</w:t>
      </w:r>
    </w:p>
    <w:p w14:paraId="466D6CD5">
      <w:pPr>
        <w:pStyle w:val="18"/>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关于本国产品比例的承诺函（如适用）</w:t>
      </w:r>
    </w:p>
    <w:p w14:paraId="44702494">
      <w:pPr>
        <w:pStyle w:val="1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2CCC17FE">
      <w:pPr>
        <w:pStyle w:val="18"/>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本公司（单位）对上述承诺内容的真实性负责。如有虚假，愿承担相应法律责任。</w:t>
      </w:r>
    </w:p>
    <w:p w14:paraId="2D64DD11">
      <w:pPr>
        <w:pStyle w:val="18"/>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7FA514">
      <w:pPr>
        <w:pStyle w:val="18"/>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__________________</w:t>
      </w:r>
    </w:p>
    <w:p w14:paraId="71B5ACB6">
      <w:pPr>
        <w:pStyle w:val="18"/>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 年 ______ 月 ______ 日</w:t>
      </w:r>
    </w:p>
    <w:p w14:paraId="106D45C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EAA19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1222E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B6748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440EA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47E59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08CAD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8B612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DF50D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985B61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AC536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E18AB6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E9C3C4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61499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522AF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024BB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58DFC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4BEF6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AFC8A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A7262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附件4</w:t>
      </w:r>
    </w:p>
    <w:p w14:paraId="6B205197">
      <w:pPr>
        <w:pStyle w:val="18"/>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本国产品标准有关证明材料（如适用）</w:t>
      </w:r>
    </w:p>
    <w:p w14:paraId="21017F8C">
      <w:pPr>
        <w:pStyle w:val="18"/>
        <w:keepNext w:val="0"/>
        <w:keepLines w:val="0"/>
        <w:pageBreakBefore w:val="0"/>
        <w:kinsoku/>
        <w:wordWrap/>
        <w:overflowPunct/>
        <w:topLinePunct w:val="0"/>
        <w:autoSpaceDE/>
        <w:autoSpaceDN/>
        <w:bidi w:val="0"/>
        <w:adjustRightInd/>
        <w:snapToGrid/>
        <w:spacing w:before="120" w:after="12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A73C4B1">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供应商认为需提供的其他资料。</w:t>
      </w:r>
    </w:p>
    <w:p w14:paraId="45B7861C">
      <w:pPr>
        <w:pStyle w:val="18"/>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财政部会同有关部门规定的有关证明文件。</w:t>
      </w:r>
    </w:p>
    <w:p w14:paraId="52386E0D">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55FD9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C8CBF8">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EA0E8F">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F6A48">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55F319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42C2D0">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875292">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69A8F0">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288374A">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A72349">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2B6D68">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8036C0">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E7C566">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536D8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C00CEB">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DFAA06">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689BB6">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930022">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4E0F5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2DFCAC">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663D61">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F3ABE3">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B2957E">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880315">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9E0288">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C389B7">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D004D55">
      <w:pPr>
        <w:pStyle w:val="18"/>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格式六：</w:t>
      </w:r>
    </w:p>
    <w:p w14:paraId="3396CF7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（投标人可使用下述格式，也可使用广东省工商行政管理局统一印制的法定代表人证明书格式）</w:t>
      </w:r>
    </w:p>
    <w:p w14:paraId="12091D5F">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证明书</w:t>
      </w:r>
    </w:p>
    <w:p w14:paraId="6D406CC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_____________现任我单位_____________职务，为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，特此证明。</w:t>
      </w:r>
    </w:p>
    <w:p w14:paraId="4D894FF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有效期限：__________________</w:t>
      </w:r>
    </w:p>
    <w:p w14:paraId="47739D1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附：代表人性别：_____年龄：_________ 身份证号码：__________________</w:t>
      </w:r>
    </w:p>
    <w:p w14:paraId="00CA9A5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注册号码：____________________企业类型：____________________________</w:t>
      </w:r>
    </w:p>
    <w:p w14:paraId="744ACBD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经营范围：__________________________</w:t>
      </w:r>
    </w:p>
    <w:p w14:paraId="53E3C9B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61BEA33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73AB970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5A57D18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67338E6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884F7E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48563C">
      <w:pPr>
        <w:spacing w:line="4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21753606">
      <w:pPr>
        <w:spacing w:line="480" w:lineRule="exact"/>
        <w:ind w:firstLine="420" w:firstLineChars="200"/>
        <w:rPr>
          <w:rFonts w:ascii="宋体" w:hAnsi="宋体"/>
          <w:color w:val="000000" w:themeColor="text1"/>
          <w:highlight w:val="none"/>
          <w14:textFill>
            <w14:solidFill>
              <w14:schemeClr w14:val="tx1"/>
            </w14:solidFill>
          </w14:textFill>
        </w:rPr>
      </w:pPr>
    </w:p>
    <w:p w14:paraId="52968815">
      <w:pPr>
        <w:pStyle w:val="6"/>
        <w:rPr>
          <w:rFonts w:hAnsi="宋体"/>
          <w:color w:val="000000" w:themeColor="text1"/>
          <w:sz w:val="21"/>
          <w:highlight w:val="none"/>
          <w14:textFill>
            <w14:solidFill>
              <w14:schemeClr w14:val="tx1"/>
            </w14:solidFill>
          </w14:textFill>
        </w:rPr>
      </w:pPr>
    </w:p>
    <w:p w14:paraId="3986E88F">
      <w:pPr>
        <w:pStyle w:val="6"/>
        <w:rPr>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346710</wp:posOffset>
                </wp:positionV>
                <wp:extent cx="4933950" cy="2294255"/>
                <wp:effectExtent l="4445" t="5080" r="14605" b="571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0244D800"/>
                          <w:p w14:paraId="0D225455"/>
                          <w:p w14:paraId="76C7F68E">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25.1pt;margin-top:27.3pt;height:180.65pt;width:388.5pt;z-index:251660288;mso-width-relative:page;mso-height-relative:page;" fillcolor="#FFFFFF" filled="t" stroked="t" coordsize="21600,21600" o:gfxdata="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cew32AAA&#10;AAkBAAAPAAAAAAAAAAEAIAAAACIAAABkcnMvZG93bnJldi54bWxQSwECFAAUAAAACACHTuJAnCmQ&#10;rVcCAACkBAAADgAAAAAAAAABACAAAAAnAQAAZHJzL2Uyb0RvYy54bWxQSwUGAAAAAAYABgBZAQAA&#10;8AUAAAAA&#10;">
                <v:fill on="t" focussize="0,0"/>
                <v:stroke color="#000000" miterlimit="8" joinstyle="miter"/>
                <v:imagedata o:title=""/>
                <o:lock v:ext="edit" aspectratio="f"/>
                <v:textbox>
                  <w:txbxContent>
                    <w:p w14:paraId="0244D800"/>
                    <w:p w14:paraId="0D225455"/>
                    <w:p w14:paraId="76C7F68E">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v:textbox>
              </v:shape>
            </w:pict>
          </mc:Fallback>
        </mc:AlternateContent>
      </w:r>
    </w:p>
    <w:p w14:paraId="455825C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格式七：</w:t>
      </w:r>
    </w:p>
    <w:p w14:paraId="13BD4907">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授权书格式</w:t>
      </w:r>
    </w:p>
    <w:p w14:paraId="56FE4EB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（对于银行、保险、电信、邮政、铁路等行业以及获得总公司投标授权的分公司，可以提供投标分支机构负责人授权书）</w:t>
      </w:r>
    </w:p>
    <w:p w14:paraId="097216BE">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w:t>
      </w:r>
    </w:p>
    <w:p w14:paraId="558A133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0E97490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本授权书声明：________是注册于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（国家或地区）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，现任________职务，有效证件号码：________________。现授权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（姓名、职务）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作为我公司的全权代理人，就“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”项目采购[采购项目编号为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YXCG-20260514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]的投标和合同执行，以我方的名义处理一切与之有关的事宜。</w:t>
      </w:r>
    </w:p>
    <w:p w14:paraId="015910B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本授权书于________年________月________日签字生效，特此声明。</w:t>
      </w:r>
    </w:p>
    <w:p w14:paraId="4E1B2DC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投标人（盖章）：__________________</w:t>
      </w:r>
    </w:p>
    <w:p w14:paraId="023F2F0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5DDC95E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6382F6F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47DC6D3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被授权人（签字或盖章）：__________________</w:t>
      </w:r>
    </w:p>
    <w:p w14:paraId="550AAED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376CDCC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165945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38FC0A6">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101B5E05">
      <w:pPr>
        <w:rPr>
          <w:color w:val="000000" w:themeColor="text1"/>
          <w:highlight w:val="none"/>
          <w14:textFill>
            <w14:solidFill>
              <w14:schemeClr w14:val="tx1"/>
            </w14:solidFill>
          </w14:textFill>
        </w:rPr>
      </w:pPr>
    </w:p>
    <w:p w14:paraId="1C1481D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210820</wp:posOffset>
                </wp:positionH>
                <wp:positionV relativeFrom="paragraph">
                  <wp:posOffset>1270</wp:posOffset>
                </wp:positionV>
                <wp:extent cx="4933950" cy="2294255"/>
                <wp:effectExtent l="4445" t="5080" r="14605" b="5715"/>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51D491E4"/>
                          <w:p w14:paraId="2F77449E"/>
                          <w:p w14:paraId="7722936D">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16.6pt;margin-top:0.1pt;height:180.65pt;width:388.5pt;z-index:251661312;mso-width-relative:page;mso-height-relative:page;" fillcolor="#FFFFFF" filled="t" stroked="t" coordsize="21600,21600" o:gfxdata="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2+frPUAAAABwEA&#10;AA8AAAAAAAAAAQAgAAAAIgAAAGRycy9kb3ducmV2LnhtbFBLAQIUABQAAAAIAIdO4kAZT6w0VwIA&#10;AKQEAAAOAAAAAAAAAAEAIAAAACMBAABkcnMvZTJvRG9jLnhtbFBLBQYAAAAABgAGAFkBAADsBQAA&#10;AAA=&#10;">
                <v:fill on="t" focussize="0,0"/>
                <v:stroke color="#000000" miterlimit="8" joinstyle="miter"/>
                <v:imagedata o:title=""/>
                <o:lock v:ext="edit" aspectratio="f"/>
                <v:textbox>
                  <w:txbxContent>
                    <w:p w14:paraId="51D491E4"/>
                    <w:p w14:paraId="2F77449E"/>
                    <w:p w14:paraId="7722936D">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v:textbox>
              </v:shape>
            </w:pict>
          </mc:Fallback>
        </mc:AlternateContent>
      </w:r>
    </w:p>
    <w:p w14:paraId="183FDEAD">
      <w:pPr>
        <w:rPr>
          <w:color w:val="000000" w:themeColor="text1"/>
          <w:highlight w:val="none"/>
          <w14:textFill>
            <w14:solidFill>
              <w14:schemeClr w14:val="tx1"/>
            </w14:solidFill>
          </w14:textFill>
        </w:rPr>
      </w:pPr>
    </w:p>
    <w:p w14:paraId="10887292">
      <w:pPr>
        <w:rPr>
          <w:color w:val="000000" w:themeColor="text1"/>
          <w:highlight w:val="none"/>
          <w14:textFill>
            <w14:solidFill>
              <w14:schemeClr w14:val="tx1"/>
            </w14:solidFill>
          </w14:textFill>
        </w:rPr>
      </w:pPr>
    </w:p>
    <w:p w14:paraId="7F216902">
      <w:pPr>
        <w:rPr>
          <w:color w:val="000000" w:themeColor="text1"/>
          <w:highlight w:val="none"/>
          <w14:textFill>
            <w14:solidFill>
              <w14:schemeClr w14:val="tx1"/>
            </w14:solidFill>
          </w14:textFill>
        </w:rPr>
      </w:pPr>
    </w:p>
    <w:p w14:paraId="65DAD2F7">
      <w:pPr>
        <w:rPr>
          <w:color w:val="000000" w:themeColor="text1"/>
          <w:highlight w:val="none"/>
          <w14:textFill>
            <w14:solidFill>
              <w14:schemeClr w14:val="tx1"/>
            </w14:solidFill>
          </w14:textFill>
        </w:rPr>
      </w:pPr>
    </w:p>
    <w:p w14:paraId="3F5E8DB0">
      <w:pPr>
        <w:rPr>
          <w:color w:val="000000" w:themeColor="text1"/>
          <w:highlight w:val="none"/>
          <w14:textFill>
            <w14:solidFill>
              <w14:schemeClr w14:val="tx1"/>
            </w14:solidFill>
          </w14:textFill>
        </w:rPr>
      </w:pPr>
    </w:p>
    <w:p w14:paraId="724C8E8E">
      <w:pPr>
        <w:rPr>
          <w:color w:val="000000" w:themeColor="text1"/>
          <w:highlight w:val="none"/>
          <w14:textFill>
            <w14:solidFill>
              <w14:schemeClr w14:val="tx1"/>
            </w14:solidFill>
          </w14:textFill>
        </w:rPr>
      </w:pPr>
    </w:p>
    <w:p w14:paraId="3F3C1D0E">
      <w:pPr>
        <w:rPr>
          <w:color w:val="000000" w:themeColor="text1"/>
          <w:highlight w:val="none"/>
          <w14:textFill>
            <w14:solidFill>
              <w14:schemeClr w14:val="tx1"/>
            </w14:solidFill>
          </w14:textFill>
        </w:rPr>
      </w:pPr>
    </w:p>
    <w:p w14:paraId="05384652">
      <w:pPr>
        <w:rPr>
          <w:color w:val="000000" w:themeColor="text1"/>
          <w:highlight w:val="none"/>
          <w14:textFill>
            <w14:solidFill>
              <w14:schemeClr w14:val="tx1"/>
            </w14:solidFill>
          </w14:textFill>
        </w:rPr>
      </w:pPr>
    </w:p>
    <w:p w14:paraId="3D292859">
      <w:pPr>
        <w:rPr>
          <w:color w:val="000000" w:themeColor="text1"/>
          <w:highlight w:val="none"/>
          <w14:textFill>
            <w14:solidFill>
              <w14:schemeClr w14:val="tx1"/>
            </w14:solidFill>
          </w14:textFill>
        </w:rPr>
      </w:pPr>
    </w:p>
    <w:p w14:paraId="55B4C0CB">
      <w:pPr>
        <w:tabs>
          <w:tab w:val="center" w:pos="4483"/>
        </w:tabs>
        <w:rPr>
          <w:rFonts w:ascii="宋体" w:hAnsi="宋体"/>
          <w:bCs/>
          <w:color w:val="000000" w:themeColor="text1"/>
          <w:szCs w:val="21"/>
          <w:highlight w:val="none"/>
          <w14:textFill>
            <w14:solidFill>
              <w14:schemeClr w14:val="tx1"/>
            </w14:solidFill>
          </w14:textFill>
        </w:rPr>
      </w:pPr>
    </w:p>
    <w:p w14:paraId="1ACE948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格式八：</w:t>
      </w:r>
    </w:p>
    <w:p w14:paraId="7A18DE7F">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投标保证金</w:t>
      </w:r>
    </w:p>
    <w:p w14:paraId="2AF900A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采购文件要求递交投标保证金的，投标人应在此提供保证金的凭证的复印件。</w:t>
      </w:r>
    </w:p>
    <w:p w14:paraId="6BEF07C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818BAE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格式九：</w:t>
      </w:r>
    </w:p>
    <w:p w14:paraId="0DAE10B5">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提供具有独立承担民事责任的能力的证明材料</w:t>
      </w:r>
    </w:p>
    <w:p w14:paraId="0B0458D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4257B1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w:t>
      </w:r>
    </w:p>
    <w:p w14:paraId="236E57D4">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资格性审查要求的其他资质证明文件</w:t>
      </w:r>
    </w:p>
    <w:p w14:paraId="2365009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具有履行合同所必需的设备和专业技术能力</w:t>
      </w:r>
    </w:p>
    <w:p w14:paraId="504E018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0AC26C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FA9B8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AEFAB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6A8A5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F9250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D9710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176C9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D848C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3A5BB3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E82A9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F6813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3A3A9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6A3C1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04CA92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9890F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E47B9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10C0B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6CB84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39BE4E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格式十一：</w:t>
      </w:r>
    </w:p>
    <w:p w14:paraId="313BEDB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（对于采购需求写明“提供承诺”的条款，供应商可参照以下格式提供承诺）</w:t>
      </w:r>
    </w:p>
    <w:p w14:paraId="29C10D5D">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承诺函</w:t>
      </w:r>
    </w:p>
    <w:p w14:paraId="352E8B4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阳春市春州工业园区开发有限公司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6769FCF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对于__________________项目（项目编号：__________________），我方郑重承诺如下：</w:t>
      </w:r>
    </w:p>
    <w:p w14:paraId="5349372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如中标/成交，我方承诺严格落实采购文件以下条款：(建议逐条复制采购文件相关条款原文)</w:t>
      </w:r>
    </w:p>
    <w:p w14:paraId="5E3283D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（一）星号条款</w:t>
      </w:r>
    </w:p>
    <w:p w14:paraId="2BE6C3C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4FC8199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13486B4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6EB9CF6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EA496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（二）三角号条款</w:t>
      </w:r>
    </w:p>
    <w:p w14:paraId="72740E8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0FF920E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7F0FB47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7E77DC5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B4A413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（三）非星号、非三角号条款</w:t>
      </w:r>
    </w:p>
    <w:p w14:paraId="7E77191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42B6D49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1C8E82E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11D8278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38BD38F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09D7016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供应商名称（盖章）：__________________</w:t>
      </w:r>
    </w:p>
    <w:p w14:paraId="63E3930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D7721D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格式十二：</w:t>
      </w:r>
    </w:p>
    <w:p w14:paraId="02AC52A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77C71F6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中小企业声明函（所投产品制造商为中小企业时提交本函，所属行业应符合采购文件中明确的本项目所属行业）</w:t>
      </w:r>
    </w:p>
    <w:p w14:paraId="3F534DB9">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中小企业声明函（货物）</w:t>
      </w:r>
    </w:p>
    <w:p w14:paraId="75BEA4E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42F5619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DBD7B4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1F347C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FE6BFC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569E2E4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790E021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5D066B5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31C6796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651E674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61B913F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B8A6D4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中小企业声明函（承建本项目工程为中小企业或者承接本项目服务为中小企业时提交本函，所属行业应符合采购文件中明确的本项目所属行业）</w:t>
      </w:r>
    </w:p>
    <w:p w14:paraId="2B8DB940">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中小企业声明函（工程、服务）</w:t>
      </w:r>
    </w:p>
    <w:p w14:paraId="2973397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082087B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1DAF53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C57293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4B8186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0976E4B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76CB576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27F1B41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99CEFA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3E25B6E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2：投标人应当自行核实是否属于小微企业，并认真填写声明函，若有虚假将追究其责任。</w:t>
      </w:r>
    </w:p>
    <w:p w14:paraId="398EBB2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118D7F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116C1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E9568D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EC0DA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78012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9EE013">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0C70782B">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54A646C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格式十三：</w:t>
      </w:r>
    </w:p>
    <w:p w14:paraId="5A14705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7D48FF09">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监狱企业</w:t>
      </w:r>
    </w:p>
    <w:p w14:paraId="2F56744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提供由监狱管理局、戒毒管理局（含新疆生产建设兵团）出具的属于监狱企业的证明文件。</w:t>
      </w:r>
    </w:p>
    <w:p w14:paraId="415F878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28844E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E205C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912873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002051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1B11C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DB07606">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1B3F07F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格式十四：</w:t>
      </w:r>
    </w:p>
    <w:p w14:paraId="111237C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784CE0DE">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残疾人福利性单位声明函</w:t>
      </w:r>
    </w:p>
    <w:p w14:paraId="0B19B52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A38F05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本单位对上述声明的真实性负责。如有虚假，将依法承担相应责任。</w:t>
      </w:r>
    </w:p>
    <w:p w14:paraId="11C056C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单位名称（盖章）：__________________</w:t>
      </w:r>
    </w:p>
    <w:p w14:paraId="7FB8070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A7C767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注：本函未填写或未勾选视作未做声明。</w:t>
      </w:r>
    </w:p>
    <w:p w14:paraId="3481FAD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126B79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843D2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CA37A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30053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7862B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12CF74">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769E4C3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格式十五：</w:t>
      </w:r>
    </w:p>
    <w:p w14:paraId="50D5F28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0983518">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联合体共同投标协议书</w:t>
      </w:r>
    </w:p>
    <w:p w14:paraId="225DC2B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立约方：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p>
    <w:p w14:paraId="70C469D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p>
    <w:p w14:paraId="11AEDED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（……公司全称）</w:t>
      </w:r>
    </w:p>
    <w:p w14:paraId="747C854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自愿组成联合体，以一个投标人的身份共同参加（采购项目名称）（采购项目编号）的响应活动。经各方充分协商一致，就项目的响应和合同实施阶段的有关事务协商一致订立协议如下：</w:t>
      </w:r>
    </w:p>
    <w:p w14:paraId="5DDEC3D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一、联合体各方关系</w:t>
      </w:r>
    </w:p>
    <w:p w14:paraId="64465C3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共同组成一个联合体，以一个投标人的身份共同参加本项目的响应。（甲公司全称）、（乙公司全称）、（……公司全称）作为联合体成员，若中标，联合体各方共同与（采购人）签订政府采购合同。</w:t>
      </w:r>
    </w:p>
    <w:p w14:paraId="433F3D0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二、联合体内部有关事项约定如下：</w:t>
      </w:r>
    </w:p>
    <w:p w14:paraId="0CC7D29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1.（甲公司全称）作为联合体的牵头单位，代表联合体双方负责投标和合同实施阶段的主办、协调工作。</w:t>
      </w:r>
    </w:p>
    <w:p w14:paraId="75253A2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27D4201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3.如果本联合体中标，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p>
    <w:p w14:paraId="1301CF6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4.如中标，联合体各方共同与（采购人）签订合同书，并就中标项目向采购人负责有连带的和各自的法律责任；</w:t>
      </w:r>
    </w:p>
    <w:p w14:paraId="1C09CA2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5.联合体成员（公司全称）为（请填写：小型、微型）企业，将承担合同总金额_____%的工作内容（联合体成员中有小型、微型企业时适用）。</w:t>
      </w:r>
    </w:p>
    <w:p w14:paraId="5467F4E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5F0747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0EE8B0D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五、本协议在自签署之日起生效，有效期内有效，如获中标资格，合同有效期延续至合同履行完毕之日。</w:t>
      </w:r>
    </w:p>
    <w:p w14:paraId="154F7FF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六、本协议书正本一式_____份，随投标文件装订_____份，送采购人_____份，联合体成员各一份；副本一式_____份，联合体成员各执_____份。</w:t>
      </w:r>
    </w:p>
    <w:p w14:paraId="24E63D0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甲公司全称：____（盖章）________，乙公司全称：____（盖章）________，……公司全称：____（盖章）________，</w:t>
      </w:r>
    </w:p>
    <w:p w14:paraId="4444BD3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____年____月 ____日，____年____月____日，____年____月____日</w:t>
      </w:r>
    </w:p>
    <w:p w14:paraId="29FD990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注：1．联合响应时需签本协议，联合体各方成员应在本协议上共同盖章确认。</w:t>
      </w:r>
    </w:p>
    <w:p w14:paraId="41B21AB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2．本协议内容不得擅自修改。此协议将作为签订合同的附件之一。</w:t>
      </w:r>
    </w:p>
    <w:p w14:paraId="7C4CB9C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660AF4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6B2E8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8483F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0A9FB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907E8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1040C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A846E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54641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799A5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79207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E5F32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13A3C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A8500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3BEC03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4C689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CB3A6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83F5A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8DE73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C0C0F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格式十六：</w:t>
      </w:r>
    </w:p>
    <w:p w14:paraId="6CEA9DA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494FA9D2">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投标人业绩情况表</w:t>
      </w:r>
    </w:p>
    <w:tbl>
      <w:tblPr>
        <w:tblStyle w:val="13"/>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1"/>
        <w:gridCol w:w="1512"/>
        <w:gridCol w:w="1512"/>
        <w:gridCol w:w="1512"/>
        <w:gridCol w:w="1512"/>
        <w:gridCol w:w="1512"/>
      </w:tblGrid>
      <w:tr w14:paraId="091D8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FEDB1C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384" w:type="dxa"/>
            <w:vAlign w:val="top"/>
          </w:tcPr>
          <w:p w14:paraId="168E670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客户名称</w:t>
            </w:r>
          </w:p>
        </w:tc>
        <w:tc>
          <w:tcPr>
            <w:tcW w:w="1384" w:type="dxa"/>
            <w:vAlign w:val="top"/>
          </w:tcPr>
          <w:p w14:paraId="09B7B3C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项目名称及合同金额（万元）</w:t>
            </w:r>
          </w:p>
        </w:tc>
        <w:tc>
          <w:tcPr>
            <w:tcW w:w="1384" w:type="dxa"/>
            <w:vAlign w:val="top"/>
          </w:tcPr>
          <w:p w14:paraId="3C9203F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签订合同时间</w:t>
            </w:r>
          </w:p>
        </w:tc>
        <w:tc>
          <w:tcPr>
            <w:tcW w:w="1384" w:type="dxa"/>
            <w:vAlign w:val="top"/>
          </w:tcPr>
          <w:p w14:paraId="51AA55C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竣工验收报告时间</w:t>
            </w:r>
          </w:p>
        </w:tc>
        <w:tc>
          <w:tcPr>
            <w:tcW w:w="1384" w:type="dxa"/>
            <w:vAlign w:val="top"/>
          </w:tcPr>
          <w:p w14:paraId="568EFEA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联系人及电话</w:t>
            </w:r>
          </w:p>
        </w:tc>
      </w:tr>
      <w:tr w14:paraId="1E670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33731B7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384" w:type="dxa"/>
            <w:vAlign w:val="top"/>
          </w:tcPr>
          <w:p w14:paraId="35E7B1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87DC2D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1C472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853193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E0AD3C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C60B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5583209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384" w:type="dxa"/>
            <w:vAlign w:val="top"/>
          </w:tcPr>
          <w:p w14:paraId="3C6F9AB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B65AD4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71DA2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73F3943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3F7025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A0C0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2B08CB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384" w:type="dxa"/>
            <w:vAlign w:val="top"/>
          </w:tcPr>
          <w:p w14:paraId="0CCB877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8AF820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D94506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EB4E21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930AC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573B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43B6B59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384" w:type="dxa"/>
            <w:vAlign w:val="top"/>
          </w:tcPr>
          <w:p w14:paraId="4C3179E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5B828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7EDC53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3E14B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7378C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F0B8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44B47B3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384" w:type="dxa"/>
            <w:vAlign w:val="top"/>
          </w:tcPr>
          <w:p w14:paraId="3041A3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5FCFEE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7867497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F7D7F9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96E24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5E9D59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根据上述业绩情况，按招标文件要求附销售或服务合同复印件及评审标准要求的证明材料。</w:t>
      </w:r>
    </w:p>
    <w:p w14:paraId="7FE650D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776E6D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C4DEB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AB9A7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BAF6C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C160E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66AD5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3129D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988D8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368840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601DC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F4624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838C5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B1615D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EE19D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701F0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D0722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00B4F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格式十七：</w:t>
      </w:r>
    </w:p>
    <w:p w14:paraId="6482DB21">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《技术和服务要求响应表》</w:t>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008"/>
        <w:gridCol w:w="1008"/>
        <w:gridCol w:w="1008"/>
        <w:gridCol w:w="1008"/>
        <w:gridCol w:w="1008"/>
        <w:gridCol w:w="1008"/>
        <w:gridCol w:w="1008"/>
        <w:gridCol w:w="1008"/>
      </w:tblGrid>
      <w:tr w14:paraId="34580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37A2209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23" w:type="dxa"/>
            <w:vAlign w:val="top"/>
          </w:tcPr>
          <w:p w14:paraId="38DFD45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923" w:type="dxa"/>
            <w:vAlign w:val="top"/>
          </w:tcPr>
          <w:p w14:paraId="757B3A9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923" w:type="dxa"/>
            <w:vAlign w:val="top"/>
          </w:tcPr>
          <w:p w14:paraId="288985B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采购文件规定的技术和服务要求</w:t>
            </w:r>
          </w:p>
        </w:tc>
        <w:tc>
          <w:tcPr>
            <w:tcW w:w="923" w:type="dxa"/>
            <w:vAlign w:val="top"/>
          </w:tcPr>
          <w:p w14:paraId="3D35BD3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投标文件响应的具体内容</w:t>
            </w:r>
          </w:p>
        </w:tc>
        <w:tc>
          <w:tcPr>
            <w:tcW w:w="923" w:type="dxa"/>
            <w:vAlign w:val="top"/>
          </w:tcPr>
          <w:p w14:paraId="71AF6D4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923" w:type="dxa"/>
            <w:vAlign w:val="top"/>
          </w:tcPr>
          <w:p w14:paraId="2D8DE75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是否偏离</w:t>
            </w:r>
          </w:p>
        </w:tc>
        <w:tc>
          <w:tcPr>
            <w:tcW w:w="923" w:type="dxa"/>
            <w:vAlign w:val="top"/>
          </w:tcPr>
          <w:p w14:paraId="33C8F48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证明文件所在位置</w:t>
            </w:r>
          </w:p>
        </w:tc>
        <w:tc>
          <w:tcPr>
            <w:tcW w:w="923" w:type="dxa"/>
            <w:vAlign w:val="top"/>
          </w:tcPr>
          <w:p w14:paraId="688C041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r>
      <w:tr w14:paraId="170A8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0B7AA83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23" w:type="dxa"/>
            <w:vAlign w:val="top"/>
          </w:tcPr>
          <w:p w14:paraId="7D23E9F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B97E5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BA00B3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3104E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EBC0A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211A6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987F8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2521C9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FB1C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585352C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923" w:type="dxa"/>
            <w:vAlign w:val="top"/>
          </w:tcPr>
          <w:p w14:paraId="3BD96D0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BE6072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A68EE8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7C0BDD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B812B0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7F4F0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96430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CD6A8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A34F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1396773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923" w:type="dxa"/>
            <w:vAlign w:val="top"/>
          </w:tcPr>
          <w:p w14:paraId="78D5D3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E4AF9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3D53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BB1C0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2A40A8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553532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5365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B44560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4DD5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594277B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923" w:type="dxa"/>
            <w:vAlign w:val="top"/>
          </w:tcPr>
          <w:p w14:paraId="1AD93C6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07533B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3875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2B520E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375E4D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BBA0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C9A4E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AA9301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412E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8950E0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923" w:type="dxa"/>
            <w:vAlign w:val="top"/>
          </w:tcPr>
          <w:p w14:paraId="393A16F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C26988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2DAF13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FA1ACA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F3E262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7364D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4C9CD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E31831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458B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2BBC49E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923" w:type="dxa"/>
            <w:vAlign w:val="top"/>
          </w:tcPr>
          <w:p w14:paraId="7549CA2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F02A5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416E1F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859EC1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2B7DE7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896786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861010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1689C9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B18D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5F82A06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923" w:type="dxa"/>
            <w:vAlign w:val="top"/>
          </w:tcPr>
          <w:p w14:paraId="0C205D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DC76D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87620D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B8CA1E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CF4DB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9D0C1B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913538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A4E45D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624E095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2EB88DF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52812E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参数性质栏目按招标文件有标注的“</w:t>
      </w:r>
      <w:bookmarkStart w:id="74" w:name="_GoBack"/>
      <w:bookmarkEnd w:id="7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号条款进行填写，打“★”号条款为实质性条款，若有任何一条负偏离或不满足则导致投标无效。打“▲”号条款为重要技术参数（如有），若有部分“▲”条款未响应或不满足，将根据评审要求影响其得分，但不作为无效投标条款。</w:t>
      </w:r>
    </w:p>
    <w:p w14:paraId="14042D3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“是否偏离”项下应按下列规定填写：优于的，填写“正偏离”；符合的，填写“无偏离”；低于的，填写“负偏离”。</w:t>
      </w:r>
    </w:p>
    <w:p w14:paraId="754F70F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4.“备注”处可填写偏离情况的说明。</w:t>
      </w:r>
    </w:p>
    <w:p w14:paraId="24059D8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F431C1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6463F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格式十八：</w:t>
      </w:r>
    </w:p>
    <w:p w14:paraId="22CC1934">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《商务条件响应表》</w:t>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5"/>
        <w:gridCol w:w="1296"/>
        <w:gridCol w:w="1296"/>
        <w:gridCol w:w="1296"/>
        <w:gridCol w:w="1296"/>
        <w:gridCol w:w="1296"/>
        <w:gridCol w:w="1296"/>
      </w:tblGrid>
      <w:tr w14:paraId="3D270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081FE68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187" w:type="dxa"/>
            <w:vAlign w:val="top"/>
          </w:tcPr>
          <w:p w14:paraId="5194525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参数性质</w:t>
            </w:r>
          </w:p>
        </w:tc>
        <w:tc>
          <w:tcPr>
            <w:tcW w:w="1187" w:type="dxa"/>
            <w:vAlign w:val="top"/>
          </w:tcPr>
          <w:p w14:paraId="6DBAC54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采购文件规定的商务条件</w:t>
            </w:r>
          </w:p>
        </w:tc>
        <w:tc>
          <w:tcPr>
            <w:tcW w:w="1187" w:type="dxa"/>
            <w:vAlign w:val="top"/>
          </w:tcPr>
          <w:p w14:paraId="16E545A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投标文件响应的具体内容</w:t>
            </w:r>
          </w:p>
        </w:tc>
        <w:tc>
          <w:tcPr>
            <w:tcW w:w="1187" w:type="dxa"/>
            <w:vAlign w:val="top"/>
          </w:tcPr>
          <w:p w14:paraId="219BEB3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是否偏离</w:t>
            </w:r>
          </w:p>
        </w:tc>
        <w:tc>
          <w:tcPr>
            <w:tcW w:w="1187" w:type="dxa"/>
            <w:vAlign w:val="top"/>
          </w:tcPr>
          <w:p w14:paraId="2665199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证明文件所在位置</w:t>
            </w:r>
          </w:p>
        </w:tc>
        <w:tc>
          <w:tcPr>
            <w:tcW w:w="1187" w:type="dxa"/>
            <w:vAlign w:val="top"/>
          </w:tcPr>
          <w:p w14:paraId="3882967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备注</w:t>
            </w:r>
          </w:p>
        </w:tc>
      </w:tr>
      <w:tr w14:paraId="68A56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0992874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187" w:type="dxa"/>
            <w:vAlign w:val="top"/>
          </w:tcPr>
          <w:p w14:paraId="382543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5AA4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720F4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568E23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36CB3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8336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4C7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DCA308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187" w:type="dxa"/>
            <w:vAlign w:val="top"/>
          </w:tcPr>
          <w:p w14:paraId="51FF7F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467118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8D3102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893B9B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B71C1E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CB9DF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23B8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B43C871">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187" w:type="dxa"/>
            <w:vAlign w:val="top"/>
          </w:tcPr>
          <w:p w14:paraId="767CB0B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6830C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4BF62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11CC28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47D8D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E42BB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9AB6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3B4B223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187" w:type="dxa"/>
            <w:vAlign w:val="top"/>
          </w:tcPr>
          <w:p w14:paraId="7288DD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8F582D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7D04EC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7163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E5FB71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AD7069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E4ED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57F85C9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187" w:type="dxa"/>
            <w:vAlign w:val="top"/>
          </w:tcPr>
          <w:p w14:paraId="46E2D68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80803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F5B29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4AA07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246C6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482CD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EF70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58870E7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187" w:type="dxa"/>
            <w:vAlign w:val="top"/>
          </w:tcPr>
          <w:p w14:paraId="1DBADF4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D7A6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1D1C0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DBEF54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6FF10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694D0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41D2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18D6776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187" w:type="dxa"/>
            <w:vAlign w:val="top"/>
          </w:tcPr>
          <w:p w14:paraId="0E218D4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E45B1C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E6CF9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DFE1F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DD654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EFF22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9FFB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16A1455B">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187" w:type="dxa"/>
            <w:vAlign w:val="top"/>
          </w:tcPr>
          <w:p w14:paraId="1DAA0A2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462055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E1D958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815AA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C3FA19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0C128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508F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FC6019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187" w:type="dxa"/>
            <w:vAlign w:val="top"/>
          </w:tcPr>
          <w:p w14:paraId="1DA5B4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EDA8F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6AA54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E7950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79A6F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F7BFE1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0C7E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9774ED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187" w:type="dxa"/>
            <w:vAlign w:val="top"/>
          </w:tcPr>
          <w:p w14:paraId="6063E3D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76F77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26BDD6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620FE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9F287A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B82EC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271290A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410289B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“采购文件规定的商务条件”项下填写的内容应与招标文件中采购需求的 “商务要求”的内容保持一致。</w:t>
      </w:r>
    </w:p>
    <w:p w14:paraId="5572FBB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E01C07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291F3A0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“是否偏离”项下应按下列规定填写：优于的，填写“正偏离”；符合的，填写“无偏离”；低于的，填写“负偏离”。</w:t>
      </w:r>
    </w:p>
    <w:p w14:paraId="6B1D948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5.“备注”处可填写偏离情况的说明。</w:t>
      </w:r>
    </w:p>
    <w:p w14:paraId="7165E98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格式十九：</w:t>
      </w:r>
    </w:p>
    <w:p w14:paraId="1B390D1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E85792A">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履约进度计划表</w:t>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7"/>
        <w:gridCol w:w="2268"/>
        <w:gridCol w:w="2268"/>
        <w:gridCol w:w="2268"/>
      </w:tblGrid>
      <w:tr w14:paraId="22065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49CF18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76" w:type="dxa"/>
            <w:vAlign w:val="top"/>
          </w:tcPr>
          <w:p w14:paraId="5A62DED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拟定时间安排</w:t>
            </w:r>
          </w:p>
        </w:tc>
        <w:tc>
          <w:tcPr>
            <w:tcW w:w="2076" w:type="dxa"/>
            <w:vAlign w:val="top"/>
          </w:tcPr>
          <w:p w14:paraId="66B306D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计划完成的工作内容</w:t>
            </w:r>
          </w:p>
        </w:tc>
        <w:tc>
          <w:tcPr>
            <w:tcW w:w="2076" w:type="dxa"/>
            <w:vAlign w:val="top"/>
          </w:tcPr>
          <w:p w14:paraId="0829CBA7">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实施方建议或要求</w:t>
            </w:r>
          </w:p>
        </w:tc>
      </w:tr>
      <w:tr w14:paraId="50113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0028D5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2076" w:type="dxa"/>
            <w:vAlign w:val="top"/>
          </w:tcPr>
          <w:p w14:paraId="26FF15E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拟定___年___月___日</w:t>
            </w:r>
          </w:p>
        </w:tc>
        <w:tc>
          <w:tcPr>
            <w:tcW w:w="2076" w:type="dxa"/>
            <w:vAlign w:val="top"/>
          </w:tcPr>
          <w:p w14:paraId="764A53C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签订合同并生效</w:t>
            </w:r>
          </w:p>
        </w:tc>
        <w:tc>
          <w:tcPr>
            <w:tcW w:w="2076" w:type="dxa"/>
            <w:vAlign w:val="top"/>
          </w:tcPr>
          <w:p w14:paraId="4081D5D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415F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1F7B545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2076" w:type="dxa"/>
            <w:vAlign w:val="top"/>
          </w:tcPr>
          <w:p w14:paraId="401A424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40BBAF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290956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5E8F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6382029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2076" w:type="dxa"/>
            <w:vAlign w:val="top"/>
          </w:tcPr>
          <w:p w14:paraId="012968C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DE470E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024C667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7F17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5BCA8456">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2076" w:type="dxa"/>
            <w:vAlign w:val="top"/>
          </w:tcPr>
          <w:p w14:paraId="27AE6E7E">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FB6AB70">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质保期</w:t>
            </w:r>
          </w:p>
        </w:tc>
        <w:tc>
          <w:tcPr>
            <w:tcW w:w="2076" w:type="dxa"/>
            <w:vAlign w:val="top"/>
          </w:tcPr>
          <w:p w14:paraId="055ED7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44F17EA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D5A7F4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4D653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F512D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F6FD2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09259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w:t>
      </w:r>
    </w:p>
    <w:p w14:paraId="2502D10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EA7606C">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各类证明材料</w:t>
      </w:r>
    </w:p>
    <w:p w14:paraId="12225B1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1.招标文件要求提供的其他资料。</w:t>
      </w:r>
    </w:p>
    <w:p w14:paraId="3CEFF22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2.投标人认为需提供的其他资料。</w:t>
      </w:r>
    </w:p>
    <w:p w14:paraId="773A4C9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14E8C4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91C4C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1AEFAB">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2ACAA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EE03DA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CECBB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A8BC7C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格式二十一：</w:t>
      </w:r>
    </w:p>
    <w:p w14:paraId="5287E677">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采购代理服务费支付承诺书</w:t>
      </w:r>
    </w:p>
    <w:p w14:paraId="447156A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70B8886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如果我方在贵采购代理机构组织的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阳江阳春产业园区配套基础建设工程项目工程检验监测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招标中获中标（采购项目编号：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YXCG-20260514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），我方保证在收取《中标通知书》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，按招标文件对代理服务费支付方式的约定，承担本项目代理服务费。</w:t>
      </w:r>
    </w:p>
    <w:p w14:paraId="4BA12D6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我方如违约，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贵单位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为维护权益向</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方追偿的一切费用（包括但不限于律师费、诉讼费、保全费、交通费、差旅费、鉴定费等）均由违约方承担。</w:t>
      </w:r>
    </w:p>
    <w:p w14:paraId="535402A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联系地址可作为送达催款函、对账单、法院送达诉讼文书的地址。因联系地址有误或未及时告知变更后的地址，导致相关文书及诉讼文书未能实际被接收或邮寄送达的，相关文书及诉讼文书退回之日即视为送达之日。</w:t>
      </w:r>
    </w:p>
    <w:p w14:paraId="5436DE1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6B330F2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投标人法定名称（公章）；_____________________</w:t>
      </w:r>
    </w:p>
    <w:p w14:paraId="4E3EAB8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投标人法定地址：_____________________</w:t>
      </w:r>
    </w:p>
    <w:p w14:paraId="361FE8B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投标人授权代表（签字或盖章）：_____________________</w:t>
      </w:r>
    </w:p>
    <w:p w14:paraId="60259432">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话：_____________________</w:t>
      </w:r>
    </w:p>
    <w:p w14:paraId="3BDCD66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 真：_____________________</w:t>
      </w:r>
    </w:p>
    <w:p w14:paraId="7269CD9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承诺日期：_____________________</w:t>
      </w:r>
    </w:p>
    <w:p w14:paraId="4F768E3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8E8F98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6E9BB2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31E89E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D22DF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8FF2BC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59AE90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52D8EC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1FD29E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8BDDED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7BBE8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DFB6D8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格式二十二：</w:t>
      </w:r>
    </w:p>
    <w:p w14:paraId="7E4A7FB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30C8559">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需要采购人提供的附加条件</w:t>
      </w:r>
    </w:p>
    <w:tbl>
      <w:tblPr>
        <w:tblStyle w:val="13"/>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5"/>
        <w:gridCol w:w="4536"/>
      </w:tblGrid>
      <w:tr w14:paraId="21403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4153" w:type="dxa"/>
            <w:vAlign w:val="top"/>
          </w:tcPr>
          <w:p w14:paraId="196F2F7D">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4153" w:type="dxa"/>
            <w:vAlign w:val="top"/>
          </w:tcPr>
          <w:p w14:paraId="3CF9341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投标人需要采购人提供的附加条件</w:t>
            </w:r>
          </w:p>
        </w:tc>
      </w:tr>
      <w:tr w14:paraId="506E0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5A69EE44">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4153" w:type="dxa"/>
            <w:vAlign w:val="top"/>
          </w:tcPr>
          <w:p w14:paraId="2C794C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8CD3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254DB23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4153" w:type="dxa"/>
            <w:vAlign w:val="top"/>
          </w:tcPr>
          <w:p w14:paraId="43CD41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61DE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71BA268">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4153" w:type="dxa"/>
            <w:vAlign w:val="top"/>
          </w:tcPr>
          <w:p w14:paraId="2106F88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0035C2B2">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注：投标人完成本项目需要采购人配合或提供的条件必须在上表列出，否则将视为投标人同意按现有条件完成本项目。如上表所列附加条件含有采购人不能接受的，将被视为投标无效。</w:t>
      </w:r>
    </w:p>
    <w:p w14:paraId="075CE37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29BF73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2ADB2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8510F3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3B89EA">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24CBD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B073E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79860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047C6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B12A1E">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8B88B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BCB03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56F391">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FE42E0">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E7430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A90DD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02463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31DF3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52E158">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78653DC">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格式二十三：</w:t>
      </w:r>
    </w:p>
    <w:p w14:paraId="416663B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30B0F01">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询问函、质疑函、投诉书格式</w:t>
      </w:r>
    </w:p>
    <w:p w14:paraId="39DAC57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说明：本部分格式为投标人提交询问函、质疑函、投诉函时使用，不属于投标文件格式的组成部分。</w:t>
      </w:r>
    </w:p>
    <w:p w14:paraId="2FE12E7E">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w:t>
      </w:r>
    </w:p>
    <w:p w14:paraId="15F0AE83">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21FCDA00">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我单位已登记并准备参与“</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”项目（采购项目编号：</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）的投标活动，现有以下几个内容（或条款）存在疑问（或无法理解），特提出询问。</w:t>
      </w:r>
    </w:p>
    <w:p w14:paraId="64CECD0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一、_____________________（事项一）</w:t>
      </w:r>
    </w:p>
    <w:p w14:paraId="60AB9B4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（1）____________________（问题或条款内容）</w:t>
      </w:r>
    </w:p>
    <w:p w14:paraId="2EB2007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（2）____________________（说明疑问或无法理解原因）</w:t>
      </w:r>
    </w:p>
    <w:p w14:paraId="432FF50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（3）____________________（建议）</w:t>
      </w:r>
    </w:p>
    <w:p w14:paraId="71B1466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二、_____________________（事项二）</w:t>
      </w:r>
    </w:p>
    <w:p w14:paraId="3D27F7C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5B1F13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随附相关证明材料如下：（目录）</w:t>
      </w:r>
    </w:p>
    <w:p w14:paraId="1510DBC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询问人（公章）：_____________________</w:t>
      </w:r>
    </w:p>
    <w:p w14:paraId="796820BA">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法定代表人或授权代表（签字或盖章）：_____________________</w:t>
      </w:r>
    </w:p>
    <w:p w14:paraId="534DA565">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地址/邮编：_____________________</w:t>
      </w:r>
    </w:p>
    <w:p w14:paraId="082F3419">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电话/传真：_____________________</w:t>
      </w:r>
    </w:p>
    <w:p w14:paraId="5AF4749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06882E9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1FE8BF8">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7BF35B">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FCC00F">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75559B">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21B05D">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7D8619">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255465">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B356CA">
      <w:pPr>
        <w:pStyle w:val="1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质疑函</w:t>
      </w:r>
    </w:p>
    <w:p w14:paraId="0D624A3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一、质疑供应商基本信息</w:t>
      </w:r>
    </w:p>
    <w:p w14:paraId="1E2C88C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质疑供应商：</w:t>
      </w:r>
    </w:p>
    <w:p w14:paraId="05EACDE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0671F8AE">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联系：_____________________联系电话：_____________________</w:t>
      </w:r>
    </w:p>
    <w:p w14:paraId="38B2C8F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授权代表：_____________________</w:t>
      </w:r>
    </w:p>
    <w:p w14:paraId="7D8B5027">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联系电话：_____________________</w:t>
      </w:r>
    </w:p>
    <w:p w14:paraId="6BC92CB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1F655C9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二、质疑项目基本情况</w:t>
      </w:r>
    </w:p>
    <w:p w14:paraId="0AE5E04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质疑项目的名称：_____________________</w:t>
      </w:r>
    </w:p>
    <w:p w14:paraId="5D366221">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质疑项目的编号：_____________________ 包号：_____________________</w:t>
      </w:r>
    </w:p>
    <w:p w14:paraId="02C703A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采购人名称：_____________________</w:t>
      </w:r>
    </w:p>
    <w:p w14:paraId="717E553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采购文件获取日期：_____________________</w:t>
      </w:r>
    </w:p>
    <w:p w14:paraId="3ED6969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三、质疑事项具体内容</w:t>
      </w:r>
    </w:p>
    <w:p w14:paraId="51003518">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质疑事项1：_____________________</w:t>
      </w:r>
    </w:p>
    <w:p w14:paraId="3A25730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事实依据：_____________________</w:t>
      </w:r>
    </w:p>
    <w:p w14:paraId="645DDA6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法律依据：_____________________</w:t>
      </w:r>
    </w:p>
    <w:p w14:paraId="07BC4665">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质疑事项2：_____________________</w:t>
      </w:r>
    </w:p>
    <w:p w14:paraId="375FF5A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49527EA">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四、与质疑事项相关的质疑请求</w:t>
      </w:r>
    </w:p>
    <w:p w14:paraId="420F9133">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请求：__________________________________________</w:t>
      </w:r>
    </w:p>
    <w:p w14:paraId="557E6F0C">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签字(签章)：_____________________ 公章：_____________________</w:t>
      </w:r>
    </w:p>
    <w:p w14:paraId="61AE388F">
      <w:pPr>
        <w:pStyle w:val="1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4DE499EF">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质疑函制作说明：</w:t>
      </w:r>
    </w:p>
    <w:p w14:paraId="5E9213E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1.供应商提出质疑时，应提交质疑函和必要的证明材料。</w:t>
      </w:r>
    </w:p>
    <w:p w14:paraId="754BB72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D7A88A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3.质疑供应商若对项目的某一分包进行质疑，质疑函中应列明具体采购包号。</w:t>
      </w:r>
    </w:p>
    <w:p w14:paraId="0D058E1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4.质疑函的质疑事项应具体、明确，并有必要的事实依据和法律依据。</w:t>
      </w:r>
    </w:p>
    <w:p w14:paraId="28A418DD">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5.质疑函的质疑请求应与质疑事项相关。</w:t>
      </w:r>
    </w:p>
    <w:p w14:paraId="30DD9CB4">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20A112A6">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D0D23F3">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CDDD16">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42662D">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8CABE7">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17DA059">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676622">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69AA34">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914AA05">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6F5BC6">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3823602F">
      <w:pPr>
        <w:pStyle w:val="1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格式二十四：</w:t>
      </w:r>
    </w:p>
    <w:p w14:paraId="1C1A97F9">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5FD502B">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项目实施方案、质量保证及售后服务承诺等内容和格式自拟。</w:t>
      </w:r>
    </w:p>
    <w:p w14:paraId="0E2CA16C">
      <w:pPr>
        <w:pStyle w:val="1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637A7E7">
      <w:pPr>
        <w:pStyle w:val="18"/>
        <w:rPr>
          <w:rFonts w:hint="eastAsia"/>
          <w:color w:val="000000" w:themeColor="text1"/>
          <w:highlight w:val="none"/>
          <w:lang w:val="en-US" w:eastAsia="zh-Hans"/>
          <w14:textFill>
            <w14:solidFill>
              <w14:schemeClr w14:val="tx1"/>
            </w14:solidFill>
          </w14:textFill>
        </w:rPr>
      </w:pPr>
    </w:p>
    <w:p w14:paraId="1BBD8328">
      <w:pPr>
        <w:pStyle w:val="18"/>
        <w:rPr>
          <w:rFonts w:hint="eastAsia"/>
          <w:color w:val="000000" w:themeColor="text1"/>
          <w:highlight w:val="none"/>
          <w:lang w:val="en-US" w:eastAsia="zh-Hans"/>
          <w14:textFill>
            <w14:solidFill>
              <w14:schemeClr w14:val="tx1"/>
            </w14:solidFill>
          </w14:textFill>
        </w:rPr>
      </w:pPr>
    </w:p>
    <w:p w14:paraId="238A8F0C">
      <w:pPr>
        <w:pStyle w:val="18"/>
        <w:rPr>
          <w:rFonts w:hint="eastAsia"/>
          <w:color w:val="000000" w:themeColor="text1"/>
          <w:highlight w:val="none"/>
          <w:lang w:val="en-US" w:eastAsia="zh-Hans"/>
          <w14:textFill>
            <w14:solidFill>
              <w14:schemeClr w14:val="tx1"/>
            </w14:solidFill>
          </w14:textFill>
        </w:rPr>
      </w:pPr>
    </w:p>
    <w:p w14:paraId="104151D3">
      <w:pPr>
        <w:pStyle w:val="18"/>
        <w:rPr>
          <w:rFonts w:hint="eastAsia"/>
          <w:color w:val="000000" w:themeColor="text1"/>
          <w:highlight w:val="none"/>
          <w:lang w:val="en-US" w:eastAsia="zh-Hans"/>
          <w14:textFill>
            <w14:solidFill>
              <w14:schemeClr w14:val="tx1"/>
            </w14:solidFill>
          </w14:textFill>
        </w:rPr>
      </w:pPr>
    </w:p>
    <w:p w14:paraId="373D68BD">
      <w:pPr>
        <w:pStyle w:val="18"/>
        <w:rPr>
          <w:rFonts w:hint="eastAsia"/>
          <w:color w:val="000000" w:themeColor="text1"/>
          <w:highlight w:val="none"/>
          <w:lang w:val="en-US" w:eastAsia="zh-Hans"/>
          <w14:textFill>
            <w14:solidFill>
              <w14:schemeClr w14:val="tx1"/>
            </w14:solidFill>
          </w14:textFill>
        </w:rPr>
      </w:pPr>
    </w:p>
    <w:p w14:paraId="284149E5">
      <w:pPr>
        <w:pStyle w:val="18"/>
        <w:rPr>
          <w:rFonts w:hint="eastAsia"/>
          <w:color w:val="000000" w:themeColor="text1"/>
          <w:highlight w:val="none"/>
          <w:lang w:val="en-US" w:eastAsia="zh-Hans"/>
          <w14:textFill>
            <w14:solidFill>
              <w14:schemeClr w14:val="tx1"/>
            </w14:solidFill>
          </w14:textFill>
        </w:rPr>
      </w:pPr>
    </w:p>
    <w:p w14:paraId="2F7B029E">
      <w:pPr>
        <w:pStyle w:val="18"/>
        <w:rPr>
          <w:rFonts w:hint="eastAsia"/>
          <w:color w:val="000000" w:themeColor="text1"/>
          <w:highlight w:val="none"/>
          <w:lang w:val="en-US" w:eastAsia="zh-Hans"/>
          <w14:textFill>
            <w14:solidFill>
              <w14:schemeClr w14:val="tx1"/>
            </w14:solidFill>
          </w14:textFill>
        </w:rPr>
      </w:pPr>
    </w:p>
    <w:p w14:paraId="755666D5">
      <w:pPr>
        <w:pStyle w:val="18"/>
        <w:rPr>
          <w:rFonts w:hint="eastAsia"/>
          <w:color w:val="000000" w:themeColor="text1"/>
          <w:highlight w:val="none"/>
          <w:lang w:val="en-US" w:eastAsia="zh-Hans"/>
          <w14:textFill>
            <w14:solidFill>
              <w14:schemeClr w14:val="tx1"/>
            </w14:solidFill>
          </w14:textFill>
        </w:rPr>
      </w:pPr>
    </w:p>
    <w:p w14:paraId="544C40E3">
      <w:pPr>
        <w:pStyle w:val="18"/>
        <w:rPr>
          <w:rFonts w:hint="eastAsia"/>
          <w:color w:val="000000" w:themeColor="text1"/>
          <w:highlight w:val="none"/>
          <w:lang w:val="en-US" w:eastAsia="zh-Hans"/>
          <w14:textFill>
            <w14:solidFill>
              <w14:schemeClr w14:val="tx1"/>
            </w14:solidFill>
          </w14:textFill>
        </w:rPr>
      </w:pPr>
    </w:p>
    <w:p w14:paraId="08A4D26D">
      <w:pPr>
        <w:pStyle w:val="18"/>
        <w:rPr>
          <w:rFonts w:hint="eastAsia"/>
          <w:color w:val="000000" w:themeColor="text1"/>
          <w:highlight w:val="none"/>
          <w:lang w:val="en-US" w:eastAsia="zh-Hans"/>
          <w14:textFill>
            <w14:solidFill>
              <w14:schemeClr w14:val="tx1"/>
            </w14:solidFill>
          </w14:textFill>
        </w:rPr>
      </w:pPr>
    </w:p>
    <w:p w14:paraId="061F533F">
      <w:pPr>
        <w:pStyle w:val="18"/>
        <w:rPr>
          <w:rFonts w:hint="eastAsia"/>
          <w:color w:val="000000" w:themeColor="text1"/>
          <w:highlight w:val="none"/>
          <w:lang w:val="en-US" w:eastAsia="zh-Hans"/>
          <w14:textFill>
            <w14:solidFill>
              <w14:schemeClr w14:val="tx1"/>
            </w14:solidFill>
          </w14:textFill>
        </w:rPr>
      </w:pPr>
    </w:p>
    <w:p w14:paraId="64457213">
      <w:pPr>
        <w:pStyle w:val="18"/>
        <w:rPr>
          <w:rFonts w:hint="eastAsia"/>
          <w:color w:val="000000" w:themeColor="text1"/>
          <w:highlight w:val="none"/>
          <w:lang w:val="en-US" w:eastAsia="zh-Hans"/>
          <w14:textFill>
            <w14:solidFill>
              <w14:schemeClr w14:val="tx1"/>
            </w14:solidFill>
          </w14:textFill>
        </w:rPr>
      </w:pPr>
    </w:p>
    <w:p w14:paraId="7F17B958">
      <w:pPr>
        <w:pStyle w:val="18"/>
        <w:rPr>
          <w:rFonts w:hint="eastAsia"/>
          <w:color w:val="000000" w:themeColor="text1"/>
          <w:highlight w:val="none"/>
          <w:lang w:val="en-US" w:eastAsia="zh-Hans"/>
          <w14:textFill>
            <w14:solidFill>
              <w14:schemeClr w14:val="tx1"/>
            </w14:solidFill>
          </w14:textFill>
        </w:rPr>
      </w:pPr>
    </w:p>
    <w:p w14:paraId="36598024">
      <w:pPr>
        <w:pStyle w:val="18"/>
        <w:rPr>
          <w:rFonts w:hint="eastAsia"/>
          <w:color w:val="000000" w:themeColor="text1"/>
          <w:highlight w:val="none"/>
          <w:lang w:val="en-US" w:eastAsia="zh-Hans"/>
          <w14:textFill>
            <w14:solidFill>
              <w14:schemeClr w14:val="tx1"/>
            </w14:solidFill>
          </w14:textFill>
        </w:rPr>
      </w:pPr>
    </w:p>
    <w:p w14:paraId="5A50D131">
      <w:pPr>
        <w:pStyle w:val="18"/>
        <w:rPr>
          <w:rFonts w:hint="eastAsia"/>
          <w:color w:val="000000" w:themeColor="text1"/>
          <w:highlight w:val="none"/>
          <w:lang w:val="en-US" w:eastAsia="zh-Hans"/>
          <w14:textFill>
            <w14:solidFill>
              <w14:schemeClr w14:val="tx1"/>
            </w14:solidFill>
          </w14:textFill>
        </w:rPr>
      </w:pPr>
    </w:p>
    <w:p w14:paraId="2F58DDD5">
      <w:pPr>
        <w:pStyle w:val="18"/>
        <w:rPr>
          <w:rFonts w:hint="eastAsia"/>
          <w:color w:val="000000" w:themeColor="text1"/>
          <w:highlight w:val="none"/>
          <w:lang w:val="en-US" w:eastAsia="zh-Hans"/>
          <w14:textFill>
            <w14:solidFill>
              <w14:schemeClr w14:val="tx1"/>
            </w14:solidFill>
          </w14:textFill>
        </w:rPr>
      </w:pPr>
    </w:p>
    <w:p w14:paraId="79EB428E">
      <w:pPr>
        <w:pStyle w:val="18"/>
        <w:rPr>
          <w:rFonts w:hint="eastAsia"/>
          <w:color w:val="000000" w:themeColor="text1"/>
          <w:highlight w:val="none"/>
          <w:lang w:val="en-US" w:eastAsia="zh-Hans"/>
          <w14:textFill>
            <w14:solidFill>
              <w14:schemeClr w14:val="tx1"/>
            </w14:solidFill>
          </w14:textFill>
        </w:rPr>
      </w:pPr>
    </w:p>
    <w:p w14:paraId="702F1110">
      <w:pPr>
        <w:pStyle w:val="18"/>
        <w:rPr>
          <w:rFonts w:hint="eastAsia"/>
          <w:color w:val="000000" w:themeColor="text1"/>
          <w:highlight w:val="none"/>
          <w:lang w:val="en-US" w:eastAsia="zh-Hans"/>
          <w14:textFill>
            <w14:solidFill>
              <w14:schemeClr w14:val="tx1"/>
            </w14:solidFill>
          </w14:textFill>
        </w:rPr>
      </w:pPr>
    </w:p>
    <w:p w14:paraId="63996453">
      <w:pPr>
        <w:pStyle w:val="18"/>
        <w:rPr>
          <w:rFonts w:hint="eastAsia"/>
          <w:color w:val="000000" w:themeColor="text1"/>
          <w:highlight w:val="none"/>
          <w:lang w:val="en-US" w:eastAsia="zh-Hans"/>
          <w14:textFill>
            <w14:solidFill>
              <w14:schemeClr w14:val="tx1"/>
            </w14:solidFill>
          </w14:textFill>
        </w:rPr>
      </w:pPr>
    </w:p>
    <w:p w14:paraId="6AD3F239">
      <w:pP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br w:type="page"/>
      </w:r>
    </w:p>
    <w:p w14:paraId="71BDF559">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76C26C7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3EEDA973">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4BAC5DA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3ED38B1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0E62EC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2B381A9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322719F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37A9761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D45BF6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BF94FF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736672E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7491E70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7646B9A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3D113A1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48F5D38D">
      <w:pPr>
        <w:rPr>
          <w:rFonts w:ascii="宋体" w:hAnsi="宋体"/>
          <w:color w:val="000000" w:themeColor="text1"/>
          <w:highlight w:val="none"/>
          <w14:textFill>
            <w14:solidFill>
              <w14:schemeClr w14:val="tx1"/>
            </w14:solidFill>
          </w14:textFill>
        </w:rPr>
      </w:pPr>
    </w:p>
    <w:p w14:paraId="61FBA57D">
      <w:pPr>
        <w:jc w:val="center"/>
        <w:rPr>
          <w:rFonts w:hint="eastAsia"/>
          <w:b/>
          <w:bCs/>
          <w:color w:val="000000" w:themeColor="text1"/>
          <w:sz w:val="44"/>
          <w:szCs w:val="44"/>
          <w:highlight w:val="none"/>
          <w14:textFill>
            <w14:solidFill>
              <w14:schemeClr w14:val="tx1"/>
            </w14:solidFill>
          </w14:textFill>
        </w:rPr>
      </w:pPr>
      <w:bookmarkStart w:id="73" w:name="_Hlk534184791"/>
      <w:r>
        <w:rPr>
          <w:rFonts w:hint="eastAsia"/>
          <w:b/>
          <w:bCs/>
          <w:color w:val="000000" w:themeColor="text1"/>
          <w:sz w:val="44"/>
          <w:szCs w:val="44"/>
          <w:highlight w:val="none"/>
          <w14:textFill>
            <w14:solidFill>
              <w14:schemeClr w14:val="tx1"/>
            </w14:solidFill>
          </w14:textFill>
        </w:rPr>
        <w:t>购买标书登记表</w:t>
      </w:r>
    </w:p>
    <w:p w14:paraId="35D1067E">
      <w:pPr>
        <w:jc w:val="center"/>
        <w:rPr>
          <w:rFonts w:hint="eastAsia"/>
          <w:b/>
          <w:bCs/>
          <w:color w:val="000000" w:themeColor="text1"/>
          <w:sz w:val="44"/>
          <w:szCs w:val="44"/>
          <w:highlight w:val="none"/>
          <w14:textFill>
            <w14:solidFill>
              <w14:schemeClr w14:val="tx1"/>
            </w14:solidFill>
          </w14:textFill>
        </w:rPr>
      </w:pPr>
    </w:p>
    <w:p w14:paraId="13B97855">
      <w:pPr>
        <w:jc w:val="center"/>
        <w:rPr>
          <w:color w:val="000000" w:themeColor="text1"/>
          <w:szCs w:val="21"/>
          <w:highlight w:val="none"/>
          <w14:textFill>
            <w14:solidFill>
              <w14:schemeClr w14:val="tx1"/>
            </w14:solidFill>
          </w14:textFill>
        </w:rPr>
      </w:pPr>
    </w:p>
    <w:tbl>
      <w:tblPr>
        <w:tblStyle w:val="1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16F4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BF72FC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307D457">
            <w:pPr>
              <w:rPr>
                <w:color w:val="000000" w:themeColor="text1"/>
                <w:sz w:val="28"/>
                <w:szCs w:val="28"/>
                <w:highlight w:val="none"/>
                <w14:textFill>
                  <w14:solidFill>
                    <w14:schemeClr w14:val="tx1"/>
                  </w14:solidFill>
                </w14:textFill>
              </w:rPr>
            </w:pPr>
          </w:p>
        </w:tc>
      </w:tr>
      <w:tr w14:paraId="516E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38770D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noWrap/>
          </w:tcPr>
          <w:p w14:paraId="5F5A008F">
            <w:pPr>
              <w:rPr>
                <w:color w:val="000000" w:themeColor="text1"/>
                <w:sz w:val="28"/>
                <w:szCs w:val="28"/>
                <w:highlight w:val="none"/>
                <w14:textFill>
                  <w14:solidFill>
                    <w14:schemeClr w14:val="tx1"/>
                  </w14:solidFill>
                </w14:textFill>
              </w:rPr>
            </w:pPr>
          </w:p>
        </w:tc>
        <w:tc>
          <w:tcPr>
            <w:tcW w:w="1940" w:type="dxa"/>
            <w:noWrap/>
            <w:vAlign w:val="center"/>
          </w:tcPr>
          <w:p w14:paraId="4BA2E63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730A812D">
            <w:pPr>
              <w:rPr>
                <w:color w:val="000000" w:themeColor="text1"/>
                <w:sz w:val="28"/>
                <w:szCs w:val="28"/>
                <w:highlight w:val="none"/>
                <w14:textFill>
                  <w14:solidFill>
                    <w14:schemeClr w14:val="tx1"/>
                  </w14:solidFill>
                </w14:textFill>
              </w:rPr>
            </w:pPr>
          </w:p>
        </w:tc>
      </w:tr>
      <w:tr w14:paraId="43B9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05BD7E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w:t>
            </w:r>
            <w:r>
              <w:rPr>
                <w:rFonts w:hint="eastAsia"/>
                <w:color w:val="000000" w:themeColor="text1"/>
                <w:sz w:val="28"/>
                <w:szCs w:val="28"/>
                <w:highlight w:val="none"/>
                <w:lang w:val="en-US" w:eastAsia="zh-CN"/>
                <w14:textFill>
                  <w14:solidFill>
                    <w14:schemeClr w14:val="tx1"/>
                  </w14:solidFill>
                </w14:textFill>
              </w:rPr>
              <w:t>人</w:t>
            </w:r>
            <w:r>
              <w:rPr>
                <w:rFonts w:hint="eastAsia"/>
                <w:color w:val="000000" w:themeColor="text1"/>
                <w:sz w:val="28"/>
                <w:szCs w:val="28"/>
                <w:highlight w:val="none"/>
                <w14:textFill>
                  <w14:solidFill>
                    <w14:schemeClr w14:val="tx1"/>
                  </w14:solidFill>
                </w14:textFill>
              </w:rPr>
              <w:t>名称</w:t>
            </w:r>
          </w:p>
          <w:p w14:paraId="707557A7">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(加盖公章)</w:t>
            </w:r>
          </w:p>
        </w:tc>
        <w:tc>
          <w:tcPr>
            <w:tcW w:w="6775" w:type="dxa"/>
            <w:gridSpan w:val="3"/>
            <w:noWrap/>
          </w:tcPr>
          <w:p w14:paraId="17A20D7A">
            <w:pPr>
              <w:rPr>
                <w:color w:val="000000" w:themeColor="text1"/>
                <w:sz w:val="28"/>
                <w:szCs w:val="28"/>
                <w:highlight w:val="none"/>
                <w14:textFill>
                  <w14:solidFill>
                    <w14:schemeClr w14:val="tx1"/>
                  </w14:solidFill>
                </w14:textFill>
              </w:rPr>
            </w:pPr>
          </w:p>
        </w:tc>
      </w:tr>
      <w:tr w14:paraId="529F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DE5222">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4DD54989">
            <w:pPr>
              <w:rPr>
                <w:color w:val="000000" w:themeColor="text1"/>
                <w:sz w:val="28"/>
                <w:szCs w:val="28"/>
                <w:highlight w:val="none"/>
                <w14:textFill>
                  <w14:solidFill>
                    <w14:schemeClr w14:val="tx1"/>
                  </w14:solidFill>
                </w14:textFill>
              </w:rPr>
            </w:pPr>
          </w:p>
        </w:tc>
      </w:tr>
      <w:tr w14:paraId="3E5E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79F58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43B8ADE5">
            <w:pPr>
              <w:rPr>
                <w:color w:val="000000" w:themeColor="text1"/>
                <w:sz w:val="28"/>
                <w:szCs w:val="28"/>
                <w:highlight w:val="none"/>
                <w14:textFill>
                  <w14:solidFill>
                    <w14:schemeClr w14:val="tx1"/>
                  </w14:solidFill>
                </w14:textFill>
              </w:rPr>
            </w:pPr>
          </w:p>
        </w:tc>
        <w:tc>
          <w:tcPr>
            <w:tcW w:w="1940" w:type="dxa"/>
            <w:noWrap/>
            <w:vAlign w:val="center"/>
          </w:tcPr>
          <w:p w14:paraId="01C4B3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16A0D4C5">
            <w:pPr>
              <w:rPr>
                <w:color w:val="000000" w:themeColor="text1"/>
                <w:sz w:val="28"/>
                <w:szCs w:val="28"/>
                <w:highlight w:val="none"/>
                <w14:textFill>
                  <w14:solidFill>
                    <w14:schemeClr w14:val="tx1"/>
                  </w14:solidFill>
                </w14:textFill>
              </w:rPr>
            </w:pPr>
          </w:p>
        </w:tc>
      </w:tr>
      <w:tr w14:paraId="47E9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72DDEC9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2E4E2182">
            <w:pPr>
              <w:rPr>
                <w:color w:val="000000" w:themeColor="text1"/>
                <w:sz w:val="28"/>
                <w:szCs w:val="28"/>
                <w:highlight w:val="none"/>
                <w14:textFill>
                  <w14:solidFill>
                    <w14:schemeClr w14:val="tx1"/>
                  </w14:solidFill>
                </w14:textFill>
              </w:rPr>
            </w:pPr>
          </w:p>
        </w:tc>
        <w:tc>
          <w:tcPr>
            <w:tcW w:w="1940" w:type="dxa"/>
            <w:noWrap/>
            <w:vAlign w:val="center"/>
          </w:tcPr>
          <w:p w14:paraId="602973D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27DCAF3">
            <w:pPr>
              <w:rPr>
                <w:color w:val="000000" w:themeColor="text1"/>
                <w:sz w:val="28"/>
                <w:szCs w:val="28"/>
                <w:highlight w:val="none"/>
                <w14:textFill>
                  <w14:solidFill>
                    <w14:schemeClr w14:val="tx1"/>
                  </w14:solidFill>
                </w14:textFill>
              </w:rPr>
            </w:pPr>
          </w:p>
        </w:tc>
      </w:tr>
      <w:tr w14:paraId="4420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715094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3B8712BE">
            <w:pPr>
              <w:rPr>
                <w:color w:val="000000" w:themeColor="text1"/>
                <w:sz w:val="28"/>
                <w:szCs w:val="28"/>
                <w:highlight w:val="none"/>
                <w14:textFill>
                  <w14:solidFill>
                    <w14:schemeClr w14:val="tx1"/>
                  </w14:solidFill>
                </w14:textFill>
              </w:rPr>
            </w:pPr>
          </w:p>
        </w:tc>
        <w:tc>
          <w:tcPr>
            <w:tcW w:w="1940" w:type="dxa"/>
            <w:noWrap/>
            <w:vAlign w:val="center"/>
          </w:tcPr>
          <w:p w14:paraId="75C400E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CBCDAA0">
            <w:pPr>
              <w:rPr>
                <w:color w:val="000000" w:themeColor="text1"/>
                <w:sz w:val="28"/>
                <w:szCs w:val="28"/>
                <w:highlight w:val="none"/>
                <w14:textFill>
                  <w14:solidFill>
                    <w14:schemeClr w14:val="tx1"/>
                  </w14:solidFill>
                </w14:textFill>
              </w:rPr>
            </w:pPr>
          </w:p>
        </w:tc>
      </w:tr>
      <w:tr w14:paraId="6AF9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2585" w:type="dxa"/>
            <w:noWrap/>
            <w:vAlign w:val="center"/>
          </w:tcPr>
          <w:p w14:paraId="056ABC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245690C5">
            <w:pPr>
              <w:rPr>
                <w:color w:val="000000" w:themeColor="text1"/>
                <w:sz w:val="28"/>
                <w:szCs w:val="28"/>
                <w:highlight w:val="none"/>
                <w14:textFill>
                  <w14:solidFill>
                    <w14:schemeClr w14:val="tx1"/>
                  </w14:solidFill>
                </w14:textFill>
              </w:rPr>
            </w:pPr>
          </w:p>
        </w:tc>
      </w:tr>
    </w:tbl>
    <w:p w14:paraId="5B9F551C">
      <w:pPr>
        <w:spacing w:line="360" w:lineRule="auto"/>
        <w:jc w:val="center"/>
        <w:rPr>
          <w:rFonts w:ascii="宋体" w:hAnsi="宋体"/>
          <w:b/>
          <w:color w:val="000000" w:themeColor="text1"/>
          <w:sz w:val="24"/>
          <w:highlight w:val="none"/>
          <w14:textFill>
            <w14:solidFill>
              <w14:schemeClr w14:val="tx1"/>
            </w14:solidFill>
          </w14:textFill>
        </w:rPr>
      </w:pPr>
    </w:p>
    <w:bookmarkEnd w:id="73"/>
    <w:p w14:paraId="65F41AD9">
      <w:pPr>
        <w:spacing w:line="360" w:lineRule="auto"/>
        <w:jc w:val="center"/>
        <w:rPr>
          <w:rFonts w:hint="eastAsia" w:ascii="宋体" w:hAnsi="宋体"/>
          <w:b/>
          <w:color w:val="000000" w:themeColor="text1"/>
          <w:sz w:val="24"/>
          <w:highlight w:val="none"/>
          <w:lang w:val="en-US" w:eastAsia="zh-Hans"/>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E6A">
    <w:pPr>
      <w:pStyle w:val="1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B5FC5">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F1A31">
    <w:pPr>
      <w:pStyle w:val="11"/>
      <w:jc w:val="center"/>
    </w:pPr>
    <w:r>
      <w:rPr>
        <w:rFonts w:hint="eastAsia" w:eastAsia="宋体"/>
        <w:lang w:eastAsia="zh-CN"/>
      </w:rPr>
      <w:drawing>
        <wp:anchor distT="0" distB="0" distL="114300" distR="114300" simplePos="0" relativeHeight="251659264" behindDoc="0" locked="0" layoutInCell="1" allowOverlap="1">
          <wp:simplePos x="0" y="0"/>
          <wp:positionH relativeFrom="column">
            <wp:posOffset>1308100</wp:posOffset>
          </wp:positionH>
          <wp:positionV relativeFrom="paragraph">
            <wp:posOffset>178435</wp:posOffset>
          </wp:positionV>
          <wp:extent cx="3128010" cy="427355"/>
          <wp:effectExtent l="0" t="0" r="15240" b="10795"/>
          <wp:wrapNone/>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1"/>
                  <a:srcRect b="32498"/>
                  <a:stretch>
                    <a:fillRect/>
                  </a:stretch>
                </pic:blipFill>
                <pic:spPr>
                  <a:xfrm>
                    <a:off x="0" y="0"/>
                    <a:ext cx="3128010" cy="4273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singleLevel"/>
    <w:tmpl w:val="0000001C"/>
    <w:lvl w:ilvl="0" w:tentative="0">
      <w:start w:val="1"/>
      <w:numFmt w:val="decimal"/>
      <w:lvlText w:val="%1."/>
      <w:lvlJc w:val="left"/>
      <w:pPr>
        <w:tabs>
          <w:tab w:val="left" w:pos="425"/>
        </w:tabs>
        <w:ind w:left="425" w:hanging="425"/>
      </w:pPr>
      <w:rPr>
        <w:rFonts w:hint="eastAsia"/>
      </w:rPr>
    </w:lvl>
  </w:abstractNum>
  <w:abstractNum w:abstractNumId="1">
    <w:nsid w:val="00000026"/>
    <w:multiLevelType w:val="singleLevel"/>
    <w:tmpl w:val="00000026"/>
    <w:lvl w:ilvl="0" w:tentative="0">
      <w:start w:val="1"/>
      <w:numFmt w:val="decimal"/>
      <w:pStyle w:val="21"/>
      <w:lvlText w:val="%1."/>
      <w:lvlJc w:val="left"/>
      <w:pPr>
        <w:tabs>
          <w:tab w:val="left" w:pos="360"/>
        </w:tabs>
        <w:ind w:left="360" w:hanging="360"/>
      </w:pPr>
    </w:lvl>
  </w:abstractNum>
  <w:abstractNum w:abstractNumId="2">
    <w:nsid w:val="0000002B"/>
    <w:multiLevelType w:val="multilevel"/>
    <w:tmpl w:val="0000002B"/>
    <w:lvl w:ilvl="0" w:tentative="0">
      <w:start w:val="1"/>
      <w:numFmt w:val="upperRoman"/>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661709"/>
    <w:rsid w:val="00D40852"/>
    <w:rsid w:val="00D70859"/>
    <w:rsid w:val="024261A6"/>
    <w:rsid w:val="025832D3"/>
    <w:rsid w:val="039D04CA"/>
    <w:rsid w:val="040032D8"/>
    <w:rsid w:val="042172CF"/>
    <w:rsid w:val="04D05CEB"/>
    <w:rsid w:val="05F15F19"/>
    <w:rsid w:val="063D4CBA"/>
    <w:rsid w:val="06FA07EB"/>
    <w:rsid w:val="070924FF"/>
    <w:rsid w:val="075838FA"/>
    <w:rsid w:val="07AA45D1"/>
    <w:rsid w:val="093700E7"/>
    <w:rsid w:val="099D53F0"/>
    <w:rsid w:val="09EF276F"/>
    <w:rsid w:val="0B3A5C6C"/>
    <w:rsid w:val="0B495EAF"/>
    <w:rsid w:val="0BF202F5"/>
    <w:rsid w:val="0C0F1DB3"/>
    <w:rsid w:val="0C28640C"/>
    <w:rsid w:val="0C7A48B8"/>
    <w:rsid w:val="0C8C24F7"/>
    <w:rsid w:val="0CC41D6A"/>
    <w:rsid w:val="0E464928"/>
    <w:rsid w:val="0E556903"/>
    <w:rsid w:val="0E7771D7"/>
    <w:rsid w:val="0F0767AD"/>
    <w:rsid w:val="0F405A3F"/>
    <w:rsid w:val="108865E6"/>
    <w:rsid w:val="11230F50"/>
    <w:rsid w:val="11A07096"/>
    <w:rsid w:val="11D60645"/>
    <w:rsid w:val="11E06E41"/>
    <w:rsid w:val="11FF19BD"/>
    <w:rsid w:val="1283439D"/>
    <w:rsid w:val="14467430"/>
    <w:rsid w:val="14C940E6"/>
    <w:rsid w:val="153320AA"/>
    <w:rsid w:val="159C6AE9"/>
    <w:rsid w:val="15D942D4"/>
    <w:rsid w:val="15ED4F14"/>
    <w:rsid w:val="162163A6"/>
    <w:rsid w:val="165D4BE5"/>
    <w:rsid w:val="17446535"/>
    <w:rsid w:val="177F50ED"/>
    <w:rsid w:val="18463EA2"/>
    <w:rsid w:val="19404D1B"/>
    <w:rsid w:val="19581673"/>
    <w:rsid w:val="1AA66E7A"/>
    <w:rsid w:val="1AB23516"/>
    <w:rsid w:val="1B1A6B9D"/>
    <w:rsid w:val="1BAA0BEC"/>
    <w:rsid w:val="1BF81957"/>
    <w:rsid w:val="1C6A3ED7"/>
    <w:rsid w:val="1D0B1216"/>
    <w:rsid w:val="1D21234A"/>
    <w:rsid w:val="1D721295"/>
    <w:rsid w:val="1D780C07"/>
    <w:rsid w:val="1D9B2B44"/>
    <w:rsid w:val="1F8234E3"/>
    <w:rsid w:val="207B2D2A"/>
    <w:rsid w:val="208539D6"/>
    <w:rsid w:val="20A90F5B"/>
    <w:rsid w:val="21B21B9E"/>
    <w:rsid w:val="21CF7AE3"/>
    <w:rsid w:val="22074693"/>
    <w:rsid w:val="23156E23"/>
    <w:rsid w:val="23327119"/>
    <w:rsid w:val="23720241"/>
    <w:rsid w:val="23FB55E8"/>
    <w:rsid w:val="24C30629"/>
    <w:rsid w:val="255F2A47"/>
    <w:rsid w:val="257007B0"/>
    <w:rsid w:val="26025181"/>
    <w:rsid w:val="26105AEF"/>
    <w:rsid w:val="26415CA9"/>
    <w:rsid w:val="26812549"/>
    <w:rsid w:val="2694227D"/>
    <w:rsid w:val="27167136"/>
    <w:rsid w:val="277B343D"/>
    <w:rsid w:val="27C070A1"/>
    <w:rsid w:val="287C121A"/>
    <w:rsid w:val="28B10B29"/>
    <w:rsid w:val="28CA5BDB"/>
    <w:rsid w:val="29935E30"/>
    <w:rsid w:val="299747E3"/>
    <w:rsid w:val="29DB5F49"/>
    <w:rsid w:val="2A407779"/>
    <w:rsid w:val="2AAB5DE7"/>
    <w:rsid w:val="2B2A092C"/>
    <w:rsid w:val="2B51698E"/>
    <w:rsid w:val="2B6D1CCF"/>
    <w:rsid w:val="2B9D6077"/>
    <w:rsid w:val="2BB313F7"/>
    <w:rsid w:val="2BF23E26"/>
    <w:rsid w:val="2BF3502B"/>
    <w:rsid w:val="2D346567"/>
    <w:rsid w:val="2D602616"/>
    <w:rsid w:val="2DB71F51"/>
    <w:rsid w:val="2E7D5CEC"/>
    <w:rsid w:val="2ECB1B24"/>
    <w:rsid w:val="2ED51684"/>
    <w:rsid w:val="2ED923CD"/>
    <w:rsid w:val="31E367AE"/>
    <w:rsid w:val="32C43EEA"/>
    <w:rsid w:val="333077D1"/>
    <w:rsid w:val="335C05C6"/>
    <w:rsid w:val="337551E4"/>
    <w:rsid w:val="340B78F6"/>
    <w:rsid w:val="34684D49"/>
    <w:rsid w:val="34FA4631"/>
    <w:rsid w:val="35270760"/>
    <w:rsid w:val="357A4D33"/>
    <w:rsid w:val="36A93B22"/>
    <w:rsid w:val="378555CE"/>
    <w:rsid w:val="379912F1"/>
    <w:rsid w:val="37E06D31"/>
    <w:rsid w:val="38291150"/>
    <w:rsid w:val="384855BD"/>
    <w:rsid w:val="38DD7AB3"/>
    <w:rsid w:val="392B34A2"/>
    <w:rsid w:val="396226AE"/>
    <w:rsid w:val="398048E2"/>
    <w:rsid w:val="39D87235"/>
    <w:rsid w:val="3A83468A"/>
    <w:rsid w:val="3C425ABB"/>
    <w:rsid w:val="3C77021F"/>
    <w:rsid w:val="3CBD0327"/>
    <w:rsid w:val="3D2959BD"/>
    <w:rsid w:val="3E2A590C"/>
    <w:rsid w:val="3E9C5D1B"/>
    <w:rsid w:val="3ECB4265"/>
    <w:rsid w:val="3EE17BD1"/>
    <w:rsid w:val="3F035D9A"/>
    <w:rsid w:val="3F25624A"/>
    <w:rsid w:val="3F9A2A03"/>
    <w:rsid w:val="40774C91"/>
    <w:rsid w:val="409500FD"/>
    <w:rsid w:val="415428DD"/>
    <w:rsid w:val="42075BA1"/>
    <w:rsid w:val="42137D91"/>
    <w:rsid w:val="42896A37"/>
    <w:rsid w:val="429F5DD9"/>
    <w:rsid w:val="43372B82"/>
    <w:rsid w:val="436A4639"/>
    <w:rsid w:val="43CA332A"/>
    <w:rsid w:val="44435C86"/>
    <w:rsid w:val="450D7972"/>
    <w:rsid w:val="451C4E7E"/>
    <w:rsid w:val="45A54CE6"/>
    <w:rsid w:val="46690BD8"/>
    <w:rsid w:val="46D04DDE"/>
    <w:rsid w:val="46DF0E9A"/>
    <w:rsid w:val="4799373F"/>
    <w:rsid w:val="47F70466"/>
    <w:rsid w:val="491D5CAA"/>
    <w:rsid w:val="49B303BC"/>
    <w:rsid w:val="49BE157C"/>
    <w:rsid w:val="49D217F6"/>
    <w:rsid w:val="4A340EAF"/>
    <w:rsid w:val="4A62250E"/>
    <w:rsid w:val="4B086B5A"/>
    <w:rsid w:val="4B0D06CC"/>
    <w:rsid w:val="4B3317B5"/>
    <w:rsid w:val="4BC64E7F"/>
    <w:rsid w:val="4DAB1AD6"/>
    <w:rsid w:val="4E0F475B"/>
    <w:rsid w:val="4FB56C3C"/>
    <w:rsid w:val="4FC50B09"/>
    <w:rsid w:val="50766E34"/>
    <w:rsid w:val="509B4084"/>
    <w:rsid w:val="52927709"/>
    <w:rsid w:val="53B316E5"/>
    <w:rsid w:val="53B52B8D"/>
    <w:rsid w:val="54F127F0"/>
    <w:rsid w:val="568C47D3"/>
    <w:rsid w:val="56F75D8C"/>
    <w:rsid w:val="571D28A3"/>
    <w:rsid w:val="575925A3"/>
    <w:rsid w:val="57D460CD"/>
    <w:rsid w:val="58B02697"/>
    <w:rsid w:val="59720EC9"/>
    <w:rsid w:val="5A0343A1"/>
    <w:rsid w:val="5A121D4D"/>
    <w:rsid w:val="5A7E2464"/>
    <w:rsid w:val="5B642011"/>
    <w:rsid w:val="5EB90EE3"/>
    <w:rsid w:val="60196D73"/>
    <w:rsid w:val="60AC0895"/>
    <w:rsid w:val="60BA7F29"/>
    <w:rsid w:val="63807109"/>
    <w:rsid w:val="63B079EF"/>
    <w:rsid w:val="63B76FCA"/>
    <w:rsid w:val="63D556A7"/>
    <w:rsid w:val="63DD630A"/>
    <w:rsid w:val="64F658D5"/>
    <w:rsid w:val="65815AE7"/>
    <w:rsid w:val="66613222"/>
    <w:rsid w:val="66C8504F"/>
    <w:rsid w:val="685E5C6B"/>
    <w:rsid w:val="68C33D20"/>
    <w:rsid w:val="68D0643D"/>
    <w:rsid w:val="68E465BF"/>
    <w:rsid w:val="693966D8"/>
    <w:rsid w:val="6967362C"/>
    <w:rsid w:val="6AAB53B4"/>
    <w:rsid w:val="6B6E68B8"/>
    <w:rsid w:val="6B7632CC"/>
    <w:rsid w:val="6BD64493"/>
    <w:rsid w:val="6C0703C8"/>
    <w:rsid w:val="6C8C6B1F"/>
    <w:rsid w:val="6CCB2A08"/>
    <w:rsid w:val="6CF546C4"/>
    <w:rsid w:val="6D0C2FBA"/>
    <w:rsid w:val="6E6733A0"/>
    <w:rsid w:val="6EAD34A8"/>
    <w:rsid w:val="6F305E87"/>
    <w:rsid w:val="6F834209"/>
    <w:rsid w:val="6FD9207B"/>
    <w:rsid w:val="70595806"/>
    <w:rsid w:val="70C1148D"/>
    <w:rsid w:val="717A70B8"/>
    <w:rsid w:val="71B96608"/>
    <w:rsid w:val="71CF3736"/>
    <w:rsid w:val="71E73175"/>
    <w:rsid w:val="725231E8"/>
    <w:rsid w:val="73027B3B"/>
    <w:rsid w:val="74BD5781"/>
    <w:rsid w:val="753D4E5A"/>
    <w:rsid w:val="75CC75E6"/>
    <w:rsid w:val="76143E0D"/>
    <w:rsid w:val="77177CAA"/>
    <w:rsid w:val="77486321"/>
    <w:rsid w:val="77F79321"/>
    <w:rsid w:val="78056103"/>
    <w:rsid w:val="78972AD3"/>
    <w:rsid w:val="78A56B5E"/>
    <w:rsid w:val="79D52449"/>
    <w:rsid w:val="7A3C3932"/>
    <w:rsid w:val="7AD85D51"/>
    <w:rsid w:val="7AEA5A84"/>
    <w:rsid w:val="7B7E1ABD"/>
    <w:rsid w:val="7B890DF9"/>
    <w:rsid w:val="7D470F6C"/>
    <w:rsid w:val="7E0C702E"/>
    <w:rsid w:val="7E663674"/>
    <w:rsid w:val="7E696CC0"/>
    <w:rsid w:val="7E7A7402"/>
    <w:rsid w:val="7EA81482"/>
    <w:rsid w:val="7EAF3D77"/>
    <w:rsid w:val="7EE011E6"/>
    <w:rsid w:val="7F412E62"/>
    <w:rsid w:val="7F7C4879"/>
    <w:rsid w:val="7FDB599C"/>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6正文"/>
    <w:basedOn w:val="3"/>
    <w:unhideWhenUsed/>
    <w:qFormat/>
    <w:uiPriority w:val="0"/>
    <w:pPr>
      <w:tabs>
        <w:tab w:val="left" w:pos="0"/>
      </w:tabs>
      <w:ind w:firstLine="560"/>
    </w:pPr>
    <w:rPr>
      <w:rFonts w:ascii="Times New Roman" w:hAnsi="Times New Roman"/>
    </w:rPr>
  </w:style>
  <w:style w:type="paragraph" w:styleId="3">
    <w:name w:val="Body Text"/>
    <w:basedOn w:val="1"/>
    <w:qFormat/>
    <w:uiPriority w:val="0"/>
    <w:pPr>
      <w:spacing w:after="120"/>
    </w:pPr>
  </w:style>
  <w:style w:type="paragraph" w:styleId="6">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7">
    <w:name w:val="index 5"/>
    <w:basedOn w:val="1"/>
    <w:next w:val="1"/>
    <w:qFormat/>
    <w:uiPriority w:val="0"/>
    <w:pPr>
      <w:ind w:left="1680"/>
    </w:pPr>
  </w:style>
  <w:style w:type="paragraph" w:styleId="8">
    <w:name w:val="annotation text"/>
    <w:basedOn w:val="1"/>
    <w:qFormat/>
    <w:uiPriority w:val="0"/>
    <w:pPr>
      <w:spacing w:line="360" w:lineRule="auto"/>
      <w:jc w:val="left"/>
    </w:pPr>
    <w:rPr>
      <w:sz w:val="24"/>
    </w:rPr>
  </w:style>
  <w:style w:type="paragraph" w:styleId="9">
    <w:name w:val="Plain Text"/>
    <w:basedOn w:val="1"/>
    <w:qFormat/>
    <w:uiPriority w:val="0"/>
    <w:rPr>
      <w:rFonts w:ascii="宋体" w:hAnsi="Courier New"/>
      <w:szCs w:val="20"/>
    </w:rPr>
  </w:style>
  <w:style w:type="paragraph" w:styleId="10">
    <w:name w:val="footer"/>
    <w:basedOn w:val="1"/>
    <w:next w:val="7"/>
    <w:qFormat/>
    <w:uiPriority w:val="0"/>
    <w:pPr>
      <w:tabs>
        <w:tab w:val="center" w:pos="4153"/>
        <w:tab w:val="right" w:pos="8306"/>
      </w:tabs>
      <w:snapToGrid w:val="0"/>
      <w:jc w:val="left"/>
    </w:pPr>
    <w:rPr>
      <w:sz w:val="18"/>
      <w:szCs w:val="20"/>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paragraph" w:customStyle="1" w:styleId="1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character" w:styleId="19">
    <w:name w:val="Placeholder Text"/>
    <w:basedOn w:val="15"/>
    <w:semiHidden/>
    <w:qFormat/>
    <w:uiPriority w:val="99"/>
    <w:rPr>
      <w:color w:val="808080"/>
    </w:r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 w:type="paragraph" w:customStyle="1" w:styleId="21">
    <w:name w:val="表格文字"/>
    <w:basedOn w:val="1"/>
    <w:next w:val="3"/>
    <w:qFormat/>
    <w:uiPriority w:val="0"/>
    <w:pPr>
      <w:numPr>
        <w:ilvl w:val="0"/>
        <w:numId w:val="2"/>
      </w:numPr>
      <w:tabs>
        <w:tab w:val="clear" w:pos="360"/>
      </w:tabs>
      <w:ind w:left="0" w:firstLine="0"/>
      <w:jc w:val="left"/>
    </w:pPr>
    <w:rPr>
      <w:rFonts w:ascii="Arial" w:hAnsi="Arial" w:eastAsia="仿宋_GB2312" w:cs="Arial"/>
      <w:sz w:val="18"/>
      <w:szCs w:val="18"/>
    </w:rPr>
  </w:style>
  <w:style w:type="character" w:customStyle="1" w:styleId="22">
    <w:name w:val="font21"/>
    <w:qFormat/>
    <w:uiPriority w:val="0"/>
    <w:rPr>
      <w:rFonts w:hint="default" w:ascii="Arial" w:hAnsi="Arial" w:cs="Arial"/>
      <w:color w:val="000000"/>
      <w:sz w:val="24"/>
      <w:szCs w:val="24"/>
      <w:u w:val="none"/>
    </w:rPr>
  </w:style>
  <w:style w:type="character" w:customStyle="1" w:styleId="23">
    <w:name w:val="font31"/>
    <w:basedOn w:val="15"/>
    <w:qFormat/>
    <w:uiPriority w:val="0"/>
    <w:rPr>
      <w:rFonts w:hint="eastAsia" w:ascii="宋体" w:hAnsi="宋体" w:eastAsia="宋体" w:cs="宋体"/>
      <w:color w:val="1F2329"/>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06b179-ff53-448b-b9eb-3ff6c55a5c19}"/>
        <w:style w:val=""/>
        <w:category>
          <w:name w:val="常规"/>
          <w:gallery w:val="placeholder"/>
        </w:category>
        <w:types>
          <w:type w:val="bbPlcHdr"/>
        </w:types>
        <w:behaviors>
          <w:behavior w:val="content"/>
        </w:behaviors>
        <w:description w:val=""/>
        <w:guid w:val="{3e06b179-ff53-448b-b9eb-3ff6c55a5c19}"/>
      </w:docPartPr>
      <w:docPartBody>
        <w:p w14:paraId="633C1286">
          <w:pPr>
            <w:pStyle w:val="5"/>
          </w:pPr>
          <w:r>
            <w:rPr>
              <w:rStyle w:val="3"/>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3">
    <w:name w:val="Placeholder Text"/>
    <w:basedOn w:val="1"/>
    <w:semiHidden/>
    <w:qFormat/>
    <w:uiPriority w:val="99"/>
    <w:rPr>
      <w:color w:val="808080"/>
    </w:rPr>
  </w:style>
  <w:style w:type="paragraph" w:customStyle="1" w:styleId="4">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3220</Words>
  <Characters>3560</Characters>
  <Lines>0</Lines>
  <Paragraphs>0</Paragraphs>
  <TotalTime>5</TotalTime>
  <ScaleCrop>false</ScaleCrop>
  <LinksUpToDate>false</LinksUpToDate>
  <CharactersWithSpaces>3602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cp:lastModifiedBy>
  <dcterms:modified xsi:type="dcterms:W3CDTF">2026-06-08T02:42:55Z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84AAD3F223FF2AC521F59E68BCC7017B_42</vt:lpwstr>
  </property>
  <property fmtid="{D5CDD505-2E9C-101B-9397-08002B2CF9AE}" pid="4" name="KSOTemplateDocerSaveRecord">
    <vt:lpwstr>eyJoZGlkIjoiODY3MGRkMjVkNTE0MTY5YzdkZmQ5ZDA1NjJhNjczM2UiLCJ1c2VySWQiOiI2MTE2ODE2MTUifQ==</vt:lpwstr>
  </property>
</Properties>
</file>