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7931" w:type="dxa"/>
        <w:jc w:val="center"/>
        <w:tblLayout w:type="fixed"/>
        <w:tblCellMar>
          <w:top w:w="0" w:type="dxa"/>
          <w:left w:w="108" w:type="dxa"/>
          <w:bottom w:w="0" w:type="dxa"/>
          <w:right w:w="108" w:type="dxa"/>
        </w:tblCellMar>
      </w:tblPr>
      <w:tblGrid>
        <w:gridCol w:w="1951"/>
        <w:gridCol w:w="284"/>
        <w:gridCol w:w="5696"/>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96"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YXCG-20260114</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96"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阳江市第二中学考生身份识别终端采购项目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96"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阳江市第二中学</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96"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5A19704">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_Toc25060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56BAAF8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476CD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_Toc13744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9B853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09878A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_Toc8863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8DE3DD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_Toc14150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AF029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_Toc16445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E8AC7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_Toc26885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E030F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_Toc6740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39118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_Toc24421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A3102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_Toc12649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09EE5C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_Toc4900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0E846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_Toc29771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65A17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_Toc21692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28669A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_Toc8938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CD98F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068BE5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_Toc19726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A5898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_Toc20995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FCCFEC">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_Toc29608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C23DA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_Toc20122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BE03985">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CEF556">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_Toc4317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A2BAC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B73439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_Toc1117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4BA72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72362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_Toc5816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F475A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_Toc28953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73862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_Toc5148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160AD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_Toc24142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C8C3E5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_Toc18676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FE6AB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77A799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_Toc6618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D2722F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32D18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0C633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_Toc18925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F0C09D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_Toc19864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16279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_Toc5229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E3777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6E485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A412CC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_Toc18204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6CC5A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_Toc5451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9020186"/>
      <w:bookmarkStart w:id="2" w:name="_Toc340507403"/>
      <w:bookmarkStart w:id="3" w:name="_Toc330459945"/>
      <w:bookmarkStart w:id="4" w:name="_Toc342060322"/>
      <w:bookmarkStart w:id="5" w:name="_Toc350756403"/>
      <w:bookmarkStart w:id="6" w:name="_Toc349127583"/>
      <w:bookmarkStart w:id="7" w:name="_Toc25060"/>
      <w:bookmarkStart w:id="8" w:name="_Toc339362257"/>
      <w:bookmarkStart w:id="9" w:name="_Toc340672830"/>
      <w:bookmarkStart w:id="10" w:name="_Toc339019954"/>
      <w:bookmarkStart w:id="11" w:name="_Toc349143546"/>
      <w:bookmarkStart w:id="12" w:name="_Toc340677031"/>
      <w:bookmarkStart w:id="13" w:name="_Toc332206657"/>
      <w:bookmarkStart w:id="14" w:name="_Toc331512856"/>
      <w:bookmarkStart w:id="15" w:name="_Toc366072457"/>
      <w:bookmarkStart w:id="16" w:name="_Toc336681537"/>
      <w:bookmarkStart w:id="17" w:name="_Toc333935278"/>
      <w:bookmarkStart w:id="18" w:name="_Toc339441044"/>
      <w:bookmarkStart w:id="19" w:name="_Toc336681892"/>
      <w:bookmarkStart w:id="20" w:name="_Toc350438702"/>
      <w:bookmarkStart w:id="21" w:name="_Toc333237723"/>
      <w:bookmarkStart w:id="22" w:name="_Toc365967002"/>
      <w:bookmarkStart w:id="23" w:name="_Toc342296708"/>
      <w:bookmarkStart w:id="24" w:name="_Toc332270305"/>
      <w:bookmarkStart w:id="25" w:name="_Toc333237612"/>
      <w:bookmarkStart w:id="26" w:name="_Toc339020048"/>
      <w:bookmarkStart w:id="27" w:name="_Toc337632315"/>
      <w:bookmarkStart w:id="28" w:name="_Toc333238571"/>
      <w:bookmarkStart w:id="29" w:name="_Toc365985108"/>
      <w:bookmarkStart w:id="30" w:name="_Toc345513762"/>
      <w:bookmarkStart w:id="31" w:name="_Toc333935619"/>
      <w:bookmarkStart w:id="32" w:name="_Toc339019828"/>
      <w:bookmarkStart w:id="33" w:name="_Toc341348291"/>
      <w:bookmarkStart w:id="34" w:name="_Toc331683994"/>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阳江市第二中学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阳江市第二中学考生身份识别终端采购项目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YXCG-20260114</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阳江市第二中学考生身份识别终端采购项目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YXCG-20260114</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bCs/>
          <w:color w:val="000000" w:themeColor="text1"/>
          <w:highlight w:val="none"/>
          <w:lang w:val="en-US" w:eastAsia="zh-CN"/>
          <w14:textFill>
            <w14:solidFill>
              <w14:schemeClr w14:val="tx1"/>
            </w14:solidFill>
          </w14:textFill>
        </w:rPr>
        <w:t>181500</w:t>
      </w:r>
      <w:r>
        <w:rPr>
          <w:rFonts w:hint="eastAsia" w:ascii="宋体" w:hAnsi="宋体"/>
          <w:bCs/>
          <w:color w:val="000000" w:themeColor="text1"/>
          <w:highlight w:val="none"/>
          <w14:textFill>
            <w14:solidFill>
              <w14:schemeClr w14:val="tx1"/>
            </w14:solidFill>
          </w14:textFill>
        </w:rPr>
        <w:t>.00元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w:t>
      </w:r>
      <w:r>
        <w:rPr>
          <w:rFonts w:hint="eastAsia" w:ascii="宋体" w:hAnsi="宋体"/>
          <w:bCs/>
          <w:color w:val="000000" w:themeColor="text1"/>
          <w:highlight w:val="none"/>
          <w:lang w:val="en-US" w:eastAsia="zh-CN"/>
          <w14:textFill>
            <w14:solidFill>
              <w14:schemeClr w14:val="tx1"/>
            </w14:solidFill>
          </w14:textFill>
        </w:rPr>
        <w:t>55台</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合同签订生效后15个日历日内完成供货、安装调试并交付采购人使用。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完工期</w:t>
      </w:r>
      <w:r>
        <w:rPr>
          <w:rFonts w:ascii="宋体" w:hAnsi="宋体" w:eastAsia="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bookmarkStart w:id="382" w:name="_GoBack"/>
      <w:bookmarkEnd w:id="382"/>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间及下载：2026年1月20日至2026年1月27日。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时间：2026年1月20日至2026年1月27日，上午9:00～12:00，下午2:30～5:30（节假日除外）（北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1.递交磋商响应文件时间：2026年2月2日</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2.响应截止时间：2026年2月2日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阳江市第二中学</w:t>
      </w:r>
    </w:p>
    <w:p w14:paraId="056D4CF6">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阳江市东风三路9号</w:t>
      </w:r>
    </w:p>
    <w:p w14:paraId="564FBC8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highlight w:val="none"/>
          <w14:textFill>
            <w14:solidFill>
              <w14:schemeClr w14:val="tx1"/>
            </w14:solidFill>
          </w14:textFill>
        </w:rPr>
        <w:t>阮老师</w:t>
      </w:r>
    </w:p>
    <w:p w14:paraId="37FCC3D6">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highlight w:val="none"/>
          <w14:textFill>
            <w14:solidFill>
              <w14:schemeClr w14:val="tx1"/>
            </w14:solidFill>
          </w14:textFill>
        </w:rPr>
        <w:t>0662-3227899</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41348292"/>
      <w:bookmarkStart w:id="38" w:name="_Toc330459946"/>
      <w:bookmarkStart w:id="39" w:name="_Toc332270306"/>
      <w:bookmarkStart w:id="40" w:name="_Toc333935620"/>
      <w:bookmarkStart w:id="41" w:name="_Toc339441045"/>
      <w:bookmarkStart w:id="42" w:name="_Toc339362258"/>
      <w:bookmarkStart w:id="43" w:name="_Toc349143547"/>
      <w:bookmarkStart w:id="44" w:name="_Toc339020187"/>
      <w:bookmarkStart w:id="45" w:name="_Toc339019955"/>
      <w:bookmarkStart w:id="46" w:name="_Toc340677032"/>
      <w:bookmarkStart w:id="47" w:name="_Toc342060323"/>
      <w:bookmarkStart w:id="48" w:name="_Toc350438703"/>
      <w:bookmarkStart w:id="49" w:name="_Toc350756404"/>
      <w:bookmarkStart w:id="50" w:name="_Toc340672831"/>
      <w:bookmarkStart w:id="51" w:name="_Toc332206658"/>
      <w:bookmarkStart w:id="52" w:name="_Toc342296709"/>
      <w:bookmarkStart w:id="53" w:name="_Toc333237613"/>
      <w:bookmarkStart w:id="54" w:name="_Toc336681538"/>
      <w:bookmarkStart w:id="55" w:name="_Toc336681893"/>
      <w:bookmarkStart w:id="56" w:name="_Toc333237724"/>
      <w:bookmarkStart w:id="57" w:name="_Toc337632316"/>
      <w:bookmarkStart w:id="58" w:name="_Toc365967003"/>
      <w:bookmarkStart w:id="59" w:name="_Toc331683995"/>
      <w:bookmarkStart w:id="60" w:name="_Toc331512857"/>
      <w:bookmarkStart w:id="61" w:name="_Toc349127584"/>
      <w:bookmarkStart w:id="62" w:name="_Toc339019829"/>
      <w:bookmarkStart w:id="63" w:name="_Toc339020049"/>
      <w:bookmarkStart w:id="64" w:name="_Toc365985109"/>
      <w:bookmarkStart w:id="65" w:name="_Toc333935279"/>
      <w:bookmarkStart w:id="66" w:name="_Toc366072458"/>
      <w:bookmarkStart w:id="67" w:name="_Toc340507404"/>
      <w:bookmarkStart w:id="68" w:name="_Toc345513763"/>
      <w:bookmarkStart w:id="69" w:name="_Toc333238572"/>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2026年1月20日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5867"/>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935280"/>
      <w:bookmarkStart w:id="75" w:name="_Toc75570886"/>
      <w:bookmarkStart w:id="76" w:name="_Toc333238573"/>
      <w:bookmarkStart w:id="77" w:name="_Toc333237614"/>
      <w:bookmarkStart w:id="78" w:name="_Toc333237725"/>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49127593"/>
      <w:bookmarkStart w:id="80" w:name="_Toc339019856"/>
      <w:bookmarkStart w:id="81" w:name="_Toc332270313"/>
      <w:bookmarkStart w:id="82" w:name="_Toc339441054"/>
      <w:bookmarkStart w:id="83" w:name="_Toc333935654"/>
      <w:bookmarkStart w:id="84" w:name="_Toc350438716"/>
      <w:bookmarkStart w:id="85" w:name="_Toc339020062"/>
      <w:bookmarkStart w:id="86" w:name="_Toc331512865"/>
      <w:bookmarkStart w:id="87" w:name="_Toc342060341"/>
      <w:bookmarkStart w:id="88" w:name="_Toc336681547"/>
      <w:bookmarkStart w:id="89" w:name="_Toc339020200"/>
      <w:bookmarkStart w:id="90" w:name="_Toc337632325"/>
      <w:bookmarkStart w:id="91" w:name="_Toc333237644"/>
      <w:bookmarkStart w:id="92" w:name="_Toc345513834"/>
      <w:bookmarkStart w:id="93" w:name="_Toc333935313"/>
      <w:bookmarkStart w:id="94" w:name="_Toc330459952"/>
      <w:bookmarkStart w:id="95" w:name="_Toc342296727"/>
      <w:bookmarkStart w:id="96" w:name="_Toc366072495"/>
      <w:bookmarkStart w:id="97" w:name="_Toc341348305"/>
      <w:bookmarkStart w:id="98" w:name="_Toc336681902"/>
      <w:bookmarkStart w:id="99" w:name="_Toc339019982"/>
      <w:bookmarkStart w:id="100" w:name="_Toc339362267"/>
      <w:bookmarkStart w:id="101" w:name="_Toc340677037"/>
      <w:bookmarkStart w:id="102" w:name="_Toc331684005"/>
      <w:bookmarkStart w:id="103" w:name="_Toc333237755"/>
      <w:bookmarkStart w:id="104" w:name="_Toc365985146"/>
      <w:bookmarkStart w:id="105" w:name="_Toc349143556"/>
      <w:bookmarkStart w:id="106" w:name="_Toc365967040"/>
      <w:bookmarkStart w:id="107" w:name="_Toc332206675"/>
      <w:bookmarkStart w:id="108" w:name="_Toc340672836"/>
      <w:bookmarkStart w:id="109" w:name="_Toc350756417"/>
      <w:bookmarkStart w:id="110" w:name="_Toc333238600"/>
      <w:bookmarkStart w:id="111" w:name="_Toc340507409"/>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YXCG-20260114</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阳江市第二中学考生身份识别终端采购项目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13744"/>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59A24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1.成交供应商须提供符合国家质量检测标准的全新、未使用过的货物，必须负责设备的安装调试和培训，并提供设备使用说明书、使用手册、软件等相关资料，必须提供设备的供货配置清单。</w:t>
            </w:r>
          </w:p>
          <w:p w14:paraId="028C4CF8">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2.成交供应商货物若与标书上列明的货物型号、技术指标等不相符，有造假现象的，一经查出，按相关规定处理，所造成的损失由其承担。</w:t>
            </w:r>
          </w:p>
          <w:p w14:paraId="2E6F5711">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在实际供货，设备安装前，采购人将对货物进行初验，对货物种类、品牌、型号、配置参数、功能、外观、数量和随机配件、资料等进行清点，若发现成交供应商提供的货物不满足招标文件与投标人投标时响应的参数要求的，均视同欺诈，按相关规定处理，所造成的损失由成交供应商承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075E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此价格为含税价，投标报价应包括货物送达采购人指定地点并安装调试直至正常运行，经采购人验收合格并交货完毕及质保期内所有可能发生的费用，包括货物(含设备、配件、辅助材料)生产供应、保管、运输、保险费、产品检验检测、安装、调试、试运行、现场人员培训、售后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服务费、验收、不可或缺的所有工作开支等费用。如有遗漏，由</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自行补充，一旦</w:t>
            </w:r>
            <w:r>
              <w:rPr>
                <w:rFonts w:hint="eastAsia"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视为</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认同遗漏部分并提供。</w:t>
            </w:r>
            <w:r>
              <w:rPr>
                <w:rFonts w:hint="eastAsia" w:ascii="宋体" w:hAnsi="宋体" w:eastAsia="宋体" w:cs="宋体"/>
                <w:color w:val="000000" w:themeColor="text1"/>
                <w:sz w:val="21"/>
                <w:szCs w:val="21"/>
                <w:highlight w:val="none"/>
                <w:lang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应将各类生产要素的市场风险及政策性调整确定风险系数应计入投标报价中，采购人不再进行任何增补。</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采购合同由成交供应商凭《成交通知书》与采购人双方签订，签订时间为《成交通知书》发出之日起30个日历天内。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采购人指定地点。</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FA672">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1.项目款：经成交供应商调试、试运行、培训，经采购人验收合格后，20个工作日内支付合同总额的 100%； </w:t>
            </w:r>
          </w:p>
          <w:p w14:paraId="7810F286">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2.具体付款方式以项目合同约定为准。成交供应商凭以下有效文件与采购人结算：</w:t>
            </w:r>
          </w:p>
          <w:p w14:paraId="46ACBDC5">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cs="宋体"/>
                <w:color w:val="000000" w:themeColor="text1"/>
                <w:sz w:val="21"/>
                <w:szCs w:val="21"/>
                <w:highlight w:val="none"/>
                <w:lang w:val="en-US" w:eastAsia="zh-CN"/>
                <w14:textFill>
                  <w14:solidFill>
                    <w14:schemeClr w14:val="tx1"/>
                  </w14:solidFill>
                </w14:textFill>
              </w:rPr>
              <w:t>成交</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通知书；</w:t>
            </w:r>
          </w:p>
          <w:p w14:paraId="274ED74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（2）合同；</w:t>
            </w:r>
          </w:p>
          <w:p w14:paraId="52E1AEFB">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（3）成交供应商开具的正式发票；</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745B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验收工作由本项目验收工作小组负责，验收工作小组由采购人指定人员组成。本项目完成具备验收条件后，由成交供应商提出验收申请，验收工作小组在7个工作日内组织统一验收：</w:t>
            </w:r>
          </w:p>
          <w:p w14:paraId="5071F2C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1.成交供应商提供的所有系统设备和服务，其质量、技术等特征必须符合国家、行业现行的标准及用户需求。</w:t>
            </w:r>
          </w:p>
          <w:p w14:paraId="4062A6D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2.所有设备必须有相应的详细中文说明书。</w:t>
            </w:r>
          </w:p>
          <w:p w14:paraId="3192E5E3">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3.采购人有权拒绝接受任何不合格的设备和服务，由此产生的费用及相关后果均由成交供应商自行承担。</w:t>
            </w:r>
          </w:p>
          <w:p w14:paraId="59C1E66C">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成交供应商应保证，在提供本项目的系统设备、服务或其任何一部分不会产生因第三方依法享有的专利权、商标权或其他知识产权而产生纠纷；如果成交供应商不拥有相应的知识产权，则须在报价中包括合法获取该知识产权的相关费用，并在投标文件中附有相关证明文件，如因第三方提出其专利权、商标权或其他知识产权的侵权之诉，则一切法律责任由成交供应商承担。</w:t>
            </w:r>
          </w:p>
          <w:p w14:paraId="446C3AC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验收按国家有关的规定、规范进行。验收时如发现所交付的系统设备有短装、次品、损坏或其它不符合本项目规定之情形者，采购人应做出详尽的现场记录，或由采购人和成交供应商双方签署备忘录。此现场记录或备忘录可用作补充、缺失和更换损坏部件的有效证据，由此产生的有关费用由成交供应商承担。</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BBE5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要求货物（软件、硬件设备）质保期为1年，质保期从货物（软件、硬件设备）安装、调试完毕并验收合格之日起计算。质保期过后如涉及相关硬件故障更换或软件升级服务的情况，要求成交供应商应当以不高于市场价格收取备件备品和软件升级费用。</w:t>
            </w:r>
          </w:p>
          <w:p w14:paraId="556CD87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2.售后服务范围须包括；故障应急处理、巡检服务、维修服务、配合采购人的其他工作等。</w:t>
            </w:r>
          </w:p>
          <w:p w14:paraId="617D98B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3.提供7×24小时热线电话技术支持及网络技术支持，包括在线解答和远程协助。</w:t>
            </w:r>
          </w:p>
          <w:p w14:paraId="3F95B77B">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4.在热线电话技术支持和网络技术支持无法解决问题的情况下，提供30分钟内派工程师到达现场服务（提供承诺声明函，格式自拟）。</w:t>
            </w:r>
          </w:p>
        </w:tc>
      </w:tr>
      <w:tr w14:paraId="615F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7241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FE2F625">
            <w:pPr>
              <w:spacing w:line="320" w:lineRule="exact"/>
              <w:jc w:val="center"/>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培训</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D71AA">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w:t>
            </w:r>
            <w:r>
              <w:rPr>
                <w:rFonts w:hint="eastAsia"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供应商提供。</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按标准总费用*80%计算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招标代理服务费用不足</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00元的按</w:t>
            </w:r>
            <w:r>
              <w:rPr>
                <w:rFonts w:hint="eastAsia" w:ascii="宋体" w:hAnsi="宋体" w:cs="宋体"/>
                <w:color w:val="000000" w:themeColor="text1"/>
                <w:szCs w:val="21"/>
                <w:highlight w:val="none"/>
                <w:lang w:val="en-US" w:eastAsia="zh-CN"/>
                <w14:textFill>
                  <w14:solidFill>
                    <w14:schemeClr w14:val="tx1"/>
                  </w14:solidFill>
                </w14:textFill>
              </w:rPr>
              <w:t>65</w:t>
            </w:r>
            <w:r>
              <w:rPr>
                <w:rFonts w:hint="eastAsia" w:ascii="宋体" w:hAnsi="宋体" w:cs="宋体"/>
                <w:color w:val="000000" w:themeColor="text1"/>
                <w:szCs w:val="21"/>
                <w:highlight w:val="none"/>
                <w14:textFill>
                  <w14:solidFill>
                    <w14:schemeClr w14:val="tx1"/>
                  </w14:solidFill>
                </w14:textFill>
              </w:rPr>
              <w:t>00元计算。</w:t>
            </w:r>
            <w:r>
              <w:rPr>
                <w:rFonts w:hint="eastAsia" w:ascii="宋体" w:hAnsi="宋体"/>
                <w:color w:val="000000" w:themeColor="text1"/>
                <w:szCs w:val="21"/>
                <w:highlight w:val="none"/>
                <w:lang w:eastAsia="zh-CN"/>
                <w14:textFill>
                  <w14:solidFill>
                    <w14:schemeClr w14:val="tx1"/>
                  </w14:solidFill>
                </w14:textFill>
              </w:rPr>
              <w:t>成交服务费</w:t>
            </w:r>
            <w:r>
              <w:rPr>
                <w:rFonts w:hint="eastAsia" w:ascii="宋体" w:hAnsi="宋体"/>
                <w:color w:val="000000" w:themeColor="text1"/>
                <w:szCs w:val="21"/>
                <w:highlight w:val="none"/>
                <w14:textFill>
                  <w14:solidFill>
                    <w14:schemeClr w14:val="tx1"/>
                  </w14:solidFill>
                </w14:textFill>
              </w:rPr>
              <w:t>由</w:t>
            </w:r>
            <w:r>
              <w:rPr>
                <w:rFonts w:hint="eastAsia" w:ascii="宋体" w:hAnsi="宋体"/>
                <w:color w:val="000000" w:themeColor="text1"/>
                <w:szCs w:val="21"/>
                <w:highlight w:val="none"/>
                <w:lang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在领取</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345"/>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76723EC9">
      <w:pPr>
        <w:spacing w:line="360" w:lineRule="auto"/>
        <w:rPr>
          <w:rFonts w:hint="eastAsia" w:ascii="宋体" w:hAnsi="宋体" w:eastAsia="宋体" w:cs="宋体"/>
          <w:b/>
          <w:color w:val="000000" w:themeColor="text1"/>
          <w:sz w:val="22"/>
          <w:szCs w:val="22"/>
          <w:highlight w:val="none"/>
          <w:lang w:val="en-US" w:eastAsia="zh-CN"/>
          <w14:textFill>
            <w14:solidFill>
              <w14:schemeClr w14:val="tx1"/>
            </w14:solidFill>
          </w14:textFill>
        </w:rPr>
      </w:pPr>
      <w:r>
        <w:rPr>
          <w:rFonts w:hint="eastAsia" w:ascii="宋体" w:hAnsi="宋体" w:eastAsia="宋体" w:cs="宋体"/>
          <w:b/>
          <w:color w:val="000000" w:themeColor="text1"/>
          <w:sz w:val="22"/>
          <w:szCs w:val="22"/>
          <w:highlight w:val="none"/>
          <w:lang w:val="en-US" w:eastAsia="zh-CN"/>
          <w14:textFill>
            <w14:solidFill>
              <w14:schemeClr w14:val="tx1"/>
            </w14:solidFill>
          </w14:textFill>
        </w:rPr>
        <w:t>一</w:t>
      </w:r>
      <w:r>
        <w:rPr>
          <w:rFonts w:hint="eastAsia" w:ascii="宋体" w:hAnsi="宋体" w:eastAsia="宋体" w:cs="宋体"/>
          <w:b/>
          <w:color w:val="000000" w:themeColor="text1"/>
          <w:sz w:val="22"/>
          <w:szCs w:val="22"/>
          <w:highlight w:val="none"/>
          <w14:textFill>
            <w14:solidFill>
              <w14:schemeClr w14:val="tx1"/>
            </w14:solidFill>
          </w14:textFill>
        </w:rPr>
        <w:t>、设备明细及技术参数</w:t>
      </w:r>
      <w:r>
        <w:rPr>
          <w:rFonts w:hint="eastAsia" w:ascii="宋体" w:hAnsi="宋体" w:eastAsia="宋体" w:cs="宋体"/>
          <w:b/>
          <w:color w:val="000000" w:themeColor="text1"/>
          <w:sz w:val="22"/>
          <w:szCs w:val="22"/>
          <w:highlight w:val="none"/>
          <w:lang w:val="en-US" w:eastAsia="zh-CN"/>
          <w14:textFill>
            <w14:solidFill>
              <w14:schemeClr w14:val="tx1"/>
            </w14:solidFill>
          </w14:textFill>
        </w:rPr>
        <w:t>要求</w:t>
      </w:r>
    </w:p>
    <w:tbl>
      <w:tblPr>
        <w:tblStyle w:val="52"/>
        <w:tblW w:w="962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103"/>
        <w:gridCol w:w="5892"/>
        <w:gridCol w:w="992"/>
        <w:gridCol w:w="992"/>
      </w:tblGrid>
      <w:tr w14:paraId="2AACAC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857448">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103"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916118">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color w:val="000000" w:themeColor="text1"/>
                <w:sz w:val="21"/>
                <w:szCs w:val="21"/>
                <w:highlight w:val="none"/>
                <w14:textFill>
                  <w14:solidFill>
                    <w14:schemeClr w14:val="tx1"/>
                  </w14:solidFill>
                </w14:textFill>
              </w:rPr>
              <w:t>名称</w:t>
            </w:r>
          </w:p>
        </w:tc>
        <w:tc>
          <w:tcPr>
            <w:tcW w:w="58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E7DF5A">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技术参数</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要求</w:t>
            </w:r>
          </w:p>
        </w:tc>
        <w:tc>
          <w:tcPr>
            <w:tcW w:w="9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9362F4E">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w:t>
            </w:r>
          </w:p>
        </w:tc>
        <w:tc>
          <w:tcPr>
            <w:tcW w:w="99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CB1991D">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r>
      <w:tr w14:paraId="0A0F4A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2092A91">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10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92661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8"/>
                <w:sz w:val="21"/>
                <w:szCs w:val="21"/>
                <w:highlight w:val="none"/>
                <w:lang w:val="en-US" w:eastAsia="zh-CN"/>
                <w14:textFill>
                  <w14:solidFill>
                    <w14:schemeClr w14:val="tx1"/>
                  </w14:solidFill>
                </w14:textFill>
              </w:rPr>
              <w:t>考生</w:t>
            </w:r>
            <w:r>
              <w:rPr>
                <w:rFonts w:hint="eastAsia" w:ascii="宋体" w:hAnsi="宋体" w:eastAsia="宋体" w:cs="宋体"/>
                <w:b w:val="0"/>
                <w:bCs/>
                <w:color w:val="000000" w:themeColor="text1"/>
                <w:spacing w:val="8"/>
                <w:sz w:val="21"/>
                <w:szCs w:val="21"/>
                <w:highlight w:val="none"/>
                <w14:textFill>
                  <w14:solidFill>
                    <w14:schemeClr w14:val="tx1"/>
                  </w14:solidFill>
                </w14:textFill>
              </w:rPr>
              <w:t>身份识别</w:t>
            </w:r>
            <w:r>
              <w:rPr>
                <w:rFonts w:hint="eastAsia" w:ascii="宋体" w:hAnsi="宋体" w:eastAsia="宋体" w:cs="宋体"/>
                <w:b w:val="0"/>
                <w:bCs/>
                <w:color w:val="000000" w:themeColor="text1"/>
                <w:spacing w:val="8"/>
                <w:sz w:val="21"/>
                <w:szCs w:val="21"/>
                <w:highlight w:val="none"/>
                <w:lang w:val="en-US" w:eastAsia="zh-CN"/>
                <w14:textFill>
                  <w14:solidFill>
                    <w14:schemeClr w14:val="tx1"/>
                  </w14:solidFill>
                </w14:textFill>
              </w:rPr>
              <w:t>终端</w:t>
            </w:r>
          </w:p>
        </w:tc>
        <w:tc>
          <w:tcPr>
            <w:tcW w:w="58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7DAF54">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1:1人脸识别功能。支持分别将报名时照片、身份证照片与实时采集的人脸图像进行1:1人脸比对。</w:t>
            </w:r>
            <w:r>
              <w:rPr>
                <w:rFonts w:hint="eastAsia" w:ascii="宋体" w:hAnsi="宋体" w:eastAsia="宋体" w:cs="宋体"/>
                <w:color w:val="000000" w:themeColor="text1"/>
                <w:sz w:val="21"/>
                <w:szCs w:val="21"/>
                <w:highlight w:val="none"/>
                <w:lang w:val="en-US" w:eastAsia="zh-CN"/>
                <w14:textFill>
                  <w14:solidFill>
                    <w14:schemeClr w14:val="tx1"/>
                  </w14:solidFill>
                </w14:textFill>
              </w:rPr>
              <w:t>已符合</w:t>
            </w:r>
            <w:r>
              <w:rPr>
                <w:rFonts w:hint="eastAsia" w:ascii="宋体" w:hAnsi="宋体" w:eastAsia="宋体" w:cs="宋体"/>
                <w:color w:val="000000" w:themeColor="text1"/>
                <w:sz w:val="21"/>
                <w:szCs w:val="21"/>
                <w:highlight w:val="none"/>
                <w14:textFill>
                  <w14:solidFill>
                    <w14:schemeClr w14:val="tx1"/>
                  </w14:solidFill>
                </w14:textFill>
              </w:rPr>
              <w:t>GB/T 36449-2018电子考场系统通用要求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与</w:t>
            </w:r>
            <w:r>
              <w:rPr>
                <w:rFonts w:hint="eastAsia" w:ascii="宋体" w:hAnsi="宋体" w:eastAsia="宋体" w:cs="宋体"/>
                <w:color w:val="000000" w:themeColor="text1"/>
                <w:sz w:val="21"/>
                <w:szCs w:val="21"/>
                <w:highlight w:val="none"/>
                <w14:textFill>
                  <w14:solidFill>
                    <w14:schemeClr w14:val="tx1"/>
                  </w14:solidFill>
                </w14:textFill>
              </w:rPr>
              <w:t>GB/T 38427. 1-2019生物特征识别防伪技术要求第1部分:人脸识别</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技术标准；</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0CD0A16E">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人脸识别技术核验时，其应用安全级别应为GB/T 38427.1-2019 7.2中的B级。</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47FF5B4F">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▲支持对两眼间距不小于30像素的人脸进行识别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支持对水平转动角不超过±30°、俯仰角不超过±20°.倾斜角不超过±45°的人脸图像进行识别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建议水平转动角不超过±15°、俯仰角不超过±10°、倾斜角不超过±15°；支持对饰物不遮挡脸部主要区域</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饰物如深色墨镜、口罩和夸张首饰等人脸图像进行识别。</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36A798D8">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人脸图像识别的</w:t>
            </w:r>
            <w:r>
              <w:rPr>
                <w:rFonts w:hint="eastAsia" w:ascii="宋体" w:hAnsi="宋体" w:eastAsia="宋体" w:cs="宋体"/>
                <w:color w:val="000000" w:themeColor="text1"/>
                <w:sz w:val="21"/>
                <w:szCs w:val="21"/>
                <w:highlight w:val="none"/>
                <w14:textFill>
                  <w14:solidFill>
                    <w14:schemeClr w14:val="tx1"/>
                  </w14:solidFill>
                </w14:textFill>
              </w:rPr>
              <w:t>图像格式</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为BMP、JPEG、 JPEG2000三种编码方式中的任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种。</w:t>
            </w:r>
          </w:p>
          <w:p w14:paraId="72ED0A4A">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支持查询和统计采集记录，并支持按上传状态方式查看采集记录详情。</w:t>
            </w:r>
          </w:p>
          <w:p w14:paraId="069BA6AE">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支持通过专用硬件设备进行人脸信息的采集认证，人脸信息的采集应具有能够满足认证要求的清晰度。</w:t>
            </w:r>
          </w:p>
          <w:p w14:paraId="5D793FF9">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支持对无法人脸识别的考生进行人工审核</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C74B9C4">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支持录入模拟考生详细资料，包括考生号、姓名、公民身份号码、考点、考场、照片等。</w:t>
            </w:r>
          </w:p>
          <w:p w14:paraId="5BBB082C">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支持配置学校代码、网络和对应的学校服务器；支持在线更新软件版本；支持设置应用模式、验证方式、使用模式及验证流程。</w:t>
            </w:r>
          </w:p>
          <w:p w14:paraId="1D32A05B">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支持在采集模式下，将离线采集数据统一联网上传或通过U盘、移动硬盘等移动介质导出上传至考生身份识别管理平台；支持在认证模式下，软件应支持按考点下载或通过U盘（移动硬盘等）移动介质导入考生编排数据；同时支持通过U盘（移动硬盘等移）动介质导出验证数据上传至考生身份识别管理平台。</w:t>
            </w:r>
          </w:p>
          <w:p w14:paraId="12423D85">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支持查看具体考场的验证进度，其中应包括已验证的考生、未验证的考生、拒绝入场的考生、缺考考生和违纪考生；能实际反映出考生的验证轨迹，可对异常考生进行溯源追踪；支持按座位号和考生号查询考生信息及考试相关信息，并支持对异常情况进行人工预。</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53EEABF1">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▲支持考点验证功能，其中验证的对象应为整个考点的考生；支持考场验证功能，其中验证的对象应为具体单个或多个考场的考生。</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2B3B85EC">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▲支持验证后显示当前考生的姓名、性别、公民身份号码、报名时采集的相片、考生号、考场、座位号、考试科目、识别比对结果等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15C1A0A1">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▲支持验证记录功能，并能按考点、考场统计验证情况，其中应包括考试科目、考场编号、考场总人数、通过人数、不通过人数、未验证人数和上传结果（未上传和已上传） ；支持实时按考点、考场、考生上传验证数据；支持一键.上传全部未上传的验证数据。</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03F2382E">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支持按科目和考场查看考生验证情况及上传进度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1A9B1B">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目标人现场照片采集过程中宜采用活体检测技术抵御假体攻击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已符合GB/T 38427.1-2019（6.1.1）要求</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（提供第三方检测机构出具的检测报告复印件并加盖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p w14:paraId="3604B224">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采用1:1人脸验证的非目标人错误接受率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0.1%时，目标人正确接受率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99%。</w:t>
            </w:r>
          </w:p>
          <w:p w14:paraId="00079E60">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b/>
                <w:bCs/>
                <w:color w:val="000000" w:themeColor="text1"/>
                <w:sz w:val="21"/>
                <w:szCs w:val="21"/>
                <w:highlight w:val="none"/>
                <w14:textFill>
                  <w14:solidFill>
                    <w14:schemeClr w14:val="tx1"/>
                  </w14:solidFill>
                </w14:textFill>
              </w:rPr>
              <w:t>▲提供所投</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产品</w:t>
            </w:r>
            <w:r>
              <w:rPr>
                <w:rStyle w:val="356"/>
                <w:rFonts w:hint="eastAsia" w:ascii="宋体" w:hAnsi="宋体" w:eastAsia="宋体" w:cs="宋体"/>
                <w:b/>
                <w:bCs/>
                <w:color w:val="000000" w:themeColor="text1"/>
                <w:sz w:val="21"/>
                <w:szCs w:val="21"/>
                <w:highlight w:val="none"/>
                <w:lang w:bidi="ar"/>
                <w14:textFill>
                  <w14:solidFill>
                    <w14:schemeClr w14:val="tx1"/>
                  </w14:solidFill>
                </w14:textFill>
              </w:rPr>
              <w:t>符合《电子考场系统通用要求》GB/T 36449 2018</w:t>
            </w:r>
            <w:r>
              <w:rPr>
                <w:rStyle w:val="356"/>
                <w:rFonts w:hint="eastAsia" w:ascii="宋体" w:hAnsi="宋体" w:eastAsia="宋体" w:cs="宋体"/>
                <w:b/>
                <w:bCs/>
                <w:color w:val="000000" w:themeColor="text1"/>
                <w:sz w:val="21"/>
                <w:szCs w:val="21"/>
                <w:highlight w:val="none"/>
                <w:lang w:val="en-US" w:eastAsia="zh-CN" w:bidi="ar"/>
                <w14:textFill>
                  <w14:solidFill>
                    <w14:schemeClr w14:val="tx1"/>
                  </w14:solidFill>
                </w14:textFill>
              </w:rPr>
              <w:t>与《</w:t>
            </w:r>
            <w:r>
              <w:rPr>
                <w:rFonts w:hint="eastAsia" w:ascii="宋体" w:hAnsi="宋体" w:eastAsia="宋体" w:cs="宋体"/>
                <w:b/>
                <w:bCs/>
                <w:color w:val="000000" w:themeColor="text1"/>
                <w:sz w:val="21"/>
                <w:szCs w:val="21"/>
                <w:highlight w:val="none"/>
                <w14:textFill>
                  <w14:solidFill>
                    <w14:schemeClr w14:val="tx1"/>
                  </w14:solidFill>
                </w14:textFill>
              </w:rPr>
              <w:t>生物特征识别防伪技术要求第1部分:人脸识别</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技术标准</w:t>
            </w:r>
            <w:r>
              <w:rPr>
                <w:rStyle w:val="356"/>
                <w:rFonts w:hint="eastAsia" w:ascii="宋体" w:hAnsi="宋体" w:eastAsia="宋体" w:cs="宋体"/>
                <w:b/>
                <w:bCs/>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GB/T 38427.1-2019</w:t>
            </w:r>
            <w:r>
              <w:rPr>
                <w:rStyle w:val="356"/>
                <w:rFonts w:hint="eastAsia" w:ascii="宋体" w:hAnsi="宋体" w:eastAsia="宋体" w:cs="宋体"/>
                <w:b/>
                <w:bCs/>
                <w:color w:val="000000" w:themeColor="text1"/>
                <w:sz w:val="21"/>
                <w:szCs w:val="21"/>
                <w:highlight w:val="none"/>
                <w:lang w:bidi="ar"/>
                <w14:textFill>
                  <w14:solidFill>
                    <w14:schemeClr w14:val="tx1"/>
                  </w14:solidFill>
                </w14:textFill>
              </w:rPr>
              <w:t>公安部检测报告复印件并加盖</w:t>
            </w:r>
            <w:r>
              <w:rPr>
                <w:rStyle w:val="356"/>
                <w:rFonts w:hint="eastAsia" w:ascii="宋体" w:hAnsi="宋体" w:eastAsia="宋体" w:cs="宋体"/>
                <w:b/>
                <w:bCs/>
                <w:color w:val="000000" w:themeColor="text1"/>
                <w:sz w:val="21"/>
                <w:szCs w:val="21"/>
                <w:highlight w:val="none"/>
                <w:lang w:val="en-US" w:eastAsia="zh-CN" w:bidi="ar"/>
                <w14:textFill>
                  <w14:solidFill>
                    <w14:schemeClr w14:val="tx1"/>
                  </w14:solidFill>
                </w14:textFill>
              </w:rPr>
              <w:t>供应商</w:t>
            </w:r>
            <w:r>
              <w:rPr>
                <w:rStyle w:val="356"/>
                <w:rFonts w:hint="eastAsia" w:ascii="宋体" w:hAnsi="宋体" w:eastAsia="宋体" w:cs="宋体"/>
                <w:b/>
                <w:bCs/>
                <w:color w:val="000000" w:themeColor="text1"/>
                <w:sz w:val="21"/>
                <w:szCs w:val="21"/>
                <w:highlight w:val="none"/>
                <w:lang w:bidi="ar"/>
                <w14:textFill>
                  <w14:solidFill>
                    <w14:schemeClr w14:val="tx1"/>
                  </w14:solidFill>
                </w14:textFill>
              </w:rPr>
              <w:t>公章</w:t>
            </w:r>
            <w:r>
              <w:rPr>
                <w:rStyle w:val="356"/>
                <w:rFonts w:hint="eastAsia" w:ascii="宋体" w:hAnsi="宋体" w:eastAsia="宋体" w:cs="宋体"/>
                <w:b/>
                <w:bCs/>
                <w:color w:val="000000" w:themeColor="text1"/>
                <w:sz w:val="21"/>
                <w:szCs w:val="21"/>
                <w:highlight w:val="none"/>
                <w:lang w:eastAsia="zh-CN" w:bidi="ar"/>
                <w14:textFill>
                  <w14:solidFill>
                    <w14:schemeClr w14:val="tx1"/>
                  </w14:solidFill>
                </w14:textFill>
              </w:rPr>
              <w:t>。</w:t>
            </w:r>
          </w:p>
          <w:p w14:paraId="6C127918">
            <w:pPr>
              <w:pStyle w:val="106"/>
              <w:keepNext w:val="0"/>
              <w:keepLines w:val="0"/>
              <w:pageBreakBefore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19.</w:t>
            </w:r>
            <w:r>
              <w:rPr>
                <w:rStyle w:val="356"/>
                <w:rFonts w:hint="eastAsia" w:ascii="宋体" w:hAnsi="宋体" w:eastAsia="宋体" w:cs="宋体"/>
                <w:color w:val="000000" w:themeColor="text1"/>
                <w:sz w:val="21"/>
                <w:szCs w:val="21"/>
                <w:highlight w:val="none"/>
                <w:lang w:val="en-US" w:eastAsia="zh-CN" w:bidi="ar"/>
                <w14:textFill>
                  <w14:solidFill>
                    <w14:schemeClr w14:val="tx1"/>
                  </w14:solidFill>
                </w14:textFill>
              </w:rPr>
              <w:t>硬件配置</w:t>
            </w:r>
          </w:p>
          <w:p w14:paraId="03EF4128">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操作系统：Android</w:t>
            </w:r>
            <w:r>
              <w:rPr>
                <w:rFonts w:hint="eastAsia" w:ascii="宋体" w:hAnsi="宋体" w:eastAsia="宋体" w:cs="宋体"/>
                <w:color w:val="000000" w:themeColor="text1"/>
                <w:sz w:val="21"/>
                <w:szCs w:val="21"/>
                <w:highlight w:val="none"/>
                <w:lang w:val="en-US" w:eastAsia="zh-CN"/>
                <w14:textFill>
                  <w14:solidFill>
                    <w14:schemeClr w14:val="tx1"/>
                  </w14:solidFill>
                </w14:textFill>
              </w:rPr>
              <w:t>8及以上</w:t>
            </w:r>
          </w:p>
          <w:p w14:paraId="4A423197">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CPU：</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八核</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GHz</w:t>
            </w:r>
          </w:p>
          <w:p w14:paraId="60FB0701">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内存：</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3GB\32G</w:t>
            </w:r>
          </w:p>
          <w:p w14:paraId="39DA8351">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显示屏:采用8.0英寸;屏幕分辨率:1440*800;触摸屏:电容式，多点触控</w:t>
            </w:r>
          </w:p>
          <w:p w14:paraId="405B4C82">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摄像头:采用前置800万、后置1300万摄像头</w:t>
            </w:r>
          </w:p>
          <w:p w14:paraId="52F3F7F8">
            <w:pPr>
              <w:pStyle w:val="106"/>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补光灯:具有2个LED面光源补光灯(非点光源)，可适用各种考试环境适用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FF9903">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99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3E8BBB">
            <w:pPr>
              <w:pStyle w:val="35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p>
        </w:tc>
      </w:tr>
    </w:tbl>
    <w:p w14:paraId="3DBA7C2B">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8863"/>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56648358"/>
      <w:bookmarkStart w:id="116" w:name="_Toc456272919"/>
      <w:bookmarkStart w:id="117" w:name="_Toc434832495"/>
      <w:bookmarkStart w:id="118" w:name="_Toc14150"/>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16445"/>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26885"/>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6740"/>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24421"/>
      <w:bookmarkStart w:id="128"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632124"/>
      <w:bookmarkStart w:id="130" w:name="_Toc12649"/>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4900"/>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29771"/>
      <w:bookmarkStart w:id="134" w:name="_Toc464632126"/>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7"/>
      <w:bookmarkStart w:id="136" w:name="_Toc21692"/>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464632128"/>
      <w:bookmarkStart w:id="138" w:name="_Toc893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14413"/>
      <w:bookmarkStart w:id="141" w:name="_Toc322033397"/>
      <w:bookmarkStart w:id="142" w:name="_Toc464632129"/>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19726"/>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322033399"/>
      <w:bookmarkStart w:id="147" w:name="_Toc464632132"/>
      <w:bookmarkStart w:id="148" w:name="_Toc345675376"/>
      <w:bookmarkStart w:id="149" w:name="_Toc20995"/>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9608"/>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533730F6">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1164A7E6">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0AF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FA84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FA5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BF4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8986547">
        <w:tblPrEx>
          <w:shd w:val="clear" w:color="auto" w:fill="FFFFFF"/>
          <w:tblCellMar>
            <w:top w:w="0" w:type="dxa"/>
            <w:left w:w="0" w:type="dxa"/>
            <w:bottom w:w="0" w:type="dxa"/>
            <w:right w:w="0" w:type="dxa"/>
          </w:tblCellMar>
        </w:tblPrEx>
        <w:trPr>
          <w:cantSplit/>
          <w:trHeight w:val="1454"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FA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64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66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67DA2">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 w:val="0"/>
                <w:bCs w:val="0"/>
                <w:color w:val="000000" w:themeColor="text1"/>
                <w:sz w:val="21"/>
                <w:szCs w:val="21"/>
                <w:highlight w:val="none"/>
                <w14:textFill>
                  <w14:solidFill>
                    <w14:schemeClr w14:val="tx1"/>
                  </w14:solidFill>
                </w14:textFill>
              </w:rPr>
              <w:t>文件对应</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58459EC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本项目技术要求中带“▲”的为重要技术参数，未响应或不满足，每项扣</w:t>
            </w:r>
            <w:r>
              <w:rPr>
                <w:rFonts w:hint="eastAsia" w:ascii="宋体" w:hAnsi="宋体" w:cs="宋体"/>
                <w:strike w:val="0"/>
                <w:dstrike w:val="0"/>
                <w:color w:val="000000" w:themeColor="text1"/>
                <w:kern w:val="2"/>
                <w:szCs w:val="21"/>
                <w:highlight w:val="none"/>
                <w:lang w:val="en-US" w:eastAsia="zh-CN"/>
                <w14:textFill>
                  <w14:solidFill>
                    <w14:schemeClr w14:val="tx1"/>
                  </w14:solidFill>
                </w14:textFill>
              </w:rPr>
              <w:t>2</w:t>
            </w:r>
            <w:r>
              <w:rPr>
                <w:rFonts w:hint="eastAsia" w:ascii="宋体" w:hAnsi="宋体" w:eastAsia="宋体" w:cs="宋体"/>
                <w:strike w:val="0"/>
                <w:dstrike w:val="0"/>
                <w:color w:val="000000" w:themeColor="text1"/>
                <w:kern w:val="2"/>
                <w:szCs w:val="21"/>
                <w:highlight w:val="none"/>
                <w:lang w:val="en-US" w:eastAsia="zh-CN"/>
                <w14:textFill>
                  <w14:solidFill>
                    <w14:schemeClr w14:val="tx1"/>
                  </w14:solidFill>
                </w14:textFill>
              </w:rPr>
              <w:t>分</w:t>
            </w:r>
            <w:r>
              <w:rPr>
                <w:rFonts w:hint="eastAsia" w:ascii="宋体" w:hAnsi="宋体" w:eastAsia="宋体" w:cs="宋体"/>
                <w:color w:val="000000" w:themeColor="text1"/>
                <w:kern w:val="2"/>
                <w:szCs w:val="21"/>
                <w:highlight w:val="none"/>
                <w14:textFill>
                  <w14:solidFill>
                    <w14:schemeClr w14:val="tx1"/>
                  </w14:solidFill>
                </w14:textFill>
              </w:rPr>
              <w:t>。</w:t>
            </w:r>
          </w:p>
          <w:p w14:paraId="7FEC294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w:t>
            </w:r>
            <w:r>
              <w:rPr>
                <w:rFonts w:hint="eastAsia" w:ascii="宋体" w:hAnsi="宋体" w:cs="宋体"/>
                <w:color w:val="000000" w:themeColor="text1"/>
                <w:kern w:val="2"/>
                <w:szCs w:val="21"/>
                <w:highlight w:val="none"/>
                <w:lang w:val="en-US" w:eastAsia="zh-CN"/>
                <w14:textFill>
                  <w14:solidFill>
                    <w14:schemeClr w14:val="tx1"/>
                  </w14:solidFill>
                </w14:textFill>
              </w:rPr>
              <w:t>按</w:t>
            </w:r>
            <w:r>
              <w:rPr>
                <w:rFonts w:hint="eastAsia" w:ascii="宋体" w:hAnsi="宋体" w:eastAsia="宋体" w:cs="宋体"/>
                <w:color w:val="000000" w:themeColor="text1"/>
                <w:kern w:val="2"/>
                <w:szCs w:val="21"/>
                <w:highlight w:val="none"/>
                <w14:textFill>
                  <w14:solidFill>
                    <w14:schemeClr w14:val="tx1"/>
                  </w14:solidFill>
                </w14:textFill>
              </w:rPr>
              <w:t>技术要求提供证明资料</w:t>
            </w:r>
            <w:r>
              <w:rPr>
                <w:rFonts w:hint="eastAsia" w:ascii="宋体" w:hAnsi="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76F6A313">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06EC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8AF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C42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EEFE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24955A6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CAFEAE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D528F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1BC2FD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3456B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B29C3D8">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5BAC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63B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730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3AC56C">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048628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7FC23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EF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37F57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678600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79BBFB7">
        <w:tblPrEx>
          <w:shd w:val="clear" w:color="auto" w:fill="FFFFFF"/>
          <w:tblCellMar>
            <w:top w:w="0" w:type="dxa"/>
            <w:left w:w="0" w:type="dxa"/>
            <w:bottom w:w="0" w:type="dxa"/>
            <w:right w:w="0" w:type="dxa"/>
          </w:tblCellMar>
        </w:tblPrEx>
        <w:trPr>
          <w:cantSplit/>
          <w:trHeight w:val="527"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905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D8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B28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5963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A21688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31914BA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53FE5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F5676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3AB3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5B84094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0B4297FC">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7B68FE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DEFDA3B">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05B91CF">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24AD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154DBF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0036D4B">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086C59AC">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AFDCF4D">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1D5D8B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3F5DC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4B49B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D5A0B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A6B93BB">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66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2B1B79F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ADC846">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B41EFB6">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58E73B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针对本项目的售后服务方案进行评审： </w:t>
            </w:r>
          </w:p>
          <w:p w14:paraId="571331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72D78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576303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0BC1E0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582C13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29E5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589" w:type="dxa"/>
            <w:gridSpan w:val="2"/>
            <w:vAlign w:val="center"/>
          </w:tcPr>
          <w:p w14:paraId="75E9E6D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E4B98C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BFFD1B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4B2DB7E">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468157562"/>
      <w:bookmarkStart w:id="154" w:name="_Toc480010734"/>
      <w:bookmarkStart w:id="155" w:name="_Toc500861024"/>
      <w:bookmarkStart w:id="156" w:name="_Toc467236766"/>
      <w:bookmarkStart w:id="157" w:name="_Toc480021079"/>
      <w:bookmarkStart w:id="158" w:name="_Toc479991608"/>
      <w:bookmarkStart w:id="159" w:name="_Toc467987849"/>
      <w:bookmarkStart w:id="160" w:name="_Toc468606055"/>
      <w:bookmarkStart w:id="161" w:name="_Toc491658677"/>
      <w:bookmarkStart w:id="162" w:name="_Toc480020283"/>
      <w:bookmarkStart w:id="163" w:name="_Toc6727972"/>
      <w:bookmarkStart w:id="164" w:name="_Toc6397151"/>
      <w:bookmarkStart w:id="165" w:name="_Toc491658680"/>
      <w:bookmarkStart w:id="166" w:name="_Toc500861027"/>
      <w:bookmarkStart w:id="167" w:name="_Toc26066260"/>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500843104"/>
      <w:bookmarkStart w:id="169" w:name="_Toc20122"/>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925"/>
        <w:gridCol w:w="2494"/>
        <w:gridCol w:w="3037"/>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92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494"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3037"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92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3037"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92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3037"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92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494"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3037"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0459994"/>
      <w:bookmarkStart w:id="180" w:name="_Toc342060383"/>
      <w:bookmarkStart w:id="181" w:name="_Toc345513910"/>
      <w:bookmarkStart w:id="182" w:name="_Toc365985187"/>
      <w:bookmarkStart w:id="183" w:name="_Toc366072538"/>
      <w:bookmarkStart w:id="184" w:name="_Toc333237686"/>
      <w:bookmarkStart w:id="185" w:name="_Toc365967081"/>
      <w:bookmarkStart w:id="186" w:name="_Toc339441096"/>
      <w:bookmarkStart w:id="187" w:name="_Toc332270355"/>
      <w:bookmarkStart w:id="188" w:name="_Toc333935696"/>
      <w:bookmarkStart w:id="189" w:name="_Toc339020104"/>
      <w:bookmarkStart w:id="190" w:name="_Toc337632367"/>
      <w:bookmarkStart w:id="191" w:name="_Toc336681944"/>
      <w:bookmarkStart w:id="192" w:name="_Toc331684047"/>
      <w:bookmarkStart w:id="193" w:name="_Toc333237797"/>
      <w:bookmarkStart w:id="194" w:name="_Toc350438758"/>
      <w:bookmarkStart w:id="195" w:name="_Toc333935355"/>
      <w:bookmarkStart w:id="196" w:name="_Toc332206717"/>
      <w:bookmarkStart w:id="197" w:name="_Toc340677079"/>
      <w:bookmarkStart w:id="198" w:name="_Toc350756459"/>
      <w:bookmarkStart w:id="199" w:name="_Toc341348347"/>
      <w:bookmarkStart w:id="200" w:name="_Toc339020024"/>
      <w:bookmarkStart w:id="201" w:name="_Toc331512907"/>
      <w:bookmarkStart w:id="202" w:name="_Toc339020242"/>
      <w:bookmarkStart w:id="203" w:name="_Toc340507451"/>
      <w:bookmarkStart w:id="204" w:name="_Toc349143598"/>
      <w:bookmarkStart w:id="205" w:name="_Toc339019898"/>
      <w:bookmarkStart w:id="206" w:name="_Toc342296769"/>
      <w:bookmarkStart w:id="207" w:name="_Toc336681589"/>
      <w:bookmarkStart w:id="208" w:name="_Toc333238642"/>
      <w:bookmarkStart w:id="209" w:name="_Toc339362309"/>
      <w:bookmarkStart w:id="210" w:name="_Toc340672878"/>
      <w:bookmarkStart w:id="211" w:name="_Toc374454610"/>
      <w:bookmarkStart w:id="212" w:name="_Toc349127635"/>
      <w:bookmarkStart w:id="213" w:name="_Toc18901"/>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31684048"/>
      <w:bookmarkStart w:id="216" w:name="_Toc365985188"/>
      <w:bookmarkStart w:id="217" w:name="_Toc350756460"/>
      <w:bookmarkStart w:id="218" w:name="_Toc340672879"/>
      <w:bookmarkStart w:id="219" w:name="_Toc339020025"/>
      <w:bookmarkStart w:id="220" w:name="_Toc366072539"/>
      <w:bookmarkStart w:id="221" w:name="_Toc332270356"/>
      <w:bookmarkStart w:id="222" w:name="_Toc332206718"/>
      <w:bookmarkStart w:id="223" w:name="_Toc349143599"/>
      <w:bookmarkStart w:id="224" w:name="_Toc500861025"/>
      <w:bookmarkStart w:id="225" w:name="_Toc333238643"/>
      <w:bookmarkStart w:id="226" w:name="_Toc342296770"/>
      <w:bookmarkStart w:id="227" w:name="_Toc342060384"/>
      <w:bookmarkStart w:id="228" w:name="_Toc341348348"/>
      <w:bookmarkStart w:id="229" w:name="_Toc365967082"/>
      <w:bookmarkStart w:id="230" w:name="_Toc350438759"/>
      <w:bookmarkStart w:id="231" w:name="_Toc339441097"/>
      <w:bookmarkStart w:id="232" w:name="_Toc333237687"/>
      <w:bookmarkStart w:id="233" w:name="_Toc491658678"/>
      <w:bookmarkStart w:id="234" w:name="_Toc330459995"/>
      <w:bookmarkStart w:id="235" w:name="_Toc349127636"/>
      <w:bookmarkStart w:id="236" w:name="_Toc333237798"/>
      <w:bookmarkStart w:id="237" w:name="_Toc333935356"/>
      <w:bookmarkStart w:id="238" w:name="_Toc333935697"/>
      <w:bookmarkStart w:id="239" w:name="_Toc337632368"/>
      <w:bookmarkStart w:id="240" w:name="_Toc339362310"/>
      <w:bookmarkStart w:id="241" w:name="_Toc345513911"/>
      <w:bookmarkStart w:id="242" w:name="_Toc336681590"/>
      <w:bookmarkStart w:id="243" w:name="_Toc340677080"/>
      <w:bookmarkStart w:id="244" w:name="_Toc339020243"/>
      <w:bookmarkStart w:id="245" w:name="_Toc339019899"/>
      <w:bookmarkStart w:id="246" w:name="_Toc340507452"/>
      <w:bookmarkStart w:id="247" w:name="_Toc336681945"/>
      <w:bookmarkStart w:id="248" w:name="_Toc339020105"/>
      <w:bookmarkStart w:id="249" w:name="_Toc331512908"/>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4317"/>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42296771"/>
      <w:bookmarkStart w:id="254" w:name="_Toc331512909"/>
      <w:bookmarkStart w:id="255" w:name="_Toc333237799"/>
      <w:bookmarkStart w:id="256" w:name="_Toc349143600"/>
      <w:bookmarkStart w:id="257" w:name="_Toc365967083"/>
      <w:bookmarkStart w:id="258" w:name="_Toc333237688"/>
      <w:bookmarkStart w:id="259" w:name="_Toc330459996"/>
      <w:bookmarkStart w:id="260" w:name="_Toc332206719"/>
      <w:bookmarkStart w:id="261" w:name="_Toc366072540"/>
      <w:bookmarkStart w:id="262" w:name="_Toc339020244"/>
      <w:bookmarkStart w:id="263" w:name="_Toc333935698"/>
      <w:bookmarkStart w:id="264" w:name="_Toc332270357"/>
      <w:bookmarkStart w:id="265" w:name="_Toc336681946"/>
      <w:bookmarkStart w:id="266" w:name="_Toc345513912"/>
      <w:bookmarkStart w:id="267" w:name="_Toc339019900"/>
      <w:bookmarkStart w:id="268" w:name="_Toc331684049"/>
      <w:bookmarkStart w:id="269" w:name="_Toc336681591"/>
      <w:bookmarkStart w:id="270" w:name="_Toc340672880"/>
      <w:bookmarkStart w:id="271" w:name="_Toc340507453"/>
      <w:bookmarkStart w:id="272" w:name="_Toc339441098"/>
      <w:bookmarkStart w:id="273" w:name="_Toc342060385"/>
      <w:bookmarkStart w:id="274" w:name="_Toc333935357"/>
      <w:bookmarkStart w:id="275" w:name="_Toc15052"/>
      <w:bookmarkStart w:id="276" w:name="_Toc333238644"/>
      <w:bookmarkStart w:id="277" w:name="_Toc339020026"/>
      <w:bookmarkStart w:id="278" w:name="_Toc339020106"/>
      <w:bookmarkStart w:id="279" w:name="_Toc349127637"/>
      <w:bookmarkStart w:id="280" w:name="_Toc337632369"/>
      <w:bookmarkStart w:id="281" w:name="_Toc350438760"/>
      <w:bookmarkStart w:id="282" w:name="_Toc339362311"/>
      <w:bookmarkStart w:id="283" w:name="_Toc350756461"/>
      <w:bookmarkStart w:id="284" w:name="_Toc365985189"/>
      <w:bookmarkStart w:id="285" w:name="_Toc341348349"/>
      <w:bookmarkStart w:id="286" w:name="_Toc340677081"/>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YXCG-20260114</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1117"/>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18086"/>
      <w:bookmarkStart w:id="289" w:name="_Toc17474"/>
      <w:bookmarkStart w:id="290" w:name="_Toc31777"/>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B74EB4A">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469160785"/>
      <w:bookmarkStart w:id="292" w:name="_Toc200414515"/>
      <w:bookmarkStart w:id="293" w:name="_Toc5816"/>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469160786"/>
      <w:bookmarkStart w:id="295" w:name="_Toc28953"/>
      <w:bookmarkStart w:id="296"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00414517"/>
      <w:bookmarkStart w:id="299" w:name="_Toc5148"/>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24142"/>
      <w:bookmarkStart w:id="301" w:name="_Toc6326"/>
      <w:bookmarkStart w:id="302" w:name="_Toc469160793"/>
      <w:bookmarkStart w:id="303"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18676"/>
      <w:bookmarkStart w:id="305" w:name="_Toc469160794"/>
      <w:bookmarkStart w:id="306"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469160795"/>
      <w:bookmarkStart w:id="308" w:name="_Toc17535"/>
      <w:bookmarkStart w:id="309" w:name="_Toc200414525"/>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469160796"/>
      <w:bookmarkStart w:id="311" w:name="_Toc6618"/>
      <w:bookmarkStart w:id="312"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阳江市第二中学考生身份识别终端采购项目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469160797"/>
      <w:bookmarkStart w:id="314" w:name="_Toc4740"/>
      <w:bookmarkStart w:id="315" w:name="_Toc11866826"/>
      <w:bookmarkStart w:id="316" w:name="_Toc200414527"/>
      <w:bookmarkStart w:id="317" w:name="_Toc200414528"/>
      <w:bookmarkStart w:id="318" w:name="_Toc46916079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阳江市第二中学考生身份识别终端采购项目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3143"/>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YXCG-20260114</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阳江市第二中学考生身份识别终端采购项目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18925"/>
      <w:bookmarkStart w:id="321" w:name="_Toc469160799"/>
      <w:bookmarkStart w:id="322"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YXCG-20260114</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阳江市第二中学考生身份识别终端采购项目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19864"/>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YXCG-20260114</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阳江市第二中学考生身份识别终端采购项目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1042"/>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2"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2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042"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11866431"/>
      <w:bookmarkStart w:id="325" w:name="_Toc11866689"/>
      <w:bookmarkStart w:id="326" w:name="_Toc5229"/>
      <w:bookmarkStart w:id="327" w:name="_Toc432695229"/>
      <w:bookmarkStart w:id="328" w:name="_Toc7149"/>
      <w:bookmarkStart w:id="329" w:name="_Toc430771089"/>
      <w:bookmarkStart w:id="330" w:name="_Toc432682754"/>
      <w:bookmarkStart w:id="331" w:name="_Toc340677100"/>
      <w:bookmarkStart w:id="332" w:name="_Toc339362330"/>
      <w:bookmarkStart w:id="333" w:name="_Toc337632388"/>
      <w:bookmarkStart w:id="334" w:name="_Toc365985211"/>
      <w:bookmarkStart w:id="335" w:name="_Toc336681610"/>
      <w:bookmarkStart w:id="336" w:name="_Toc341348370"/>
      <w:bookmarkStart w:id="337" w:name="_Toc333238664"/>
      <w:bookmarkStart w:id="338" w:name="_Toc331684072"/>
      <w:bookmarkStart w:id="339" w:name="_Toc333935376"/>
      <w:bookmarkStart w:id="340" w:name="_Toc343247130"/>
      <w:bookmarkStart w:id="341" w:name="_Toc342398160"/>
      <w:bookmarkStart w:id="342" w:name="_Toc339020045"/>
      <w:bookmarkStart w:id="343" w:name="_Toc366072562"/>
      <w:bookmarkStart w:id="344" w:name="_Toc332206739"/>
      <w:bookmarkStart w:id="345" w:name="_Toc342296791"/>
      <w:bookmarkStart w:id="346" w:name="_Toc339441117"/>
      <w:bookmarkStart w:id="347" w:name="_Toc330460016"/>
      <w:bookmarkStart w:id="348" w:name="_Toc339020125"/>
      <w:bookmarkStart w:id="349" w:name="_Toc340672899"/>
      <w:bookmarkStart w:id="350" w:name="_Toc345312627"/>
      <w:bookmarkStart w:id="351" w:name="_Toc331512931"/>
      <w:bookmarkStart w:id="352" w:name="_Toc343248448"/>
      <w:bookmarkStart w:id="353" w:name="_Toc102451601"/>
      <w:bookmarkStart w:id="354" w:name="_Toc342060405"/>
      <w:bookmarkStart w:id="355" w:name="_Toc343612950"/>
      <w:bookmarkStart w:id="356" w:name="_Toc333935717"/>
      <w:bookmarkStart w:id="357" w:name="_Toc333237708"/>
      <w:bookmarkStart w:id="358" w:name="_Toc339020263"/>
      <w:bookmarkStart w:id="359" w:name="_Toc332270377"/>
      <w:bookmarkStart w:id="360" w:name="_Toc342312473"/>
      <w:bookmarkStart w:id="361" w:name="_Toc336681965"/>
      <w:bookmarkStart w:id="362" w:name="_Toc365967105"/>
      <w:bookmarkStart w:id="363" w:name="_Toc340507472"/>
      <w:bookmarkStart w:id="364" w:name="_Toc333237819"/>
      <w:bookmarkStart w:id="365" w:name="_Toc339019919"/>
      <w:bookmarkStart w:id="366" w:name="_Toc350756480"/>
      <w:bookmarkStart w:id="367" w:name="_Toc350438779"/>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20242"/>
      <w:bookmarkStart w:id="369" w:name="_Toc11866432"/>
      <w:bookmarkStart w:id="370" w:name="_Toc32373"/>
      <w:bookmarkStart w:id="371" w:name="_Toc29536"/>
      <w:bookmarkStart w:id="372" w:name="_Toc11866690"/>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4"/>
      <w:bookmarkStart w:id="374" w:name="_Toc360"/>
      <w:bookmarkStart w:id="375" w:name="_Toc469160804"/>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18204"/>
      <w:bookmarkStart w:id="377" w:name="_Toc200414535"/>
      <w:bookmarkStart w:id="378"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YXCG-20260114</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阳江市第二中学考生身份识别终端采购项目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469160806"/>
      <w:bookmarkStart w:id="381" w:name="_Toc5451"/>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0E40880"/>
    <w:rsid w:val="00F72CA9"/>
    <w:rsid w:val="023575E5"/>
    <w:rsid w:val="03095929"/>
    <w:rsid w:val="04A54C2A"/>
    <w:rsid w:val="077870CF"/>
    <w:rsid w:val="07C02B8E"/>
    <w:rsid w:val="086A7949"/>
    <w:rsid w:val="09C552BB"/>
    <w:rsid w:val="0C6E02C3"/>
    <w:rsid w:val="0EE54141"/>
    <w:rsid w:val="0F696B20"/>
    <w:rsid w:val="0FCB1589"/>
    <w:rsid w:val="10167589"/>
    <w:rsid w:val="10192FF7"/>
    <w:rsid w:val="10D0384E"/>
    <w:rsid w:val="13553E48"/>
    <w:rsid w:val="14342437"/>
    <w:rsid w:val="1695469E"/>
    <w:rsid w:val="180E5847"/>
    <w:rsid w:val="18A1707D"/>
    <w:rsid w:val="1A0F0E51"/>
    <w:rsid w:val="1B087B35"/>
    <w:rsid w:val="1E221F5D"/>
    <w:rsid w:val="1F071EB1"/>
    <w:rsid w:val="20980330"/>
    <w:rsid w:val="217D46AD"/>
    <w:rsid w:val="23610733"/>
    <w:rsid w:val="26AF70B6"/>
    <w:rsid w:val="26B26BA7"/>
    <w:rsid w:val="28995944"/>
    <w:rsid w:val="29A8300E"/>
    <w:rsid w:val="2A9C3593"/>
    <w:rsid w:val="2B45623B"/>
    <w:rsid w:val="2BB46F1D"/>
    <w:rsid w:val="2BB60730"/>
    <w:rsid w:val="2CD517FF"/>
    <w:rsid w:val="2F2C6B99"/>
    <w:rsid w:val="30744ECD"/>
    <w:rsid w:val="3090099C"/>
    <w:rsid w:val="312F6347"/>
    <w:rsid w:val="320504D2"/>
    <w:rsid w:val="35CF148F"/>
    <w:rsid w:val="36B174C5"/>
    <w:rsid w:val="36B44275"/>
    <w:rsid w:val="380642BC"/>
    <w:rsid w:val="38293998"/>
    <w:rsid w:val="391761E1"/>
    <w:rsid w:val="396E2E01"/>
    <w:rsid w:val="39C42A21"/>
    <w:rsid w:val="3EE819BF"/>
    <w:rsid w:val="4439400C"/>
    <w:rsid w:val="4587602A"/>
    <w:rsid w:val="470703F1"/>
    <w:rsid w:val="47ED5839"/>
    <w:rsid w:val="4963480B"/>
    <w:rsid w:val="4B1C090F"/>
    <w:rsid w:val="4E2E121F"/>
    <w:rsid w:val="4F8B6063"/>
    <w:rsid w:val="5067593F"/>
    <w:rsid w:val="51FC3386"/>
    <w:rsid w:val="54684F5D"/>
    <w:rsid w:val="58240E03"/>
    <w:rsid w:val="591B097C"/>
    <w:rsid w:val="5AC84A5B"/>
    <w:rsid w:val="5AFB7E85"/>
    <w:rsid w:val="5AFE3B8D"/>
    <w:rsid w:val="5D77652A"/>
    <w:rsid w:val="5E7D301B"/>
    <w:rsid w:val="60164D1C"/>
    <w:rsid w:val="60343BAD"/>
    <w:rsid w:val="6162299C"/>
    <w:rsid w:val="636656D8"/>
    <w:rsid w:val="66AC1FFE"/>
    <w:rsid w:val="672725AD"/>
    <w:rsid w:val="69855479"/>
    <w:rsid w:val="69E228CC"/>
    <w:rsid w:val="6A676DD1"/>
    <w:rsid w:val="6A9F256B"/>
    <w:rsid w:val="6BEC5086"/>
    <w:rsid w:val="6CCA1A1F"/>
    <w:rsid w:val="6CCE7137"/>
    <w:rsid w:val="6D0B7021"/>
    <w:rsid w:val="6E5D5FC9"/>
    <w:rsid w:val="6EED7D49"/>
    <w:rsid w:val="6F307C36"/>
    <w:rsid w:val="6FE075B7"/>
    <w:rsid w:val="70053526"/>
    <w:rsid w:val="70860455"/>
    <w:rsid w:val="70F84783"/>
    <w:rsid w:val="725D4A5B"/>
    <w:rsid w:val="74475895"/>
    <w:rsid w:val="76746C01"/>
    <w:rsid w:val="781C4B8B"/>
    <w:rsid w:val="799D0E6E"/>
    <w:rsid w:val="7B364826"/>
    <w:rsid w:val="7B711E4D"/>
    <w:rsid w:val="7BB816DF"/>
    <w:rsid w:val="7BD858DD"/>
    <w:rsid w:val="7C0048B3"/>
    <w:rsid w:val="7C7E624E"/>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 w:type="character" w:customStyle="1" w:styleId="356">
    <w:name w:val="font51"/>
    <w:basedOn w:val="5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47</Pages>
  <Words>13058</Words>
  <Characters>13951</Characters>
  <Lines>267</Lines>
  <Paragraphs>75</Paragraphs>
  <TotalTime>1</TotalTime>
  <ScaleCrop>false</ScaleCrop>
  <LinksUpToDate>false</LinksUpToDate>
  <CharactersWithSpaces>14440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2026-01-20T06:55:49Z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eyJoZGlkIjoiNjRhODA0MGJlYjkwYzhjNWY3NDVmZDZhNTM4ODVlZmIiLCJ1c2VySWQiOiI0MzkwMDY1NTEifQ==</vt:lpwstr>
  </property>
</Properties>
</file>