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8521" w:type="dxa"/>
        <w:jc w:val="center"/>
        <w:tblLayout w:type="fixed"/>
        <w:tblCellMar>
          <w:top w:w="0" w:type="dxa"/>
          <w:left w:w="108" w:type="dxa"/>
          <w:bottom w:w="0" w:type="dxa"/>
          <w:right w:w="108" w:type="dxa"/>
        </w:tblCellMar>
      </w:tblPr>
      <w:tblGrid>
        <w:gridCol w:w="1951"/>
        <w:gridCol w:w="284"/>
        <w:gridCol w:w="6286"/>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6" w:type="dxa"/>
            <w:vAlign w:val="center"/>
          </w:tcPr>
          <w:p w14:paraId="598927E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YXCG-20251224</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6" w:type="dxa"/>
            <w:vAlign w:val="center"/>
          </w:tcPr>
          <w:p w14:paraId="4D9C7FB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2025年阳江市残疾人康复中心辅助器具采购项目</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6" w:type="dxa"/>
            <w:vAlign w:val="center"/>
          </w:tcPr>
          <w:p w14:paraId="67B8B16A">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阳江市残疾人康复中心</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86" w:type="dxa"/>
            <w:vAlign w:val="center"/>
          </w:tcPr>
          <w:p w14:paraId="0810E36A">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w:t>
      </w:r>
      <w:r>
        <w:rPr>
          <w:rFonts w:hint="eastAsia" w:ascii="宋体" w:hAnsi="宋体"/>
          <w:color w:val="000000" w:themeColor="text1"/>
          <w:szCs w:val="21"/>
          <w:highlight w:val="none"/>
          <w:lang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文件的要求缴纳，招标代理服务费存入</w:t>
      </w:r>
      <w:r>
        <w:rPr>
          <w:rFonts w:hint="eastAsia" w:ascii="宋体" w:hAnsi="宋体"/>
          <w:color w:val="000000" w:themeColor="text1"/>
          <w:szCs w:val="21"/>
          <w:highlight w:val="none"/>
          <w:lang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245858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61AC0927">
      <w:pPr>
        <w:pStyle w:val="34"/>
        <w:tabs>
          <w:tab w:val="right" w:leader="dot" w:pos="8959"/>
          <w:tab w:val="clear" w:pos="8949"/>
        </w:tabs>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highlight w:val="none"/>
        </w:rPr>
        <w:instrText xml:space="preserve"> HYPERLINK \l _Toc31757 </w:instrText>
      </w:r>
      <w:r>
        <w:rPr>
          <w:rFonts w:ascii="宋体" w:hAnsi="宋体"/>
          <w:bCs w:val="0"/>
          <w:caps w:val="0"/>
          <w:highlight w:val="none"/>
        </w:rPr>
        <w:fldChar w:fldCharType="separate"/>
      </w:r>
      <w:r>
        <w:rPr>
          <w:rFonts w:hint="eastAsia" w:ascii="宋体" w:hAnsi="宋体" w:eastAsia="宋体"/>
          <w:highlight w:val="none"/>
        </w:rPr>
        <w:t>第一部分 竞争性磋商邀请书</w:t>
      </w:r>
      <w:r>
        <w:tab/>
      </w:r>
      <w:r>
        <w:fldChar w:fldCharType="begin"/>
      </w:r>
      <w:r>
        <w:instrText xml:space="preserve"> PAGEREF _Toc31757 \h </w:instrText>
      </w:r>
      <w:r>
        <w:fldChar w:fldCharType="separate"/>
      </w:r>
      <w:r>
        <w:t>4</w:t>
      </w:r>
      <w:r>
        <w:fldChar w:fldCharType="end"/>
      </w:r>
      <w:r>
        <w:rPr>
          <w:rFonts w:ascii="宋体" w:hAnsi="宋体"/>
          <w:bCs w:val="0"/>
          <w:caps w:val="0"/>
          <w:color w:val="000000" w:themeColor="text1"/>
          <w:highlight w:val="none"/>
          <w14:textFill>
            <w14:solidFill>
              <w14:schemeClr w14:val="tx1"/>
            </w14:solidFill>
          </w14:textFill>
        </w:rPr>
        <w:fldChar w:fldCharType="end"/>
      </w:r>
    </w:p>
    <w:p w14:paraId="1954E7FE">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_Toc3205 </w:instrText>
      </w:r>
      <w:r>
        <w:rPr>
          <w:rFonts w:ascii="宋体" w:hAnsi="宋体"/>
          <w:bCs/>
          <w:caps/>
          <w:szCs w:val="21"/>
          <w:highlight w:val="none"/>
        </w:rPr>
        <w:fldChar w:fldCharType="separate"/>
      </w:r>
      <w:r>
        <w:rPr>
          <w:rFonts w:hint="eastAsia" w:ascii="宋体" w:hAnsi="宋体" w:eastAsia="宋体"/>
          <w:highlight w:val="none"/>
        </w:rPr>
        <w:t>第二部分 采购项目内容</w:t>
      </w:r>
      <w:r>
        <w:tab/>
      </w:r>
      <w:r>
        <w:fldChar w:fldCharType="begin"/>
      </w:r>
      <w:r>
        <w:instrText xml:space="preserve"> PAGEREF _Toc3205 \h </w:instrText>
      </w:r>
      <w:r>
        <w:fldChar w:fldCharType="separate"/>
      </w:r>
      <w:r>
        <w:t>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59FC949">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_Toc30713 </w:instrText>
      </w:r>
      <w:r>
        <w:rPr>
          <w:rFonts w:ascii="宋体" w:hAnsi="宋体"/>
          <w:bCs/>
          <w:caps/>
          <w:szCs w:val="21"/>
          <w:highlight w:val="none"/>
        </w:rPr>
        <w:fldChar w:fldCharType="separate"/>
      </w:r>
      <w:r>
        <w:rPr>
          <w:rFonts w:ascii="宋体" w:hAnsi="宋体"/>
          <w:kern w:val="0"/>
          <w:highlight w:val="none"/>
        </w:rPr>
        <w:t xml:space="preserve">A  </w:t>
      </w:r>
      <w:r>
        <w:rPr>
          <w:rFonts w:hint="eastAsia" w:ascii="宋体" w:hAnsi="宋体"/>
          <w:kern w:val="0"/>
          <w:highlight w:val="none"/>
        </w:rPr>
        <w:t>商务要求</w:t>
      </w:r>
      <w:r>
        <w:tab/>
      </w:r>
      <w:r>
        <w:fldChar w:fldCharType="begin"/>
      </w:r>
      <w:r>
        <w:instrText xml:space="preserve"> PAGEREF _Toc30713 \h </w:instrText>
      </w:r>
      <w:r>
        <w:fldChar w:fldCharType="separate"/>
      </w:r>
      <w:r>
        <w:t>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BB8CAF4">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_Toc18232 </w:instrText>
      </w:r>
      <w:r>
        <w:rPr>
          <w:rFonts w:ascii="宋体" w:hAnsi="宋体"/>
          <w:bCs/>
          <w:caps/>
          <w:szCs w:val="21"/>
          <w:highlight w:val="none"/>
        </w:rPr>
        <w:fldChar w:fldCharType="separate"/>
      </w:r>
      <w:r>
        <w:rPr>
          <w:rFonts w:hint="eastAsia" w:ascii="宋体" w:hAnsi="宋体"/>
          <w:kern w:val="0"/>
          <w:highlight w:val="none"/>
        </w:rPr>
        <w:t>B  技术要求</w:t>
      </w:r>
      <w:r>
        <w:tab/>
      </w:r>
      <w:r>
        <w:fldChar w:fldCharType="begin"/>
      </w:r>
      <w:r>
        <w:instrText xml:space="preserve"> PAGEREF _Toc18232 \h </w:instrText>
      </w:r>
      <w:r>
        <w:fldChar w:fldCharType="separate"/>
      </w:r>
      <w:r>
        <w:t>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4141AD5">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_Toc11290 </w:instrText>
      </w:r>
      <w:r>
        <w:rPr>
          <w:rFonts w:ascii="宋体" w:hAnsi="宋体"/>
          <w:bCs/>
          <w:caps/>
          <w:szCs w:val="21"/>
          <w:highlight w:val="none"/>
        </w:rPr>
        <w:fldChar w:fldCharType="separate"/>
      </w:r>
      <w:r>
        <w:rPr>
          <w:rFonts w:hint="eastAsia" w:ascii="宋体" w:hAnsi="宋体" w:eastAsia="宋体"/>
          <w:szCs w:val="21"/>
          <w:highlight w:val="none"/>
        </w:rPr>
        <w:t>第三部分 磋商须知</w:t>
      </w:r>
      <w:r>
        <w:tab/>
      </w:r>
      <w:r>
        <w:fldChar w:fldCharType="begin"/>
      </w:r>
      <w:r>
        <w:instrText xml:space="preserve"> PAGEREF _Toc11290 \h </w:instrText>
      </w:r>
      <w:r>
        <w:fldChar w:fldCharType="separate"/>
      </w:r>
      <w:r>
        <w:t>13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D5D8D15">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_Toc12104 </w:instrText>
      </w:r>
      <w:r>
        <w:rPr>
          <w:rFonts w:ascii="宋体" w:hAnsi="宋体"/>
          <w:bCs/>
          <w:caps/>
          <w:szCs w:val="21"/>
          <w:highlight w:val="none"/>
        </w:rPr>
        <w:fldChar w:fldCharType="separate"/>
      </w:r>
      <w:r>
        <w:rPr>
          <w:rFonts w:hint="eastAsia" w:ascii="宋体" w:hAnsi="宋体"/>
          <w:szCs w:val="21"/>
          <w:highlight w:val="none"/>
        </w:rPr>
        <w:t>供应商须知前附表</w:t>
      </w:r>
      <w:r>
        <w:tab/>
      </w:r>
      <w:r>
        <w:fldChar w:fldCharType="begin"/>
      </w:r>
      <w:r>
        <w:instrText xml:space="preserve"> PAGEREF _Toc12104 \h </w:instrText>
      </w:r>
      <w:r>
        <w:fldChar w:fldCharType="separate"/>
      </w:r>
      <w:r>
        <w:t>13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9EE36E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_Toc21298 </w:instrText>
      </w:r>
      <w:r>
        <w:rPr>
          <w:rFonts w:ascii="宋体" w:hAnsi="宋体"/>
          <w:bCs/>
          <w:caps/>
          <w:szCs w:val="21"/>
          <w:highlight w:val="none"/>
        </w:rPr>
        <w:fldChar w:fldCharType="separate"/>
      </w:r>
      <w:r>
        <w:rPr>
          <w:rFonts w:hint="eastAsia" w:hAnsi="宋体"/>
          <w:highlight w:val="none"/>
        </w:rPr>
        <w:t>一、说  明</w:t>
      </w:r>
      <w:r>
        <w:tab/>
      </w:r>
      <w:r>
        <w:fldChar w:fldCharType="begin"/>
      </w:r>
      <w:r>
        <w:instrText xml:space="preserve"> PAGEREF _Toc21298 \h </w:instrText>
      </w:r>
      <w:r>
        <w:fldChar w:fldCharType="separate"/>
      </w:r>
      <w:r>
        <w:t>14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2A8C53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_Toc22086 </w:instrText>
      </w:r>
      <w:r>
        <w:rPr>
          <w:rFonts w:ascii="宋体" w:hAnsi="宋体"/>
          <w:bCs/>
          <w:caps/>
          <w:szCs w:val="21"/>
          <w:highlight w:val="none"/>
        </w:rPr>
        <w:fldChar w:fldCharType="separate"/>
      </w:r>
      <w:r>
        <w:rPr>
          <w:rFonts w:hint="eastAsia" w:hAnsi="宋体"/>
          <w:highlight w:val="none"/>
        </w:rPr>
        <w:t>二、磋商文件</w:t>
      </w:r>
      <w:r>
        <w:tab/>
      </w:r>
      <w:r>
        <w:fldChar w:fldCharType="begin"/>
      </w:r>
      <w:r>
        <w:instrText xml:space="preserve"> PAGEREF _Toc22086 \h </w:instrText>
      </w:r>
      <w:r>
        <w:fldChar w:fldCharType="separate"/>
      </w:r>
      <w:r>
        <w:t>14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96F7E22">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_Toc23294 </w:instrText>
      </w:r>
      <w:r>
        <w:rPr>
          <w:rFonts w:ascii="宋体" w:hAnsi="宋体"/>
          <w:bCs/>
          <w:caps/>
          <w:szCs w:val="21"/>
          <w:highlight w:val="none"/>
        </w:rPr>
        <w:fldChar w:fldCharType="separate"/>
      </w:r>
      <w:r>
        <w:rPr>
          <w:rFonts w:hint="eastAsia" w:hAnsi="宋体"/>
          <w:highlight w:val="none"/>
        </w:rPr>
        <w:t>三、响应文件的编制</w:t>
      </w:r>
      <w:r>
        <w:tab/>
      </w:r>
      <w:r>
        <w:fldChar w:fldCharType="begin"/>
      </w:r>
      <w:r>
        <w:instrText xml:space="preserve"> PAGEREF _Toc23294 \h </w:instrText>
      </w:r>
      <w:r>
        <w:fldChar w:fldCharType="separate"/>
      </w:r>
      <w:r>
        <w:t>15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F26BF84">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_Toc21418 </w:instrText>
      </w:r>
      <w:r>
        <w:rPr>
          <w:rFonts w:ascii="宋体" w:hAnsi="宋体"/>
          <w:bCs/>
          <w:caps/>
          <w:szCs w:val="21"/>
          <w:highlight w:val="none"/>
        </w:rPr>
        <w:fldChar w:fldCharType="separate"/>
      </w:r>
      <w:r>
        <w:rPr>
          <w:rFonts w:hint="eastAsia" w:hAnsi="宋体"/>
          <w:highlight w:val="none"/>
        </w:rPr>
        <w:t>四、磋商报价要求和供应商资格证明文件的要求</w:t>
      </w:r>
      <w:r>
        <w:tab/>
      </w:r>
      <w:r>
        <w:fldChar w:fldCharType="begin"/>
      </w:r>
      <w:r>
        <w:instrText xml:space="preserve"> PAGEREF _Toc21418 \h </w:instrText>
      </w:r>
      <w:r>
        <w:fldChar w:fldCharType="separate"/>
      </w:r>
      <w:r>
        <w:t>15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04F496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_Toc799 </w:instrText>
      </w:r>
      <w:r>
        <w:rPr>
          <w:rFonts w:ascii="宋体" w:hAnsi="宋体"/>
          <w:bCs/>
          <w:caps/>
          <w:szCs w:val="21"/>
          <w:highlight w:val="none"/>
        </w:rPr>
        <w:fldChar w:fldCharType="separate"/>
      </w:r>
      <w:r>
        <w:rPr>
          <w:rFonts w:hint="eastAsia" w:hAnsi="宋体"/>
          <w:highlight w:val="none"/>
        </w:rPr>
        <w:t>五、保证金</w:t>
      </w:r>
      <w:r>
        <w:tab/>
      </w:r>
      <w:r>
        <w:fldChar w:fldCharType="begin"/>
      </w:r>
      <w:r>
        <w:instrText xml:space="preserve"> PAGEREF _Toc799 \h </w:instrText>
      </w:r>
      <w:r>
        <w:fldChar w:fldCharType="separate"/>
      </w:r>
      <w:r>
        <w:t>16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3AB4277">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_Toc24200 </w:instrText>
      </w:r>
      <w:r>
        <w:rPr>
          <w:rFonts w:ascii="宋体" w:hAnsi="宋体"/>
          <w:bCs/>
          <w:caps/>
          <w:szCs w:val="21"/>
          <w:highlight w:val="none"/>
        </w:rPr>
        <w:fldChar w:fldCharType="separate"/>
      </w:r>
      <w:r>
        <w:rPr>
          <w:rFonts w:hint="eastAsia" w:hAnsi="宋体"/>
          <w:highlight w:val="none"/>
        </w:rPr>
        <w:t>六、响应文件的份数、封装和递交</w:t>
      </w:r>
      <w:r>
        <w:tab/>
      </w:r>
      <w:r>
        <w:fldChar w:fldCharType="begin"/>
      </w:r>
      <w:r>
        <w:instrText xml:space="preserve"> PAGEREF _Toc24200 \h </w:instrText>
      </w:r>
      <w:r>
        <w:fldChar w:fldCharType="separate"/>
      </w:r>
      <w:r>
        <w:t>16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533C999">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_Toc11363 </w:instrText>
      </w:r>
      <w:r>
        <w:rPr>
          <w:rFonts w:ascii="宋体" w:hAnsi="宋体"/>
          <w:bCs/>
          <w:caps/>
          <w:szCs w:val="21"/>
          <w:highlight w:val="none"/>
        </w:rPr>
        <w:fldChar w:fldCharType="separate"/>
      </w:r>
      <w:r>
        <w:rPr>
          <w:rFonts w:hint="eastAsia" w:hAnsi="宋体"/>
          <w:highlight w:val="none"/>
        </w:rPr>
        <w:t>七、磋商的步骤</w:t>
      </w:r>
      <w:r>
        <w:tab/>
      </w:r>
      <w:r>
        <w:fldChar w:fldCharType="begin"/>
      </w:r>
      <w:r>
        <w:instrText xml:space="preserve"> PAGEREF _Toc11363 \h </w:instrText>
      </w:r>
      <w:r>
        <w:fldChar w:fldCharType="separate"/>
      </w:r>
      <w:r>
        <w:t>16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35E5CE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_Toc2622 </w:instrText>
      </w:r>
      <w:r>
        <w:rPr>
          <w:rFonts w:ascii="宋体" w:hAnsi="宋体"/>
          <w:bCs/>
          <w:caps/>
          <w:szCs w:val="21"/>
          <w:highlight w:val="none"/>
        </w:rPr>
        <w:fldChar w:fldCharType="separate"/>
      </w:r>
      <w:r>
        <w:rPr>
          <w:rFonts w:hint="eastAsia" w:hAnsi="宋体"/>
          <w:highlight w:val="none"/>
        </w:rPr>
        <w:t>八、确定成交供应商办法</w:t>
      </w:r>
      <w:r>
        <w:tab/>
      </w:r>
      <w:r>
        <w:fldChar w:fldCharType="begin"/>
      </w:r>
      <w:r>
        <w:instrText xml:space="preserve"> PAGEREF _Toc2622 \h </w:instrText>
      </w:r>
      <w:r>
        <w:fldChar w:fldCharType="separate"/>
      </w:r>
      <w:r>
        <w:t>18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7DE789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_Toc9046 </w:instrText>
      </w:r>
      <w:r>
        <w:rPr>
          <w:rFonts w:ascii="宋体" w:hAnsi="宋体"/>
          <w:bCs/>
          <w:caps/>
          <w:szCs w:val="21"/>
          <w:highlight w:val="none"/>
        </w:rPr>
        <w:fldChar w:fldCharType="separate"/>
      </w:r>
      <w:r>
        <w:rPr>
          <w:rFonts w:hint="eastAsia" w:ascii="宋体" w:hAnsi="宋体"/>
          <w:szCs w:val="21"/>
          <w:highlight w:val="none"/>
        </w:rPr>
        <w:t>九、质疑</w:t>
      </w:r>
      <w:r>
        <w:tab/>
      </w:r>
      <w:r>
        <w:fldChar w:fldCharType="begin"/>
      </w:r>
      <w:r>
        <w:instrText xml:space="preserve"> PAGEREF _Toc9046 \h </w:instrText>
      </w:r>
      <w:r>
        <w:fldChar w:fldCharType="separate"/>
      </w:r>
      <w:r>
        <w:t>19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5866AE0">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_Toc25927 </w:instrText>
      </w:r>
      <w:r>
        <w:rPr>
          <w:rFonts w:ascii="宋体" w:hAnsi="宋体"/>
          <w:bCs/>
          <w:caps/>
          <w:szCs w:val="21"/>
          <w:highlight w:val="none"/>
        </w:rPr>
        <w:fldChar w:fldCharType="separate"/>
      </w:r>
      <w:r>
        <w:rPr>
          <w:rFonts w:hint="eastAsia" w:ascii="宋体" w:hAnsi="宋体"/>
          <w:szCs w:val="21"/>
          <w:highlight w:val="none"/>
        </w:rPr>
        <w:t>十、成交服务费</w:t>
      </w:r>
      <w:r>
        <w:tab/>
      </w:r>
      <w:r>
        <w:fldChar w:fldCharType="begin"/>
      </w:r>
      <w:r>
        <w:instrText xml:space="preserve"> PAGEREF _Toc25927 \h </w:instrText>
      </w:r>
      <w:r>
        <w:fldChar w:fldCharType="separate"/>
      </w:r>
      <w:r>
        <w:t>19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423315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_Toc18486 </w:instrText>
      </w:r>
      <w:r>
        <w:rPr>
          <w:rFonts w:ascii="宋体" w:hAnsi="宋体"/>
          <w:bCs/>
          <w:caps/>
          <w:szCs w:val="21"/>
          <w:highlight w:val="none"/>
        </w:rPr>
        <w:fldChar w:fldCharType="separate"/>
      </w:r>
      <w:r>
        <w:rPr>
          <w:rFonts w:hint="eastAsia" w:ascii="宋体" w:hAnsi="宋体"/>
          <w:szCs w:val="21"/>
          <w:highlight w:val="none"/>
        </w:rPr>
        <w:t>十一、合同的订立和履行</w:t>
      </w:r>
      <w:r>
        <w:tab/>
      </w:r>
      <w:r>
        <w:fldChar w:fldCharType="begin"/>
      </w:r>
      <w:r>
        <w:instrText xml:space="preserve"> PAGEREF _Toc18486 \h </w:instrText>
      </w:r>
      <w:r>
        <w:fldChar w:fldCharType="separate"/>
      </w:r>
      <w:r>
        <w:t>19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331B9D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_Toc29646 </w:instrText>
      </w:r>
      <w:r>
        <w:rPr>
          <w:rFonts w:ascii="宋体" w:hAnsi="宋体"/>
          <w:bCs/>
          <w:caps/>
          <w:szCs w:val="21"/>
          <w:highlight w:val="none"/>
        </w:rPr>
        <w:fldChar w:fldCharType="separate"/>
      </w:r>
      <w:r>
        <w:rPr>
          <w:rFonts w:hint="eastAsia" w:ascii="宋体" w:hAnsi="宋体"/>
          <w:szCs w:val="21"/>
          <w:highlight w:val="none"/>
        </w:rPr>
        <w:t>十二、适用法律</w:t>
      </w:r>
      <w:r>
        <w:tab/>
      </w:r>
      <w:r>
        <w:fldChar w:fldCharType="begin"/>
      </w:r>
      <w:r>
        <w:instrText xml:space="preserve"> PAGEREF _Toc29646 \h </w:instrText>
      </w:r>
      <w:r>
        <w:fldChar w:fldCharType="separate"/>
      </w:r>
      <w:r>
        <w:t>19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D5BFEBE">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_Toc18379 </w:instrText>
      </w:r>
      <w:r>
        <w:rPr>
          <w:rFonts w:ascii="宋体" w:hAnsi="宋体"/>
          <w:bCs/>
          <w:caps/>
          <w:szCs w:val="21"/>
          <w:highlight w:val="none"/>
        </w:rPr>
        <w:fldChar w:fldCharType="separate"/>
      </w:r>
      <w:r>
        <w:rPr>
          <w:highlight w:val="none"/>
        </w:rPr>
        <w:t>第四部分</w:t>
      </w:r>
      <w:r>
        <w:rPr>
          <w:rFonts w:hint="eastAsia"/>
          <w:highlight w:val="none"/>
        </w:rPr>
        <w:t xml:space="preserve">  </w:t>
      </w:r>
      <w:r>
        <w:rPr>
          <w:highlight w:val="none"/>
        </w:rPr>
        <w:t>磋商、评审、成交</w:t>
      </w:r>
      <w:r>
        <w:tab/>
      </w:r>
      <w:r>
        <w:fldChar w:fldCharType="begin"/>
      </w:r>
      <w:r>
        <w:instrText xml:space="preserve"> PAGEREF _Toc18379 \h </w:instrText>
      </w:r>
      <w:r>
        <w:fldChar w:fldCharType="separate"/>
      </w:r>
      <w:r>
        <w:t>20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D5287DB">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_Toc3002 </w:instrText>
      </w:r>
      <w:r>
        <w:rPr>
          <w:rFonts w:ascii="宋体" w:hAnsi="宋体"/>
          <w:bCs/>
          <w:caps/>
          <w:szCs w:val="21"/>
          <w:highlight w:val="none"/>
        </w:rPr>
        <w:fldChar w:fldCharType="separate"/>
      </w:r>
      <w:r>
        <w:rPr>
          <w:rFonts w:hint="eastAsia"/>
          <w:highlight w:val="none"/>
        </w:rPr>
        <w:t>政府采购政策</w:t>
      </w:r>
      <w:r>
        <w:tab/>
      </w:r>
      <w:r>
        <w:fldChar w:fldCharType="begin"/>
      </w:r>
      <w:r>
        <w:instrText xml:space="preserve"> PAGEREF _Toc3002 \h </w:instrText>
      </w:r>
      <w:r>
        <w:fldChar w:fldCharType="separate"/>
      </w:r>
      <w:r>
        <w:t>22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6117A13">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_Toc29611 </w:instrText>
      </w:r>
      <w:r>
        <w:rPr>
          <w:rFonts w:ascii="宋体" w:hAnsi="宋体"/>
          <w:bCs/>
          <w:caps/>
          <w:szCs w:val="21"/>
          <w:highlight w:val="none"/>
        </w:rPr>
        <w:fldChar w:fldCharType="separate"/>
      </w:r>
      <w:r>
        <w:rPr>
          <w:rFonts w:hint="eastAsia" w:ascii="宋体" w:hAnsi="宋体" w:eastAsia="宋体"/>
          <w:highlight w:val="none"/>
        </w:rPr>
        <w:t xml:space="preserve">第五部分  </w:t>
      </w:r>
      <w:r>
        <w:rPr>
          <w:rFonts w:hint="eastAsia" w:ascii="宋体" w:hAnsi="宋体"/>
          <w:szCs w:val="21"/>
          <w:highlight w:val="none"/>
        </w:rPr>
        <w:t>合同书格式（参考范本）</w:t>
      </w:r>
      <w:r>
        <w:tab/>
      </w:r>
      <w:r>
        <w:fldChar w:fldCharType="begin"/>
      </w:r>
      <w:r>
        <w:instrText xml:space="preserve"> PAGEREF _Toc29611 \h </w:instrText>
      </w:r>
      <w:r>
        <w:fldChar w:fldCharType="separate"/>
      </w:r>
      <w:r>
        <w:t>25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AB0DE28">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_Toc1613 </w:instrText>
      </w:r>
      <w:r>
        <w:rPr>
          <w:rFonts w:ascii="宋体" w:hAnsi="宋体"/>
          <w:bCs/>
          <w:caps/>
          <w:szCs w:val="21"/>
          <w:highlight w:val="none"/>
        </w:rPr>
        <w:fldChar w:fldCharType="separate"/>
      </w:r>
      <w:r>
        <w:rPr>
          <w:rFonts w:hint="eastAsia" w:ascii="宋体" w:hAnsi="宋体" w:eastAsia="宋体"/>
          <w:highlight w:val="none"/>
        </w:rPr>
        <w:t xml:space="preserve">第六部分 </w:t>
      </w:r>
      <w:r>
        <w:rPr>
          <w:rFonts w:ascii="宋体" w:hAnsi="宋体" w:eastAsia="宋体"/>
          <w:highlight w:val="none"/>
        </w:rPr>
        <w:t xml:space="preserve"> </w:t>
      </w:r>
      <w:r>
        <w:rPr>
          <w:rFonts w:hint="eastAsia" w:ascii="宋体" w:hAnsi="宋体" w:eastAsia="宋体"/>
          <w:highlight w:val="none"/>
        </w:rPr>
        <w:t>磋商响应文件格式</w:t>
      </w:r>
      <w:r>
        <w:tab/>
      </w:r>
      <w:r>
        <w:fldChar w:fldCharType="begin"/>
      </w:r>
      <w:r>
        <w:instrText xml:space="preserve"> PAGEREF _Toc1613 \h </w:instrText>
      </w:r>
      <w:r>
        <w:fldChar w:fldCharType="separate"/>
      </w:r>
      <w:r>
        <w:t>27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5D7B157">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_Toc32244 </w:instrText>
      </w:r>
      <w:r>
        <w:rPr>
          <w:rFonts w:ascii="宋体" w:hAnsi="宋体"/>
          <w:bCs/>
          <w:caps/>
          <w:szCs w:val="21"/>
          <w:highlight w:val="none"/>
        </w:rPr>
        <w:fldChar w:fldCharType="separate"/>
      </w:r>
      <w:r>
        <w:rPr>
          <w:rFonts w:hint="eastAsia" w:ascii="宋体" w:hAnsi="宋体"/>
          <w:highlight w:val="none"/>
        </w:rPr>
        <w:t>封面格式</w:t>
      </w:r>
      <w:r>
        <w:tab/>
      </w:r>
      <w:r>
        <w:fldChar w:fldCharType="begin"/>
      </w:r>
      <w:r>
        <w:instrText xml:space="preserve"> PAGEREF _Toc32244 \h </w:instrText>
      </w:r>
      <w:r>
        <w:fldChar w:fldCharType="separate"/>
      </w:r>
      <w:r>
        <w:t>27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2D28C97">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_Toc7054 </w:instrText>
      </w:r>
      <w:r>
        <w:rPr>
          <w:rFonts w:ascii="宋体" w:hAnsi="宋体"/>
          <w:bCs/>
          <w:caps/>
          <w:szCs w:val="21"/>
          <w:highlight w:val="none"/>
        </w:rPr>
        <w:fldChar w:fldCharType="separate"/>
      </w:r>
      <w:r>
        <w:rPr>
          <w:rFonts w:hint="default" w:ascii="宋体" w:hAnsi="宋体"/>
        </w:rPr>
        <w:t xml:space="preserve">第一章 </w:t>
      </w:r>
      <w:r>
        <w:rPr>
          <w:rFonts w:hint="eastAsia" w:ascii="宋体" w:hAnsi="宋体"/>
          <w:highlight w:val="none"/>
        </w:rPr>
        <w:t>自查表</w:t>
      </w:r>
      <w:r>
        <w:tab/>
      </w:r>
      <w:r>
        <w:fldChar w:fldCharType="begin"/>
      </w:r>
      <w:r>
        <w:instrText xml:space="preserve"> PAGEREF _Toc7054 \h </w:instrText>
      </w:r>
      <w:r>
        <w:fldChar w:fldCharType="separate"/>
      </w:r>
      <w:r>
        <w:t>28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C6883DB">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_Toc15234 </w:instrText>
      </w:r>
      <w:r>
        <w:rPr>
          <w:rFonts w:ascii="宋体" w:hAnsi="宋体"/>
          <w:bCs/>
          <w:caps/>
          <w:szCs w:val="21"/>
          <w:highlight w:val="none"/>
        </w:rPr>
        <w:fldChar w:fldCharType="separate"/>
      </w:r>
      <w:r>
        <w:rPr>
          <w:rFonts w:hint="eastAsia" w:ascii="宋体"/>
          <w:bCs w:val="0"/>
          <w:szCs w:val="21"/>
          <w:highlight w:val="none"/>
        </w:rPr>
        <w:t>1.1  资格性/符合性自查表</w:t>
      </w:r>
      <w:r>
        <w:tab/>
      </w:r>
      <w:r>
        <w:fldChar w:fldCharType="begin"/>
      </w:r>
      <w:r>
        <w:instrText xml:space="preserve"> PAGEREF _Toc15234 \h </w:instrText>
      </w:r>
      <w:r>
        <w:fldChar w:fldCharType="separate"/>
      </w:r>
      <w:r>
        <w:t>28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23085AA">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_Toc7693 </w:instrText>
      </w:r>
      <w:r>
        <w:rPr>
          <w:rFonts w:ascii="宋体" w:hAnsi="宋体"/>
          <w:bCs/>
          <w:caps/>
          <w:szCs w:val="21"/>
          <w:highlight w:val="none"/>
        </w:rPr>
        <w:fldChar w:fldCharType="separate"/>
      </w:r>
      <w:r>
        <w:rPr>
          <w:rFonts w:hint="eastAsia" w:ascii="宋体" w:hAnsi="宋体"/>
          <w:szCs w:val="28"/>
          <w:highlight w:val="none"/>
        </w:rPr>
        <w:t>（一）无重大违法记录声明函</w:t>
      </w:r>
      <w:r>
        <w:tab/>
      </w:r>
      <w:r>
        <w:fldChar w:fldCharType="begin"/>
      </w:r>
      <w:r>
        <w:instrText xml:space="preserve"> PAGEREF _Toc7693 \h </w:instrText>
      </w:r>
      <w:r>
        <w:fldChar w:fldCharType="separate"/>
      </w:r>
      <w:r>
        <w:t>30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4EB58F5">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_Toc26922 </w:instrText>
      </w:r>
      <w:r>
        <w:rPr>
          <w:rFonts w:ascii="宋体" w:hAnsi="宋体"/>
          <w:bCs/>
          <w:caps/>
          <w:szCs w:val="21"/>
          <w:highlight w:val="none"/>
        </w:rPr>
        <w:fldChar w:fldCharType="separate"/>
      </w:r>
      <w:r>
        <w:rPr>
          <w:rFonts w:hint="eastAsia" w:ascii="宋体" w:hAnsi="宋体"/>
          <w:kern w:val="0"/>
          <w:szCs w:val="28"/>
          <w:highlight w:val="none"/>
        </w:rPr>
        <w:t>（二）法定代表人（负责人）证明书</w:t>
      </w:r>
      <w:r>
        <w:tab/>
      </w:r>
      <w:r>
        <w:fldChar w:fldCharType="begin"/>
      </w:r>
      <w:r>
        <w:instrText xml:space="preserve"> PAGEREF _Toc26922 \h </w:instrText>
      </w:r>
      <w:r>
        <w:fldChar w:fldCharType="separate"/>
      </w:r>
      <w:r>
        <w:t>31</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6EC926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_Toc16838 </w:instrText>
      </w:r>
      <w:r>
        <w:rPr>
          <w:rFonts w:ascii="宋体" w:hAnsi="宋体"/>
          <w:bCs/>
          <w:caps/>
          <w:szCs w:val="21"/>
          <w:highlight w:val="none"/>
        </w:rPr>
        <w:fldChar w:fldCharType="separate"/>
      </w:r>
      <w:r>
        <w:rPr>
          <w:rFonts w:hint="eastAsia" w:ascii="宋体" w:hAnsi="宋体"/>
          <w:szCs w:val="28"/>
          <w:highlight w:val="none"/>
        </w:rPr>
        <w:t>（三）法定代表人（负责人）授权书</w:t>
      </w:r>
      <w:r>
        <w:tab/>
      </w:r>
      <w:r>
        <w:fldChar w:fldCharType="begin"/>
      </w:r>
      <w:r>
        <w:instrText xml:space="preserve"> PAGEREF _Toc16838 \h </w:instrText>
      </w:r>
      <w:r>
        <w:fldChar w:fldCharType="separate"/>
      </w:r>
      <w:r>
        <w:t>32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299FCFF">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_Toc5000 </w:instrText>
      </w:r>
      <w:r>
        <w:rPr>
          <w:rFonts w:ascii="宋体" w:hAnsi="宋体"/>
          <w:bCs/>
          <w:caps/>
          <w:szCs w:val="21"/>
          <w:highlight w:val="none"/>
        </w:rPr>
        <w:fldChar w:fldCharType="separate"/>
      </w:r>
      <w:r>
        <w:rPr>
          <w:rFonts w:hint="eastAsia" w:ascii="宋体" w:hAnsi="宋体"/>
          <w:szCs w:val="28"/>
          <w:highlight w:val="none"/>
        </w:rPr>
        <w:t>（四） 资格审查文件要求提交的其它有效证明文件</w:t>
      </w:r>
      <w:r>
        <w:tab/>
      </w:r>
      <w:r>
        <w:fldChar w:fldCharType="begin"/>
      </w:r>
      <w:r>
        <w:instrText xml:space="preserve"> PAGEREF _Toc5000 \h </w:instrText>
      </w:r>
      <w:r>
        <w:fldChar w:fldCharType="separate"/>
      </w:r>
      <w:r>
        <w:t>33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A92BDB0">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_Toc12082 </w:instrText>
      </w:r>
      <w:r>
        <w:rPr>
          <w:rFonts w:ascii="宋体" w:hAnsi="宋体"/>
          <w:bCs/>
          <w:caps/>
          <w:szCs w:val="21"/>
          <w:highlight w:val="none"/>
        </w:rPr>
        <w:fldChar w:fldCharType="separate"/>
      </w:r>
      <w:r>
        <w:rPr>
          <w:rFonts w:hint="eastAsia" w:ascii="宋体" w:hAnsi="宋体"/>
          <w:szCs w:val="28"/>
          <w:highlight w:val="none"/>
        </w:rPr>
        <w:t>第二章  磋商响应文件商务及技术部分</w:t>
      </w:r>
      <w:r>
        <w:tab/>
      </w:r>
      <w:r>
        <w:fldChar w:fldCharType="begin"/>
      </w:r>
      <w:r>
        <w:instrText xml:space="preserve"> PAGEREF _Toc12082 \h </w:instrText>
      </w:r>
      <w:r>
        <w:fldChar w:fldCharType="separate"/>
      </w:r>
      <w:r>
        <w:t>34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0C261A5">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_Toc32339 </w:instrText>
      </w:r>
      <w:r>
        <w:rPr>
          <w:rFonts w:ascii="宋体" w:hAnsi="宋体"/>
          <w:bCs/>
          <w:caps/>
          <w:szCs w:val="21"/>
          <w:highlight w:val="none"/>
        </w:rPr>
        <w:fldChar w:fldCharType="separate"/>
      </w:r>
      <w:r>
        <w:rPr>
          <w:rFonts w:hint="eastAsia" w:ascii="宋体" w:hAnsi="宋体"/>
          <w:szCs w:val="28"/>
          <w:highlight w:val="none"/>
        </w:rPr>
        <w:t>附件一：磋商邀请函</w:t>
      </w:r>
      <w:r>
        <w:tab/>
      </w:r>
      <w:r>
        <w:fldChar w:fldCharType="begin"/>
      </w:r>
      <w:r>
        <w:instrText xml:space="preserve"> PAGEREF _Toc32339 \h </w:instrText>
      </w:r>
      <w:r>
        <w:fldChar w:fldCharType="separate"/>
      </w:r>
      <w:r>
        <w:t>34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33C63F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_Toc27589 </w:instrText>
      </w:r>
      <w:r>
        <w:rPr>
          <w:rFonts w:ascii="宋体" w:hAnsi="宋体"/>
          <w:bCs/>
          <w:caps/>
          <w:szCs w:val="21"/>
          <w:highlight w:val="none"/>
        </w:rPr>
        <w:fldChar w:fldCharType="separate"/>
      </w:r>
      <w:r>
        <w:rPr>
          <w:rFonts w:hint="eastAsia" w:ascii="宋体" w:hAnsi="宋体"/>
          <w:szCs w:val="28"/>
          <w:highlight w:val="none"/>
        </w:rPr>
        <w:t>附件二：第一次报价一览表</w:t>
      </w:r>
      <w:r>
        <w:tab/>
      </w:r>
      <w:r>
        <w:fldChar w:fldCharType="begin"/>
      </w:r>
      <w:r>
        <w:instrText xml:space="preserve"> PAGEREF _Toc27589 \h </w:instrText>
      </w:r>
      <w:r>
        <w:fldChar w:fldCharType="separate"/>
      </w:r>
      <w:r>
        <w:t>35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92A8E1F">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_Toc3936 </w:instrText>
      </w:r>
      <w:r>
        <w:rPr>
          <w:rFonts w:ascii="宋体" w:hAnsi="宋体"/>
          <w:bCs/>
          <w:caps/>
          <w:szCs w:val="21"/>
          <w:highlight w:val="none"/>
        </w:rPr>
        <w:fldChar w:fldCharType="separate"/>
      </w:r>
      <w:r>
        <w:rPr>
          <w:rFonts w:hint="eastAsia" w:ascii="宋体" w:hAnsi="宋体"/>
          <w:szCs w:val="28"/>
          <w:highlight w:val="none"/>
        </w:rPr>
        <w:t>附件三：磋商分项报价</w:t>
      </w:r>
      <w:r>
        <w:rPr>
          <w:rFonts w:ascii="宋体" w:hAnsi="宋体"/>
          <w:szCs w:val="28"/>
          <w:highlight w:val="none"/>
        </w:rPr>
        <w:t>表</w:t>
      </w:r>
      <w:r>
        <w:tab/>
      </w:r>
      <w:r>
        <w:fldChar w:fldCharType="begin"/>
      </w:r>
      <w:r>
        <w:instrText xml:space="preserve"> PAGEREF _Toc3936 \h </w:instrText>
      </w:r>
      <w:r>
        <w:fldChar w:fldCharType="separate"/>
      </w:r>
      <w:r>
        <w:t>36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DEEF5E4">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_Toc11111 </w:instrText>
      </w:r>
      <w:r>
        <w:rPr>
          <w:rFonts w:ascii="宋体" w:hAnsi="宋体"/>
          <w:bCs/>
          <w:caps/>
          <w:szCs w:val="21"/>
          <w:highlight w:val="none"/>
        </w:rPr>
        <w:fldChar w:fldCharType="separate"/>
      </w:r>
      <w:r>
        <w:rPr>
          <w:rFonts w:hint="eastAsia" w:ascii="宋体" w:hAnsi="宋体"/>
          <w:szCs w:val="28"/>
          <w:highlight w:val="none"/>
        </w:rPr>
        <w:t>附件四：商务条款偏离一览表</w:t>
      </w:r>
      <w:r>
        <w:tab/>
      </w:r>
      <w:r>
        <w:fldChar w:fldCharType="begin"/>
      </w:r>
      <w:r>
        <w:instrText xml:space="preserve"> PAGEREF _Toc11111 \h </w:instrText>
      </w:r>
      <w:r>
        <w:fldChar w:fldCharType="separate"/>
      </w:r>
      <w:r>
        <w:t>37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BA55EB7">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_Toc8894 </w:instrText>
      </w:r>
      <w:r>
        <w:rPr>
          <w:rFonts w:ascii="宋体" w:hAnsi="宋体"/>
          <w:bCs/>
          <w:caps/>
          <w:szCs w:val="21"/>
          <w:highlight w:val="none"/>
        </w:rPr>
        <w:fldChar w:fldCharType="separate"/>
      </w:r>
      <w:r>
        <w:rPr>
          <w:rFonts w:hint="eastAsia" w:ascii="宋体" w:hAnsi="宋体"/>
          <w:szCs w:val="28"/>
          <w:highlight w:val="none"/>
        </w:rPr>
        <w:t>附件五：技术条款偏离一览表</w:t>
      </w:r>
      <w:r>
        <w:tab/>
      </w:r>
      <w:r>
        <w:fldChar w:fldCharType="begin"/>
      </w:r>
      <w:r>
        <w:instrText xml:space="preserve"> PAGEREF _Toc8894 \h </w:instrText>
      </w:r>
      <w:r>
        <w:fldChar w:fldCharType="separate"/>
      </w:r>
      <w:r>
        <w:t>38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AB2B1F2">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_Toc31401 </w:instrText>
      </w:r>
      <w:r>
        <w:rPr>
          <w:rFonts w:ascii="宋体" w:hAnsi="宋体"/>
          <w:bCs/>
          <w:caps/>
          <w:szCs w:val="21"/>
          <w:highlight w:val="none"/>
        </w:rPr>
        <w:fldChar w:fldCharType="separate"/>
      </w:r>
      <w:r>
        <w:rPr>
          <w:rFonts w:hint="eastAsia" w:ascii="宋体" w:hAnsi="宋体"/>
          <w:szCs w:val="28"/>
          <w:highlight w:val="none"/>
        </w:rPr>
        <w:t>附件六：同类业绩一览表</w:t>
      </w:r>
      <w:r>
        <w:tab/>
      </w:r>
      <w:r>
        <w:fldChar w:fldCharType="begin"/>
      </w:r>
      <w:r>
        <w:instrText xml:space="preserve"> PAGEREF _Toc31401 \h </w:instrText>
      </w:r>
      <w:r>
        <w:fldChar w:fldCharType="separate"/>
      </w:r>
      <w:r>
        <w:t>39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FDFE6B2">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_Toc6275 </w:instrText>
      </w:r>
      <w:r>
        <w:rPr>
          <w:rFonts w:ascii="宋体" w:hAnsi="宋体"/>
          <w:bCs/>
          <w:caps/>
          <w:szCs w:val="21"/>
          <w:highlight w:val="none"/>
        </w:rPr>
        <w:fldChar w:fldCharType="separate"/>
      </w:r>
      <w:r>
        <w:rPr>
          <w:rFonts w:hint="eastAsia"/>
          <w:szCs w:val="28"/>
          <w:highlight w:val="none"/>
        </w:rPr>
        <w:t>附件七：</w:t>
      </w:r>
      <w:r>
        <w:rPr>
          <w:rFonts w:hint="eastAsia" w:hAnsi="黑体" w:cs="黑体"/>
          <w:szCs w:val="28"/>
          <w:highlight w:val="none"/>
        </w:rPr>
        <w:t>中小微企业声明函</w:t>
      </w:r>
      <w:r>
        <w:tab/>
      </w:r>
      <w:r>
        <w:fldChar w:fldCharType="begin"/>
      </w:r>
      <w:r>
        <w:instrText xml:space="preserve"> PAGEREF _Toc6275 \h </w:instrText>
      </w:r>
      <w:r>
        <w:fldChar w:fldCharType="separate"/>
      </w:r>
      <w:r>
        <w:t>40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CDD1B2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_Toc28623 </w:instrText>
      </w:r>
      <w:r>
        <w:rPr>
          <w:rFonts w:ascii="宋体" w:hAnsi="宋体"/>
          <w:bCs/>
          <w:caps/>
          <w:szCs w:val="21"/>
          <w:highlight w:val="none"/>
        </w:rPr>
        <w:fldChar w:fldCharType="separate"/>
      </w:r>
      <w:r>
        <w:rPr>
          <w:rFonts w:hint="eastAsia"/>
          <w:szCs w:val="28"/>
          <w:highlight w:val="none"/>
        </w:rPr>
        <w:t>附件八：</w:t>
      </w:r>
      <w:r>
        <w:rPr>
          <w:rFonts w:hint="eastAsia" w:hAnsi="黑体" w:cs="黑体"/>
          <w:szCs w:val="28"/>
          <w:highlight w:val="none"/>
        </w:rPr>
        <w:t>残疾人福利性单位声明函</w:t>
      </w:r>
      <w:r>
        <w:tab/>
      </w:r>
      <w:r>
        <w:fldChar w:fldCharType="begin"/>
      </w:r>
      <w:r>
        <w:instrText xml:space="preserve"> PAGEREF _Toc28623 \h </w:instrText>
      </w:r>
      <w:r>
        <w:fldChar w:fldCharType="separate"/>
      </w:r>
      <w:r>
        <w:t>41</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0C46AA2">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_Toc12878 </w:instrText>
      </w:r>
      <w:r>
        <w:rPr>
          <w:rFonts w:ascii="宋体" w:hAnsi="宋体"/>
          <w:bCs/>
          <w:caps/>
          <w:szCs w:val="21"/>
          <w:highlight w:val="none"/>
        </w:rPr>
        <w:fldChar w:fldCharType="separate"/>
      </w:r>
      <w:r>
        <w:rPr>
          <w:rFonts w:hint="eastAsia" w:ascii="宋体" w:hAnsi="宋体"/>
          <w:szCs w:val="28"/>
          <w:highlight w:val="none"/>
        </w:rPr>
        <w:t>附件九：成交服务费承诺</w:t>
      </w:r>
      <w:r>
        <w:tab/>
      </w:r>
      <w:r>
        <w:fldChar w:fldCharType="begin"/>
      </w:r>
      <w:r>
        <w:instrText xml:space="preserve"> PAGEREF _Toc12878 \h </w:instrText>
      </w:r>
      <w:r>
        <w:fldChar w:fldCharType="separate"/>
      </w:r>
      <w:r>
        <w:t>42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7707AA5">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_Toc16603 </w:instrText>
      </w:r>
      <w:r>
        <w:rPr>
          <w:rFonts w:ascii="宋体" w:hAnsi="宋体"/>
          <w:bCs/>
          <w:caps/>
          <w:szCs w:val="21"/>
          <w:highlight w:val="none"/>
        </w:rPr>
        <w:fldChar w:fldCharType="separate"/>
      </w:r>
      <w:r>
        <w:rPr>
          <w:rFonts w:hint="eastAsia" w:ascii="宋体" w:hAnsi="宋体"/>
          <w:szCs w:val="28"/>
          <w:highlight w:val="none"/>
        </w:rPr>
        <w:t>附件十：磋商供应商提交的其他资料</w:t>
      </w:r>
      <w:r>
        <w:tab/>
      </w:r>
      <w:r>
        <w:fldChar w:fldCharType="begin"/>
      </w:r>
      <w:r>
        <w:instrText xml:space="preserve"> PAGEREF _Toc16603 \h </w:instrText>
      </w:r>
      <w:r>
        <w:fldChar w:fldCharType="separate"/>
      </w:r>
      <w:r>
        <w:t>43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B1C8809">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_Toc17798 </w:instrText>
      </w:r>
      <w:r>
        <w:rPr>
          <w:rFonts w:ascii="宋体" w:hAnsi="宋体"/>
          <w:bCs/>
          <w:caps/>
          <w:szCs w:val="21"/>
          <w:highlight w:val="none"/>
        </w:rPr>
        <w:fldChar w:fldCharType="separate"/>
      </w:r>
      <w:r>
        <w:rPr>
          <w:rFonts w:hint="eastAsia" w:ascii="宋体" w:hAnsi="宋体"/>
          <w:highlight w:val="none"/>
        </w:rPr>
        <w:t>其 他 格 式</w:t>
      </w:r>
      <w:r>
        <w:tab/>
      </w:r>
      <w:r>
        <w:fldChar w:fldCharType="begin"/>
      </w:r>
      <w:r>
        <w:instrText xml:space="preserve"> PAGEREF _Toc17798 \h </w:instrText>
      </w:r>
      <w:r>
        <w:fldChar w:fldCharType="separate"/>
      </w:r>
      <w:r>
        <w:t>45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65967002"/>
      <w:bookmarkStart w:id="2" w:name="_Toc366072457"/>
      <w:bookmarkStart w:id="3" w:name="_Toc333237723"/>
      <w:bookmarkStart w:id="4" w:name="_Toc340507403"/>
      <w:bookmarkStart w:id="5" w:name="_Toc339020186"/>
      <w:bookmarkStart w:id="6" w:name="_Toc339019954"/>
      <w:bookmarkStart w:id="7" w:name="_Toc350756403"/>
      <w:bookmarkStart w:id="8" w:name="_Toc330459945"/>
      <w:bookmarkStart w:id="9" w:name="_Toc337632315"/>
      <w:bookmarkStart w:id="10" w:name="_Toc332206657"/>
      <w:bookmarkStart w:id="11" w:name="_Toc341348291"/>
      <w:bookmarkStart w:id="12" w:name="_Toc365985108"/>
      <w:bookmarkStart w:id="13" w:name="_Toc339020048"/>
      <w:bookmarkStart w:id="14" w:name="_Toc339362257"/>
      <w:bookmarkStart w:id="15" w:name="_Toc333935619"/>
      <w:bookmarkStart w:id="16" w:name="_Toc333935278"/>
      <w:bookmarkStart w:id="17" w:name="_Toc349143546"/>
      <w:bookmarkStart w:id="18" w:name="_Toc342296708"/>
      <w:bookmarkStart w:id="19" w:name="_Toc339441044"/>
      <w:bookmarkStart w:id="20" w:name="_Toc345513762"/>
      <w:bookmarkStart w:id="21" w:name="_Toc350438702"/>
      <w:bookmarkStart w:id="22" w:name="_Toc336681537"/>
      <w:bookmarkStart w:id="23" w:name="_Toc349127583"/>
      <w:bookmarkStart w:id="24" w:name="_Toc31757"/>
      <w:bookmarkStart w:id="25" w:name="_Toc340677031"/>
      <w:bookmarkStart w:id="26" w:name="_Toc340672830"/>
      <w:bookmarkStart w:id="27" w:name="_Toc331683994"/>
      <w:bookmarkStart w:id="28" w:name="_Toc333237612"/>
      <w:bookmarkStart w:id="29" w:name="_Toc333238571"/>
      <w:bookmarkStart w:id="30" w:name="_Toc332270305"/>
      <w:bookmarkStart w:id="31" w:name="_Toc342060322"/>
      <w:bookmarkStart w:id="32" w:name="_Toc339019828"/>
      <w:bookmarkStart w:id="33" w:name="_Toc336681892"/>
      <w:bookmarkStart w:id="34" w:name="_Toc331512856"/>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阳江市残疾人康复中心</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2025年阳江市残疾人康复中心辅助器具采购项目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YXCG-20251224</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2025年阳江市残疾人康复中心辅助器具采购项目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YXCG-20251224</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3.磋商报价上限：人民币</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200000.00</w:t>
      </w:r>
      <w:r>
        <w:rPr>
          <w:rFonts w:hint="eastAsia" w:ascii="宋体" w:hAnsi="宋体" w:eastAsia="宋体" w:cs="宋体"/>
          <w:color w:val="000000" w:themeColor="text1"/>
          <w:sz w:val="21"/>
          <w:szCs w:val="21"/>
          <w:highlight w:val="none"/>
          <w:u w:val="none"/>
          <w14:textFill>
            <w14:solidFill>
              <w14:schemeClr w14:val="tx1"/>
            </w14:solidFill>
          </w14:textFill>
        </w:rPr>
        <w:t>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1A5C55E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交货期</w:t>
      </w:r>
      <w:r>
        <w:rPr>
          <w:rFonts w:hint="eastAsia" w:ascii="宋体" w:hAnsi="宋体"/>
          <w:bCs/>
          <w:color w:val="000000" w:themeColor="text1"/>
          <w:highlight w:val="none"/>
          <w14:textFill>
            <w14:solidFill>
              <w14:schemeClr w14:val="tx1"/>
            </w14:solidFill>
          </w14:textFill>
        </w:rPr>
        <w:t>：</w:t>
      </w:r>
      <w:bookmarkStart w:id="37" w:name="OLE_LINK1"/>
      <w:r>
        <w:rPr>
          <w:rFonts w:hint="eastAsia" w:ascii="宋体" w:hAnsi="宋体" w:eastAsia="宋体" w:cs="宋体"/>
          <w:b w:val="0"/>
          <w:bCs/>
          <w:color w:val="000000" w:themeColor="text1"/>
          <w:sz w:val="21"/>
          <w:szCs w:val="21"/>
          <w:highlight w:val="none"/>
          <w:lang w:eastAsia="zh-CN"/>
          <w14:textFill>
            <w14:solidFill>
              <w14:schemeClr w14:val="tx1"/>
            </w14:solidFill>
          </w14:textFill>
        </w:rPr>
        <w:t>自合同签订后15天完成供货、安装调试以及验收。相关单位联合验收，并签署项目验收报告。</w:t>
      </w:r>
      <w:bookmarkEnd w:id="37"/>
      <w:r>
        <w:rPr>
          <w:rFonts w:ascii="宋体" w:hAnsi="宋体" w:eastAsia="宋体"/>
          <w:color w:val="000000" w:themeColor="text1"/>
          <w:szCs w:val="2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交货期</w:t>
      </w:r>
      <w:r>
        <w:rPr>
          <w:rFonts w:ascii="宋体" w:hAnsi="宋体" w:eastAsia="宋体"/>
          <w:color w:val="000000" w:themeColor="text1"/>
          <w:szCs w:val="21"/>
          <w:highlight w:val="none"/>
          <w14:textFill>
            <w14:solidFill>
              <w14:schemeClr w14:val="tx1"/>
            </w14:solidFill>
          </w14:textFill>
        </w:rPr>
        <w:t>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22637BB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E52488">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14:textFill>
            <w14:solidFill>
              <w14:schemeClr w14:val="tx1"/>
            </w14:solidFill>
          </w14:textFill>
        </w:rPr>
        <w:t>（提供《磋商邀请函》承诺）</w:t>
      </w:r>
    </w:p>
    <w:p w14:paraId="53D9DBF3">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highlight w:val="none"/>
          <w14:textFill>
            <w14:solidFill>
              <w14:schemeClr w14:val="tx1"/>
            </w14:solidFill>
          </w14:textFill>
        </w:rPr>
        <w:t>（提供《磋商邀请函》承诺）</w:t>
      </w:r>
    </w:p>
    <w:p w14:paraId="3A0C7BD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54C0C3A">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olor w:val="auto"/>
          <w:highlight w:val="none"/>
          <w:lang w:val="en-US" w:eastAsia="zh-CN"/>
        </w:rPr>
        <w:t>供应商应具有医疗器械生产许可证或医疗器械经营许可证或第二类医疗器械经营备案凭证并在有效期内。</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本项目不接受联合体投标。</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间及下载：2025年12月29日至2026年1月6日。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时间：2025年12月29日至2026年1月6日，上午9:00～12:00，下午2:30～5:30（节假日除外）（北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9"/>
          <w:rFonts w:hint="eastAsia" w:ascii="宋体" w:hAnsi="宋体"/>
          <w:b/>
          <w:bCs/>
          <w:color w:val="000000" w:themeColor="text1"/>
          <w:highlight w:val="none"/>
          <w14:textFill>
            <w14:solidFill>
              <w14:schemeClr w14:val="tx1"/>
            </w14:solidFill>
          </w14:textFill>
        </w:rPr>
        <w:t>www.creditchina.gov.cn)“记录失信被执行人或重大</w:t>
      </w:r>
      <w:r>
        <w:rPr>
          <w:rStyle w:val="59"/>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1.递交磋商响应文件时间：2026年1月12日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2.响应截止时间：2026年1月12日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阳江市残疾人康复中心</w:t>
      </w:r>
    </w:p>
    <w:p w14:paraId="056D4CF6">
      <w:pPr>
        <w:tabs>
          <w:tab w:val="left" w:pos="735"/>
          <w:tab w:val="left" w:pos="4680"/>
        </w:tabs>
        <w:adjustRightInd w:val="0"/>
        <w:snapToGrid w:val="0"/>
        <w:spacing w:line="360" w:lineRule="auto"/>
        <w:ind w:firstLine="420" w:firstLineChars="200"/>
        <w:rPr>
          <w:rFonts w:hint="eastAsia" w:ascii="宋体" w:hAnsi="宋体" w:cs="Tahoma"/>
          <w:color w:val="auto"/>
          <w:kern w:val="28"/>
          <w:szCs w:val="21"/>
          <w:highlight w:val="none"/>
        </w:rPr>
      </w:pPr>
      <w:r>
        <w:rPr>
          <w:rFonts w:hint="eastAsia" w:ascii="宋体" w:hAnsi="宋体" w:cs="Tahoma"/>
          <w:color w:val="auto"/>
          <w:kern w:val="28"/>
          <w:szCs w:val="21"/>
          <w:highlight w:val="none"/>
        </w:rPr>
        <w:t>地    址：阳江市江城区波陵园12号</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auto"/>
          <w:kern w:val="28"/>
          <w:szCs w:val="21"/>
          <w:highlight w:val="none"/>
          <w:lang w:val="en-US" w:eastAsia="zh-CN"/>
        </w:rPr>
      </w:pPr>
      <w:r>
        <w:rPr>
          <w:rFonts w:hint="eastAsia" w:ascii="宋体" w:hAnsi="宋体" w:cs="Tahoma"/>
          <w:color w:val="auto"/>
          <w:kern w:val="28"/>
          <w:szCs w:val="21"/>
          <w:highlight w:val="none"/>
        </w:rPr>
        <w:t>联 系 人：黄主任</w:t>
      </w:r>
    </w:p>
    <w:p w14:paraId="37FCC3D6">
      <w:pPr>
        <w:tabs>
          <w:tab w:val="left" w:pos="735"/>
          <w:tab w:val="left" w:pos="4680"/>
        </w:tabs>
        <w:adjustRightInd w:val="0"/>
        <w:snapToGrid w:val="0"/>
        <w:spacing w:line="360" w:lineRule="auto"/>
        <w:ind w:firstLine="420" w:firstLineChars="200"/>
        <w:rPr>
          <w:rFonts w:ascii="宋体" w:hAnsi="宋体" w:cs="Tahoma"/>
          <w:color w:val="auto"/>
          <w:kern w:val="28"/>
          <w:szCs w:val="21"/>
          <w:highlight w:val="none"/>
        </w:rPr>
      </w:pPr>
      <w:r>
        <w:rPr>
          <w:rFonts w:hint="eastAsia" w:ascii="宋体" w:hAnsi="宋体" w:cs="Tahoma"/>
          <w:color w:val="auto"/>
          <w:kern w:val="28"/>
          <w:szCs w:val="21"/>
          <w:highlight w:val="none"/>
        </w:rPr>
        <w:t>联系电话：0662-3105368</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44C567CE">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8" w:name="_Toc337632316"/>
      <w:bookmarkStart w:id="39" w:name="_Toc331683995"/>
      <w:bookmarkStart w:id="40" w:name="_Toc350438703"/>
      <w:bookmarkStart w:id="41" w:name="_Toc331512857"/>
      <w:bookmarkStart w:id="42" w:name="_Toc332270306"/>
      <w:bookmarkStart w:id="43" w:name="_Toc333237724"/>
      <w:bookmarkStart w:id="44" w:name="_Toc333238572"/>
      <w:bookmarkStart w:id="45" w:name="_Toc366072458"/>
      <w:bookmarkStart w:id="46" w:name="_Toc330459946"/>
      <w:bookmarkStart w:id="47" w:name="_Toc345513763"/>
      <w:bookmarkStart w:id="48" w:name="_Toc336681893"/>
      <w:bookmarkStart w:id="49" w:name="_Toc339020187"/>
      <w:bookmarkStart w:id="50" w:name="_Toc349143547"/>
      <w:bookmarkStart w:id="51" w:name="_Toc341348292"/>
      <w:bookmarkStart w:id="52" w:name="_Toc339441045"/>
      <w:bookmarkStart w:id="53" w:name="_Toc336681538"/>
      <w:bookmarkStart w:id="54" w:name="_Toc339019829"/>
      <w:bookmarkStart w:id="55" w:name="_Toc350756404"/>
      <w:bookmarkStart w:id="56" w:name="_Toc339020049"/>
      <w:bookmarkStart w:id="57" w:name="_Toc365967003"/>
      <w:bookmarkStart w:id="58" w:name="_Toc333935279"/>
      <w:bookmarkStart w:id="59" w:name="_Toc349127584"/>
      <w:bookmarkStart w:id="60" w:name="_Toc333237613"/>
      <w:bookmarkStart w:id="61" w:name="_Toc340672831"/>
      <w:bookmarkStart w:id="62" w:name="_Toc342060323"/>
      <w:bookmarkStart w:id="63" w:name="_Toc339362258"/>
      <w:bookmarkStart w:id="64" w:name="_Toc340507404"/>
      <w:bookmarkStart w:id="65" w:name="_Toc339019955"/>
      <w:bookmarkStart w:id="66" w:name="_Toc333935620"/>
      <w:bookmarkStart w:id="67" w:name="_Toc340677032"/>
      <w:bookmarkStart w:id="68" w:name="_Toc365985109"/>
      <w:bookmarkStart w:id="69" w:name="_Toc332206658"/>
      <w:bookmarkStart w:id="70" w:name="_Toc342296709"/>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2025年12月29日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65AE2E55">
      <w:pPr>
        <w:pStyle w:val="2"/>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1" w:name="_Toc3205"/>
      <w:r>
        <w:rPr>
          <w:rFonts w:hint="eastAsia" w:ascii="宋体" w:hAnsi="宋体" w:eastAsia="宋体"/>
          <w:b/>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2" w:name="_Hlt23321722"/>
      <w:bookmarkEnd w:id="72"/>
      <w:bookmarkStart w:id="73" w:name="_Toc333935621"/>
      <w:bookmarkStart w:id="74" w:name="_Toc333237725"/>
      <w:bookmarkStart w:id="75" w:name="_Toc333935280"/>
      <w:bookmarkStart w:id="76" w:name="_Toc75570886"/>
      <w:bookmarkStart w:id="77" w:name="_Toc333238573"/>
      <w:bookmarkStart w:id="78" w:name="_Toc330459949"/>
      <w:bookmarkStart w:id="79" w:name="_Toc333237614"/>
      <w:r>
        <w:rPr>
          <w:rFonts w:hint="eastAsia" w:ascii="宋体" w:hAnsi="宋体" w:eastAsia="宋体"/>
          <w:b/>
          <w:color w:val="000000" w:themeColor="text1"/>
          <w:highlight w:val="none"/>
          <w14:textFill>
            <w14:solidFill>
              <w14:schemeClr w14:val="tx1"/>
            </w14:solidFill>
          </w14:textFill>
        </w:rPr>
        <w:t>采购项目内容</w:t>
      </w:r>
      <w:bookmarkEnd w:id="71"/>
    </w:p>
    <w:bookmarkEnd w:id="73"/>
    <w:bookmarkEnd w:id="74"/>
    <w:bookmarkEnd w:id="75"/>
    <w:bookmarkEnd w:id="76"/>
    <w:bookmarkEnd w:id="77"/>
    <w:bookmarkEnd w:id="78"/>
    <w:bookmarkEnd w:id="79"/>
    <w:p w14:paraId="57B05D1A">
      <w:pPr>
        <w:spacing w:line="360" w:lineRule="auto"/>
        <w:rPr>
          <w:rFonts w:ascii="宋体" w:hAnsi="宋体" w:cs="宋体"/>
          <w:b/>
          <w:bCs/>
          <w:color w:val="000000" w:themeColor="text1"/>
          <w:highlight w:val="none"/>
          <w14:textFill>
            <w14:solidFill>
              <w14:schemeClr w14:val="tx1"/>
            </w14:solidFill>
          </w14:textFill>
        </w:rPr>
      </w:pPr>
      <w:bookmarkStart w:id="80" w:name="_Toc345513834"/>
      <w:bookmarkStart w:id="81" w:name="_Toc331684005"/>
      <w:bookmarkStart w:id="82" w:name="_Toc339441054"/>
      <w:bookmarkStart w:id="83" w:name="_Toc339020062"/>
      <w:bookmarkStart w:id="84" w:name="_Toc349127593"/>
      <w:bookmarkStart w:id="85" w:name="_Toc340507409"/>
      <w:bookmarkStart w:id="86" w:name="_Toc350438716"/>
      <w:bookmarkStart w:id="87" w:name="_Toc339020200"/>
      <w:bookmarkStart w:id="88" w:name="_Toc336681902"/>
      <w:bookmarkStart w:id="89" w:name="_Toc337632325"/>
      <w:bookmarkStart w:id="90" w:name="_Toc365985146"/>
      <w:bookmarkStart w:id="91" w:name="_Toc349143556"/>
      <w:bookmarkStart w:id="92" w:name="_Toc330459952"/>
      <w:bookmarkStart w:id="93" w:name="_Toc341348305"/>
      <w:bookmarkStart w:id="94" w:name="_Toc340672836"/>
      <w:bookmarkStart w:id="95" w:name="_Toc332270313"/>
      <w:bookmarkStart w:id="96" w:name="_Toc365967040"/>
      <w:bookmarkStart w:id="97" w:name="_Toc333238600"/>
      <w:bookmarkStart w:id="98" w:name="_Toc336681547"/>
      <w:bookmarkStart w:id="99" w:name="_Toc350756417"/>
      <w:bookmarkStart w:id="100" w:name="_Toc333935654"/>
      <w:bookmarkStart w:id="101" w:name="_Toc342296727"/>
      <w:bookmarkStart w:id="102" w:name="_Toc332206675"/>
      <w:bookmarkStart w:id="103" w:name="_Toc342060341"/>
      <w:bookmarkStart w:id="104" w:name="_Toc331512865"/>
      <w:bookmarkStart w:id="105" w:name="_Toc333237755"/>
      <w:bookmarkStart w:id="106" w:name="_Toc333237644"/>
      <w:bookmarkStart w:id="107" w:name="_Toc366072495"/>
      <w:bookmarkStart w:id="108" w:name="_Toc339362267"/>
      <w:bookmarkStart w:id="109" w:name="_Toc333935313"/>
      <w:bookmarkStart w:id="110" w:name="_Toc340677037"/>
      <w:bookmarkStart w:id="111" w:name="_Toc339019856"/>
      <w:bookmarkStart w:id="112" w:name="_Toc339019982"/>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YXCG-20251224</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2025年阳江市残疾人康复中心辅助器具采购项目</w:t>
      </w:r>
    </w:p>
    <w:p w14:paraId="4D4804CF">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30713"/>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3"/>
    </w:p>
    <w:tbl>
      <w:tblPr>
        <w:tblStyle w:val="5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A9CB7DB">
            <w:pPr>
              <w:spacing w:line="320" w:lineRule="exact"/>
              <w:jc w:val="center"/>
              <w:rPr>
                <w:rFonts w:hint="default"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48E562">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1.所投产品材料材质和设备成品，应使用原装的、全新的合格产品，均执行至少一年保修供应商须根据采购人实际采购的需求，提供产品设备及安装调试。</w:t>
            </w:r>
          </w:p>
          <w:p w14:paraId="52192F3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2.提供所投产品合格证书和最新生产证书复印件。</w:t>
            </w:r>
          </w:p>
          <w:p w14:paraId="57F0857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采购人认为材料、设施可能不符合招标文件要求或可能具有其他安全隐患时，采购人可随机抽样并将样品提交给第三方检测机构进行检测。检测合格方可使用，检测不合格的一切损失由成交供应商承担检测产生的所有费用由成交供应商承担。</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CD43F3">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0C526">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供应商报价必须包含所有内容要求里所列的设施、设备、货物及零配件的设计、检测、试验、采购、制造、包装、运输费、人工搬运及装卸、现场仓储、安装、施工、调试、软件、培训、技术服务、项目资料建档、残疾人筛查、基本资料搜集、项目验收、质保期保障服务、人工、综合税费及项目进行中应预见和不可预见的所有费用。</w:t>
            </w:r>
          </w:p>
          <w:p w14:paraId="5EFC355C">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2.供应商必须确保设备参数的真实性，如发现成交供应商提供虚假材料或虚假参数谋取成交的，采购人有权拒绝接收其成交设备，终止合同并追究其法律责任。</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2DD9A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DEE74">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通知书》与采购人双方签订，签订时间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cs="宋体"/>
                <w:b w:val="0"/>
                <w:bCs/>
                <w:color w:val="000000" w:themeColor="text1"/>
                <w:sz w:val="21"/>
                <w:szCs w:val="21"/>
                <w:highlight w:val="none"/>
                <w:lang w:val="en-US" w:eastAsia="zh-CN"/>
                <w14:textFill>
                  <w14:solidFill>
                    <w14:schemeClr w14:val="tx1"/>
                  </w14:solidFill>
                </w14:textFill>
              </w:rPr>
              <w:t>之日起6个工作日内</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FABF6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6CB5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05825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3FFA84">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b w:val="0"/>
                <w:bCs w:val="0"/>
                <w:kern w:val="0"/>
                <w:szCs w:val="21"/>
                <w:lang w:val="en-US" w:eastAsia="zh-CN"/>
              </w:rPr>
              <w:t>项目签订合同后，待成交供应商将所有产品交付采购方并现场验收后，成交供应商开具税票给采购人，采购人将支付给成交供应商 100%货款。</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4BBB7FA">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0749D">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要求对全部设备的型号、规格、数量、外型、外观、包装及资料、文件（如装箱单、保修单、随箱介质等）进行验收。</w:t>
            </w:r>
          </w:p>
        </w:tc>
      </w:tr>
      <w:tr w14:paraId="565A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6E63E">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5C87881">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eastAsia="宋体" w:cs="宋体"/>
                <w:b/>
                <w:color w:val="auto"/>
                <w:sz w:val="21"/>
                <w:szCs w:val="21"/>
                <w:highlight w:val="none"/>
                <w:lang w:val="en-US" w:eastAsia="zh-CN"/>
              </w:rPr>
              <w:t>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D3BD7D">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auto"/>
                <w:sz w:val="21"/>
                <w:szCs w:val="21"/>
                <w:highlight w:val="none"/>
                <w:lang w:val="en-US" w:eastAsia="zh-CN"/>
              </w:rPr>
              <w:t>成交供应商必须按照采购人要求做好辅具安装调试工作。</w:t>
            </w:r>
          </w:p>
        </w:tc>
      </w:tr>
      <w:tr w14:paraId="3D9F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487DC58">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526644B">
            <w:pPr>
              <w:spacing w:line="32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质保期</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C91E9A">
            <w:pPr>
              <w:spacing w:line="320" w:lineRule="exac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如无特殊说明，供应商所投产品设备的质保期应不少于一年。若生产制造商提供更优的质保期，则按生产制造商的标准执行。质保期自双方代表在验收报告上签字之日起计算。</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67358D">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val="0"/>
                <w:color w:val="auto"/>
                <w:sz w:val="21"/>
                <w:szCs w:val="21"/>
                <w:highlight w:val="none"/>
                <w:lang w:val="en-US" w:eastAsia="zh-CN"/>
              </w:rPr>
              <w:t>质量保证及售后服务</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6FB118">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1.供应商须保证产品是全新、未曾使用过的，其质量、规格及技术特征符合招标要求。</w:t>
            </w:r>
          </w:p>
          <w:p w14:paraId="2F73DFAE">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1)质保期内出现产品质量及安装问题，由成交供应商负责包修、包换或包退，并承担因此而产生的一切费用。</w:t>
            </w:r>
          </w:p>
          <w:p w14:paraId="6274557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2)质保期内修理的，成交供应商须填写维修报告(包括故障原因、处理情况及用户意见等)报采购人备案其中产生的费用均由成交供应商承担。</w:t>
            </w:r>
          </w:p>
          <w:p w14:paraId="788C519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3)质保期后对产品提供终身免费保修服务，如需更换零配件，成交供应商只收取零配件费。在硬件无改变的情况下，软件终身免费升级。</w:t>
            </w:r>
          </w:p>
          <w:p w14:paraId="1A8B0A33">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质保期内，成交供应商应尽力配合用户方消(排)除中标产品、设备出现的质量问题，成交供应商应尽力配合进行检查，在30分钟内响应，2小时内有明确的解决方案。若故障不能通过电话解决的，成交供应商在接到采购人维修通知后 24小时内到达现场维修。</w:t>
            </w:r>
          </w:p>
          <w:p w14:paraId="14E0CB0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3.成交供应商免费提供现场培训及提供相关技术资料。培训内容应包括技术原理、操作、日常基本维护与保养，使受训人员能独立使用，能独立处理常见性故障以及进行日常的维护保养。</w:t>
            </w:r>
          </w:p>
          <w:p w14:paraId="6E79D757">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4.成交供应商须将有关产品说明书、原厂家安装手册、技术文件、资料及安装、验收报告等文档汇集成册后交付至采购人。</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参考发改价格[2011]534号文的规定，招标代理服务费按差额定率累进法计算（不足</w:t>
            </w:r>
            <w:r>
              <w:rPr>
                <w:rFonts w:hint="eastAsia" w:ascii="宋体" w:hAnsi="宋体" w:cs="宋体"/>
                <w:bCs/>
                <w:color w:val="000000" w:themeColor="text1"/>
                <w:szCs w:val="21"/>
                <w:highlight w:val="none"/>
                <w:lang w:val="en-US" w:eastAsia="zh-CN"/>
                <w14:textFill>
                  <w14:solidFill>
                    <w14:schemeClr w14:val="tx1"/>
                  </w14:solidFill>
                </w14:textFill>
              </w:rPr>
              <w:t>6500</w:t>
            </w:r>
            <w:r>
              <w:rPr>
                <w:rFonts w:hint="eastAsia" w:ascii="宋体" w:hAnsi="宋体" w:cs="宋体"/>
                <w:bCs/>
                <w:color w:val="000000" w:themeColor="text1"/>
                <w:szCs w:val="21"/>
                <w:highlight w:val="none"/>
                <w14:textFill>
                  <w14:solidFill>
                    <w14:schemeClr w14:val="tx1"/>
                  </w14:solidFill>
                </w14:textFill>
              </w:rPr>
              <w:t>元按</w:t>
            </w:r>
            <w:r>
              <w:rPr>
                <w:rFonts w:hint="eastAsia" w:ascii="宋体" w:hAnsi="宋体" w:cs="宋体"/>
                <w:bCs/>
                <w:color w:val="000000" w:themeColor="text1"/>
                <w:szCs w:val="21"/>
                <w:highlight w:val="none"/>
                <w:lang w:val="en-US" w:eastAsia="zh-CN"/>
                <w14:textFill>
                  <w14:solidFill>
                    <w14:schemeClr w14:val="tx1"/>
                  </w14:solidFill>
                </w14:textFill>
              </w:rPr>
              <w:t>6500</w:t>
            </w:r>
            <w:r>
              <w:rPr>
                <w:rFonts w:hint="eastAsia" w:ascii="宋体" w:hAnsi="宋体" w:cs="宋体"/>
                <w:bCs/>
                <w:color w:val="000000" w:themeColor="text1"/>
                <w:szCs w:val="21"/>
                <w:highlight w:val="none"/>
                <w14:textFill>
                  <w14:solidFill>
                    <w14:schemeClr w14:val="tx1"/>
                  </w14:solidFill>
                </w14:textFill>
              </w:rPr>
              <w:t>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51777ADE">
      <w:pPr>
        <w:pStyle w:val="5"/>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11A53DD">
      <w:pPr>
        <w:adjustRightInd w:val="0"/>
        <w:snapToGrid w:val="0"/>
        <w:spacing w:line="360" w:lineRule="auto"/>
        <w:rPr>
          <w:rFonts w:ascii="宋体" w:hAnsi="宋体"/>
          <w:bCs/>
          <w:color w:val="000000" w:themeColor="text1"/>
          <w:highlight w:val="none"/>
          <w14:textFill>
            <w14:solidFill>
              <w14:schemeClr w14:val="tx1"/>
            </w14:solidFill>
          </w14:textFill>
        </w:rPr>
      </w:pPr>
    </w:p>
    <w:p w14:paraId="6E44FA65">
      <w:pPr>
        <w:adjustRightInd w:val="0"/>
        <w:snapToGrid w:val="0"/>
        <w:spacing w:line="360" w:lineRule="auto"/>
        <w:rPr>
          <w:rFonts w:ascii="宋体" w:hAnsi="宋体"/>
          <w:bCs/>
          <w:color w:val="000000" w:themeColor="text1"/>
          <w:highlight w:val="none"/>
          <w14:textFill>
            <w14:solidFill>
              <w14:schemeClr w14:val="tx1"/>
            </w14:solidFill>
          </w14:textFill>
        </w:rPr>
      </w:pPr>
    </w:p>
    <w:p w14:paraId="301E6116">
      <w:pPr>
        <w:adjustRightInd w:val="0"/>
        <w:snapToGrid w:val="0"/>
        <w:spacing w:line="360" w:lineRule="auto"/>
        <w:rPr>
          <w:rFonts w:ascii="宋体" w:hAnsi="宋体"/>
          <w:bCs/>
          <w:color w:val="000000" w:themeColor="text1"/>
          <w:highlight w:val="none"/>
          <w14:textFill>
            <w14:solidFill>
              <w14:schemeClr w14:val="tx1"/>
            </w14:solidFill>
          </w14:textFill>
        </w:rPr>
      </w:pPr>
    </w:p>
    <w:p w14:paraId="527634DF">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18232"/>
      <w:r>
        <w:rPr>
          <w:rFonts w:hint="eastAsia" w:ascii="宋体" w:hAnsi="宋体"/>
          <w:color w:val="000000" w:themeColor="text1"/>
          <w:kern w:val="0"/>
          <w:sz w:val="24"/>
          <w:highlight w:val="none"/>
          <w14:textFill>
            <w14:solidFill>
              <w14:schemeClr w14:val="tx1"/>
            </w14:solidFill>
          </w14:textFill>
        </w:rPr>
        <w:t>B  技术要求</w:t>
      </w:r>
      <w:bookmarkEnd w:id="114"/>
    </w:p>
    <w:p w14:paraId="1D7E9F2D">
      <w:pPr>
        <w:rPr>
          <w:rFonts w:ascii="宋体" w:hAnsi="宋体"/>
          <w:b/>
          <w:bCs/>
          <w:color w:val="000000" w:themeColor="text1"/>
          <w:kern w:val="44"/>
          <w:sz w:val="24"/>
          <w:highlight w:val="none"/>
          <w14:textFill>
            <w14:solidFill>
              <w14:schemeClr w14:val="tx1"/>
            </w14:solidFill>
          </w14:textFill>
        </w:rPr>
      </w:pPr>
    </w:p>
    <w:p w14:paraId="58C70B96">
      <w:pPr>
        <w:pStyle w:val="238"/>
        <w:numPr>
          <w:ilvl w:val="0"/>
          <w:numId w:val="0"/>
        </w:numPr>
        <w:spacing w:line="24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设备配置清单</w:t>
      </w:r>
    </w:p>
    <w:tbl>
      <w:tblPr>
        <w:tblStyle w:val="53"/>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00"/>
        <w:gridCol w:w="4500"/>
        <w:gridCol w:w="735"/>
        <w:gridCol w:w="765"/>
        <w:gridCol w:w="1002"/>
      </w:tblGrid>
      <w:tr w14:paraId="459C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55" w:type="dxa"/>
            <w:vAlign w:val="center"/>
          </w:tcPr>
          <w:p w14:paraId="6B1B32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500" w:type="dxa"/>
            <w:vAlign w:val="center"/>
          </w:tcPr>
          <w:p w14:paraId="50B790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名称</w:t>
            </w:r>
          </w:p>
        </w:tc>
        <w:tc>
          <w:tcPr>
            <w:tcW w:w="4500" w:type="dxa"/>
            <w:shd w:val="clear" w:color="auto" w:fill="auto"/>
            <w:vAlign w:val="center"/>
          </w:tcPr>
          <w:p w14:paraId="5B6B9C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技术参数</w:t>
            </w:r>
          </w:p>
        </w:tc>
        <w:tc>
          <w:tcPr>
            <w:tcW w:w="735" w:type="dxa"/>
            <w:shd w:val="clear" w:color="auto" w:fill="auto"/>
            <w:vAlign w:val="center"/>
          </w:tcPr>
          <w:p w14:paraId="71249D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数量</w:t>
            </w:r>
          </w:p>
        </w:tc>
        <w:tc>
          <w:tcPr>
            <w:tcW w:w="765" w:type="dxa"/>
            <w:vAlign w:val="center"/>
          </w:tcPr>
          <w:p w14:paraId="45764C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单位</w:t>
            </w:r>
          </w:p>
        </w:tc>
        <w:tc>
          <w:tcPr>
            <w:tcW w:w="1002" w:type="dxa"/>
            <w:vAlign w:val="center"/>
          </w:tcPr>
          <w:p w14:paraId="507CAE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备注</w:t>
            </w:r>
          </w:p>
        </w:tc>
      </w:tr>
      <w:tr w14:paraId="0DF3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5" w:type="dxa"/>
            <w:shd w:val="clear" w:color="auto" w:fill="auto"/>
            <w:vAlign w:val="center"/>
          </w:tcPr>
          <w:p w14:paraId="047C63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00" w:type="dxa"/>
            <w:shd w:val="clear" w:color="auto" w:fill="auto"/>
            <w:vAlign w:val="center"/>
          </w:tcPr>
          <w:p w14:paraId="191CF8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普通</w:t>
            </w:r>
            <w:r>
              <w:rPr>
                <w:rFonts w:hint="eastAsia" w:ascii="宋体" w:hAnsi="宋体" w:eastAsia="宋体" w:cs="宋体"/>
                <w:sz w:val="21"/>
                <w:szCs w:val="21"/>
              </w:rPr>
              <w:t>轮椅</w:t>
            </w:r>
          </w:p>
        </w:tc>
        <w:tc>
          <w:tcPr>
            <w:tcW w:w="4500" w:type="dxa"/>
            <w:shd w:val="clear" w:color="auto" w:fill="auto"/>
            <w:vAlign w:val="center"/>
          </w:tcPr>
          <w:p w14:paraId="7DFE6941">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 xml:space="preserve">规格 ：总长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95cm，</w:t>
            </w:r>
            <w:r>
              <w:rPr>
                <w:rFonts w:hint="eastAsia" w:ascii="宋体" w:hAnsi="宋体" w:eastAsia="宋体" w:cs="宋体"/>
                <w:i w:val="0"/>
                <w:iCs w:val="0"/>
                <w:color w:val="000000"/>
                <w:kern w:val="0"/>
                <w:sz w:val="21"/>
                <w:szCs w:val="21"/>
                <w:u w:val="none"/>
                <w:lang w:val="en-US" w:eastAsia="zh-CN" w:bidi="ar"/>
              </w:rPr>
              <w:t>总宽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67cm</w:t>
            </w:r>
            <w:r>
              <w:rPr>
                <w:rFonts w:hint="eastAsia" w:ascii="宋体" w:hAnsi="宋体" w:eastAsia="宋体" w:cs="宋体"/>
                <w:i w:val="0"/>
                <w:iCs w:val="0"/>
                <w:color w:val="000000"/>
                <w:sz w:val="21"/>
                <w:szCs w:val="21"/>
                <w:u w:val="none"/>
              </w:rPr>
              <w:t xml:space="preserve"> 总高</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84cm</w:t>
            </w:r>
            <w:r>
              <w:rPr>
                <w:rFonts w:hint="eastAsia" w:ascii="宋体" w:hAnsi="宋体" w:eastAsia="宋体" w:cs="宋体"/>
                <w:i w:val="0"/>
                <w:iCs w:val="0"/>
                <w:color w:val="000000"/>
                <w:sz w:val="21"/>
                <w:szCs w:val="21"/>
                <w:u w:val="none"/>
                <w:lang w:eastAsia="zh-CN"/>
              </w:rPr>
              <w:t>。</w:t>
            </w:r>
          </w:p>
          <w:p w14:paraId="4E34E48D">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2.手驱动后轮：</w:t>
            </w:r>
            <w:r>
              <w:rPr>
                <w:rFonts w:hint="eastAsia" w:ascii="宋体" w:hAnsi="宋体" w:eastAsia="宋体" w:cs="宋体"/>
                <w:i w:val="0"/>
                <w:iCs w:val="0"/>
                <w:color w:val="000000"/>
                <w:sz w:val="21"/>
                <w:szCs w:val="21"/>
                <w:u w:val="none"/>
              </w:rPr>
              <w:t>前轮直径 20cm，后轮直径 61cm</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kern w:val="0"/>
                <w:sz w:val="21"/>
                <w:szCs w:val="21"/>
                <w:u w:val="none"/>
                <w:lang w:val="en-US" w:eastAsia="zh-CN" w:bidi="ar"/>
              </w:rPr>
              <w:t>尺寸偏差±1cm）</w:t>
            </w:r>
            <w:r>
              <w:rPr>
                <w:rFonts w:hint="eastAsia" w:ascii="宋体" w:hAnsi="宋体" w:eastAsia="宋体" w:cs="宋体"/>
                <w:i w:val="0"/>
                <w:iCs w:val="0"/>
                <w:color w:val="000000"/>
                <w:sz w:val="21"/>
                <w:szCs w:val="21"/>
                <w:u w:val="none"/>
              </w:rPr>
              <w:t>。</w:t>
            </w:r>
          </w:p>
          <w:p w14:paraId="43ED1FF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.车架选用</w:t>
            </w:r>
            <w:r>
              <w:rPr>
                <w:rFonts w:hint="eastAsia" w:ascii="宋体" w:hAnsi="宋体" w:eastAsia="宋体" w:cs="宋体"/>
                <w:i w:val="0"/>
                <w:iCs w:val="0"/>
                <w:color w:val="000000"/>
                <w:sz w:val="21"/>
                <w:szCs w:val="21"/>
                <w:u w:val="none"/>
                <w:lang w:val="en-US" w:eastAsia="zh-CN"/>
              </w:rPr>
              <w:t>钢质</w:t>
            </w:r>
            <w:r>
              <w:rPr>
                <w:rFonts w:hint="eastAsia" w:ascii="宋体" w:hAnsi="宋体" w:eastAsia="宋体" w:cs="宋体"/>
                <w:i w:val="0"/>
                <w:iCs w:val="0"/>
                <w:color w:val="000000"/>
                <w:sz w:val="21"/>
                <w:szCs w:val="21"/>
                <w:u w:val="none"/>
              </w:rPr>
              <w:t>管材</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直径</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19MM、壁厚</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1.2MM表面烤漆处理</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可折叠。</w:t>
            </w:r>
          </w:p>
          <w:p w14:paraId="4578C7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4.座</w:t>
            </w:r>
            <w:r>
              <w:rPr>
                <w:rFonts w:hint="eastAsia" w:ascii="宋体" w:hAnsi="宋体" w:eastAsia="宋体" w:cs="宋体"/>
                <w:i w:val="0"/>
                <w:iCs w:val="0"/>
                <w:color w:val="000000"/>
                <w:sz w:val="21"/>
                <w:szCs w:val="21"/>
                <w:u w:val="none"/>
                <w:lang w:val="en-US" w:eastAsia="zh-CN"/>
              </w:rPr>
              <w:t>宽≥46cm，材质</w:t>
            </w:r>
            <w:r>
              <w:rPr>
                <w:rFonts w:hint="eastAsia" w:ascii="宋体" w:hAnsi="宋体" w:eastAsia="宋体" w:cs="宋体"/>
                <w:i w:val="0"/>
                <w:iCs w:val="0"/>
                <w:color w:val="000000"/>
                <w:sz w:val="21"/>
                <w:szCs w:val="21"/>
                <w:u w:val="none"/>
              </w:rPr>
              <w:t>采用牛津尼龙布车缝成型，内置中间夹层帆布。</w:t>
            </w:r>
          </w:p>
          <w:p w14:paraId="7AF51C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.固定式扶手架，扶手垫采用高品质皮革包海绵材质,柔软易清洁。</w:t>
            </w:r>
          </w:p>
          <w:p w14:paraId="281516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固定式拆脚架，脚踏板高度可调，同时配有小腿带。</w:t>
            </w:r>
          </w:p>
          <w:p w14:paraId="1DBB4B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7.前轮配实心轮胎，后轮</w:t>
            </w:r>
            <w:r>
              <w:rPr>
                <w:rFonts w:hint="eastAsia" w:ascii="宋体" w:hAnsi="宋体" w:eastAsia="宋体" w:cs="宋体"/>
                <w:i w:val="0"/>
                <w:iCs w:val="0"/>
                <w:color w:val="000000"/>
                <w:sz w:val="21"/>
                <w:szCs w:val="21"/>
                <w:u w:val="none"/>
                <w:lang w:val="en-US" w:eastAsia="zh-CN"/>
              </w:rPr>
              <w:t>配</w:t>
            </w:r>
            <w:r>
              <w:rPr>
                <w:rFonts w:hint="eastAsia" w:ascii="宋体" w:hAnsi="宋体" w:eastAsia="宋体" w:cs="宋体"/>
                <w:i w:val="0"/>
                <w:iCs w:val="0"/>
                <w:color w:val="000000"/>
                <w:sz w:val="21"/>
                <w:szCs w:val="21"/>
                <w:u w:val="none"/>
              </w:rPr>
              <w:t>橡胶免充气轮胎</w:t>
            </w:r>
            <w:r>
              <w:rPr>
                <w:rFonts w:hint="eastAsia" w:ascii="宋体" w:hAnsi="宋体" w:eastAsia="宋体" w:cs="宋体"/>
                <w:i w:val="0"/>
                <w:iCs w:val="0"/>
                <w:color w:val="000000"/>
                <w:sz w:val="21"/>
                <w:szCs w:val="21"/>
                <w:u w:val="none"/>
                <w:lang w:eastAsia="zh-CN"/>
              </w:rPr>
              <w:t>。</w:t>
            </w:r>
          </w:p>
          <w:p w14:paraId="3B0BD3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8</w:t>
            </w:r>
            <w:r>
              <w:rPr>
                <w:rFonts w:hint="eastAsia" w:ascii="宋体" w:hAnsi="宋体" w:eastAsia="宋体" w:cs="宋体"/>
                <w:i w:val="0"/>
                <w:iCs w:val="0"/>
                <w:color w:val="000000"/>
                <w:sz w:val="21"/>
                <w:szCs w:val="21"/>
                <w:u w:val="none"/>
              </w:rPr>
              <w:t>.刹车采用肘节式刹车装置制动后低于座位面，另后把手处具有连刹功能，能让看护者随时刹车。</w:t>
            </w:r>
          </w:p>
          <w:p w14:paraId="733C206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i w:val="0"/>
                <w:iCs w:val="0"/>
                <w:color w:val="000000"/>
                <w:sz w:val="21"/>
                <w:szCs w:val="21"/>
                <w:u w:val="none"/>
                <w:lang w:val="en-US" w:eastAsia="zh-CN"/>
              </w:rPr>
              <w:t>9</w:t>
            </w:r>
            <w:r>
              <w:rPr>
                <w:rFonts w:hint="eastAsia" w:ascii="宋体" w:hAnsi="宋体" w:eastAsia="宋体" w:cs="宋体"/>
                <w:i w:val="0"/>
                <w:iCs w:val="0"/>
                <w:color w:val="000000"/>
                <w:sz w:val="21"/>
                <w:szCs w:val="21"/>
                <w:u w:val="none"/>
              </w:rPr>
              <w:t>.最大荷载：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100kg。</w:t>
            </w:r>
          </w:p>
        </w:tc>
        <w:tc>
          <w:tcPr>
            <w:tcW w:w="735" w:type="dxa"/>
            <w:shd w:val="clear" w:color="auto" w:fill="auto"/>
            <w:vAlign w:val="center"/>
          </w:tcPr>
          <w:p w14:paraId="3DACF9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765" w:type="dxa"/>
            <w:vAlign w:val="center"/>
          </w:tcPr>
          <w:p w14:paraId="4C397F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1002" w:type="dxa"/>
            <w:vAlign w:val="center"/>
          </w:tcPr>
          <w:p w14:paraId="2539E2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36D7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5" w:type="dxa"/>
            <w:shd w:val="clear" w:color="auto" w:fill="auto"/>
            <w:vAlign w:val="center"/>
          </w:tcPr>
          <w:p w14:paraId="485131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00" w:type="dxa"/>
            <w:shd w:val="clear" w:color="auto" w:fill="auto"/>
            <w:vAlign w:val="center"/>
          </w:tcPr>
          <w:p w14:paraId="4D7592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坐便</w:t>
            </w:r>
            <w:r>
              <w:rPr>
                <w:rFonts w:hint="eastAsia" w:ascii="宋体" w:hAnsi="宋体" w:eastAsia="宋体" w:cs="宋体"/>
                <w:sz w:val="21"/>
                <w:szCs w:val="21"/>
              </w:rPr>
              <w:t>轮椅</w:t>
            </w:r>
          </w:p>
        </w:tc>
        <w:tc>
          <w:tcPr>
            <w:tcW w:w="4500" w:type="dxa"/>
            <w:shd w:val="clear" w:color="auto" w:fill="auto"/>
            <w:vAlign w:val="center"/>
          </w:tcPr>
          <w:p w14:paraId="67B25A63">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1.规格：总长</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102cm，总宽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68cm，总高</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89cm。                                                                                               2.车架：钢材焊接成型，管材直径≥22mm、壁厚≥2mm，可折叠结构。                                                                                   3.前轮：≥6 英寸，PVC+PP 一体实心轮，配高强度塑料轮毂。                                                                       4.后轮：≥22 英寸免充气 PU 轮，</w:t>
            </w:r>
            <w:r>
              <w:rPr>
                <w:rFonts w:hint="eastAsia" w:ascii="宋体" w:hAnsi="宋体" w:cs="宋体"/>
                <w:i w:val="0"/>
                <w:iCs w:val="0"/>
                <w:color w:val="000000"/>
                <w:kern w:val="0"/>
                <w:sz w:val="21"/>
                <w:szCs w:val="21"/>
                <w:u w:val="none"/>
                <w:lang w:val="en-US" w:eastAsia="zh-CN" w:bidi="ar"/>
              </w:rPr>
              <w:t>28</w:t>
            </w:r>
            <w:r>
              <w:rPr>
                <w:rFonts w:hint="eastAsia" w:ascii="宋体" w:hAnsi="宋体" w:eastAsia="宋体" w:cs="宋体"/>
                <w:i w:val="0"/>
                <w:iCs w:val="0"/>
                <w:color w:val="000000"/>
                <w:kern w:val="0"/>
                <w:sz w:val="21"/>
                <w:szCs w:val="21"/>
                <w:u w:val="none"/>
                <w:lang w:val="en-US" w:eastAsia="zh-CN" w:bidi="ar"/>
              </w:rPr>
              <w:t>线高强铝圈、带高强塑料手轮。                                                                                                   5.刹车：铝合金手动驻刹，带自锁功能的后把手连动刹车。                                                         6.座位宽度≥46cm，座靠垫采用人革车缝成型；</w:t>
            </w:r>
          </w:p>
          <w:p w14:paraId="5DDC3992">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7.座便板采用前抽拉式，方便护理操作。                             </w:t>
            </w:r>
          </w:p>
          <w:p w14:paraId="645D95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8.马桶采用高强度 PE 工程塑料, 容量大，拆装方便，易清洁。                                                      9.脚托：铝合金脚踏板，脚踏板高度可调                                                    10.最大荷载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 xml:space="preserve">100kg。     </w:t>
            </w:r>
          </w:p>
        </w:tc>
        <w:tc>
          <w:tcPr>
            <w:tcW w:w="735" w:type="dxa"/>
            <w:shd w:val="clear" w:color="auto" w:fill="auto"/>
            <w:vAlign w:val="center"/>
          </w:tcPr>
          <w:p w14:paraId="1448BC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w:t>
            </w:r>
          </w:p>
        </w:tc>
        <w:tc>
          <w:tcPr>
            <w:tcW w:w="765" w:type="dxa"/>
            <w:vAlign w:val="center"/>
          </w:tcPr>
          <w:p w14:paraId="2BF0EA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台</w:t>
            </w:r>
          </w:p>
        </w:tc>
        <w:tc>
          <w:tcPr>
            <w:tcW w:w="1002" w:type="dxa"/>
            <w:vAlign w:val="center"/>
          </w:tcPr>
          <w:p w14:paraId="053214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111E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755" w:type="dxa"/>
            <w:shd w:val="clear" w:color="auto" w:fill="auto"/>
            <w:vAlign w:val="center"/>
          </w:tcPr>
          <w:p w14:paraId="52A192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00" w:type="dxa"/>
            <w:shd w:val="clear" w:color="auto" w:fill="auto"/>
            <w:vAlign w:val="center"/>
          </w:tcPr>
          <w:p w14:paraId="4226CA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护理轮椅</w:t>
            </w:r>
          </w:p>
        </w:tc>
        <w:tc>
          <w:tcPr>
            <w:tcW w:w="4500" w:type="dxa"/>
            <w:shd w:val="clear" w:color="auto" w:fill="auto"/>
            <w:vAlign w:val="center"/>
          </w:tcPr>
          <w:p w14:paraId="3872B45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总长</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 xml:space="preserve"> 98cm，总宽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 xml:space="preserve"> 60cm，总高</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90cm</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 xml:space="preserve">                                                                                                                                            </w:t>
            </w: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车架：符合人体工程学设计，采用高</w:t>
            </w:r>
            <w:r>
              <w:rPr>
                <w:rFonts w:hint="eastAsia" w:ascii="宋体" w:hAnsi="宋体" w:eastAsia="宋体" w:cs="宋体"/>
                <w:i w:val="0"/>
                <w:iCs w:val="0"/>
                <w:color w:val="auto"/>
                <w:sz w:val="21"/>
                <w:szCs w:val="21"/>
                <w:highlight w:val="none"/>
                <w:u w:val="none"/>
              </w:rPr>
              <w:t>强度铝合金管材料组成，管直径≥22mm、壁厚≥1.2mm，高承重双支撑架结构，安全性能好；表面氧化处理，附加折靠背功能，方便储运</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前轮：前轮直径≥6 英寸，高强度铝合金前叉，双轴承加装减震橡胶；                                          4</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后轮：后轮直径≥12 英寸, PU 轮胎，减震效果好，经久</w:t>
            </w:r>
            <w:r>
              <w:rPr>
                <w:rFonts w:hint="eastAsia" w:ascii="宋体" w:hAnsi="宋体" w:eastAsia="宋体" w:cs="宋体"/>
                <w:i w:val="0"/>
                <w:iCs w:val="0"/>
                <w:color w:val="000000"/>
                <w:sz w:val="21"/>
                <w:szCs w:val="21"/>
                <w:u w:val="none"/>
              </w:rPr>
              <w:t>耐用；                                                          5</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刹车：铝合金手动驻刹，后把手连刹车，带驻停自锁功能；                                                           6</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座位宽度≥46cm，</w:t>
            </w:r>
            <w:r>
              <w:rPr>
                <w:rFonts w:hint="eastAsia" w:ascii="宋体" w:hAnsi="宋体" w:eastAsia="宋体" w:cs="宋体"/>
                <w:i w:val="0"/>
                <w:iCs w:val="0"/>
                <w:color w:val="000000"/>
                <w:sz w:val="21"/>
                <w:szCs w:val="21"/>
                <w:u w:val="none"/>
              </w:rPr>
              <w:t xml:space="preserve">座靠垫高强度、透气好，中间帆布夹层，座面平整；                                                                                                                                                                                                                                                                            </w:t>
            </w:r>
            <w:r>
              <w:rPr>
                <w:rFonts w:hint="eastAsia" w:ascii="宋体" w:hAnsi="宋体" w:eastAsia="宋体"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rPr>
              <w:t>脚托：脚托支架可后翻到轮椅座位下方，脚踏板角度三档可调，配有金属脚踏板；</w:t>
            </w:r>
          </w:p>
          <w:p w14:paraId="0A60BC3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eastAsia="zh-CN"/>
              </w:rPr>
            </w:pPr>
            <w:r>
              <w:rPr>
                <w:rFonts w:hint="eastAsia" w:ascii="宋体" w:hAnsi="宋体" w:eastAsia="宋体" w:cs="宋体"/>
                <w:i w:val="0"/>
                <w:iCs w:val="0"/>
                <w:color w:val="000000"/>
                <w:sz w:val="21"/>
                <w:szCs w:val="21"/>
                <w:u w:val="none"/>
                <w:lang w:val="en-US" w:eastAsia="zh-CN"/>
              </w:rPr>
              <w:t>8.</w:t>
            </w:r>
            <w:r>
              <w:rPr>
                <w:rFonts w:hint="eastAsia" w:ascii="宋体" w:hAnsi="宋体" w:eastAsia="宋体" w:cs="宋体"/>
                <w:i w:val="0"/>
                <w:iCs w:val="0"/>
                <w:color w:val="000000"/>
                <w:sz w:val="21"/>
                <w:szCs w:val="21"/>
                <w:u w:val="none"/>
              </w:rPr>
              <w:t xml:space="preserve"> </w:t>
            </w:r>
            <w:r>
              <w:rPr>
                <w:rFonts w:hint="eastAsia" w:ascii="宋体" w:hAnsi="宋体" w:eastAsia="宋体" w:cs="宋体"/>
                <w:i w:val="0"/>
                <w:iCs w:val="0"/>
                <w:color w:val="000000"/>
                <w:kern w:val="0"/>
                <w:sz w:val="21"/>
                <w:szCs w:val="21"/>
                <w:u w:val="none"/>
                <w:lang w:val="en-US" w:eastAsia="zh-CN" w:bidi="ar"/>
              </w:rPr>
              <w:t>最大荷载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100kg。</w:t>
            </w:r>
            <w:r>
              <w:rPr>
                <w:rFonts w:hint="eastAsia" w:ascii="宋体" w:hAnsi="宋体" w:eastAsia="宋体" w:cs="宋体"/>
                <w:i w:val="0"/>
                <w:iCs w:val="0"/>
                <w:color w:val="000000"/>
                <w:sz w:val="21"/>
                <w:szCs w:val="21"/>
                <w:u w:val="none"/>
              </w:rPr>
              <w:t xml:space="preserve"> </w:t>
            </w:r>
          </w:p>
        </w:tc>
        <w:tc>
          <w:tcPr>
            <w:tcW w:w="735" w:type="dxa"/>
            <w:shd w:val="clear" w:color="auto" w:fill="auto"/>
            <w:vAlign w:val="center"/>
          </w:tcPr>
          <w:p w14:paraId="75B13B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65" w:type="dxa"/>
            <w:vAlign w:val="center"/>
          </w:tcPr>
          <w:p w14:paraId="532448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1002" w:type="dxa"/>
            <w:vAlign w:val="center"/>
          </w:tcPr>
          <w:p w14:paraId="79D845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49AC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55" w:type="dxa"/>
            <w:shd w:val="clear" w:color="auto" w:fill="auto"/>
            <w:vAlign w:val="center"/>
          </w:tcPr>
          <w:p w14:paraId="54833E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00" w:type="dxa"/>
            <w:shd w:val="clear" w:color="auto" w:fill="auto"/>
            <w:vAlign w:val="center"/>
          </w:tcPr>
          <w:p w14:paraId="3B0B7C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助行器</w:t>
            </w:r>
          </w:p>
        </w:tc>
        <w:tc>
          <w:tcPr>
            <w:tcW w:w="4500" w:type="dxa"/>
            <w:shd w:val="clear" w:color="auto" w:fill="auto"/>
            <w:vAlign w:val="center"/>
          </w:tcPr>
          <w:p w14:paraId="5F7BAAA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1.规格：总长</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60cm，总高 78cm~96cm（±3cm），手柄长度</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 xml:space="preserve"> 11cm，扶手宽度</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 xml:space="preserve"> 46cm，最大回转直径 72cm（±3cm）。净重量≤2.4kg。                                                                                                    </w:t>
            </w: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 xml:space="preserve">主架：采用轻质铝合金为主要材料材，管料直径≥25mm，壁厚≥1.2mm；                        </w:t>
            </w:r>
          </w:p>
          <w:p w14:paraId="76E98C6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脚管：采用轻质铝合金为主要材料材，管料直径≥28mm，壁厚≥1.2mm；</w:t>
            </w:r>
          </w:p>
          <w:p w14:paraId="5D5163F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 xml:space="preserve">手撑步进式可折叠结构；高度可调≥8 档位高度调节孔；                                                                                                </w:t>
            </w: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脚垫：耐用橡胶防滑脚垫，稳定性佳，表面摩擦系数高。</w:t>
            </w:r>
          </w:p>
        </w:tc>
        <w:tc>
          <w:tcPr>
            <w:tcW w:w="735" w:type="dxa"/>
            <w:shd w:val="clear" w:color="auto" w:fill="auto"/>
            <w:vAlign w:val="center"/>
          </w:tcPr>
          <w:p w14:paraId="55854C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765" w:type="dxa"/>
            <w:vAlign w:val="center"/>
          </w:tcPr>
          <w:p w14:paraId="2BC666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1002" w:type="dxa"/>
            <w:vAlign w:val="center"/>
          </w:tcPr>
          <w:p w14:paraId="313C4C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45B8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2D1609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00" w:type="dxa"/>
            <w:shd w:val="clear" w:color="auto" w:fill="auto"/>
            <w:vAlign w:val="center"/>
          </w:tcPr>
          <w:p w14:paraId="77B790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座</w:t>
            </w:r>
            <w:r>
              <w:rPr>
                <w:rFonts w:hint="eastAsia" w:ascii="宋体" w:hAnsi="宋体" w:eastAsia="宋体" w:cs="宋体"/>
                <w:sz w:val="21"/>
                <w:szCs w:val="21"/>
              </w:rPr>
              <w:t>便椅</w:t>
            </w:r>
          </w:p>
        </w:tc>
        <w:tc>
          <w:tcPr>
            <w:tcW w:w="4500" w:type="dxa"/>
            <w:shd w:val="clear" w:color="auto" w:fill="auto"/>
            <w:vAlign w:val="center"/>
          </w:tcPr>
          <w:p w14:paraId="5C07D9D6">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规格:长*宽*高 56*50*(93-103)cm（±2cm），高度可调节，座高：46-56cm（±2cm），≥5 档可调，座位宽度：46cm（±2cm）；                                                                                                 2.椅架：高碳钢管焊接而成，管材直径≥22mm、壁厚≥1.2mm。</w:t>
            </w:r>
          </w:p>
          <w:p w14:paraId="67B08C9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 xml:space="preserve">3.可折叠结构，携带方便，表面采用高温粉体烤漆处理；                           </w:t>
            </w:r>
          </w:p>
          <w:p w14:paraId="3026A8F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 xml:space="preserve">4.座便器：双层防水坐垫，上板是防水海绵软垫，下板是 PVC 硬坐板；                                                                                                                         </w:t>
            </w:r>
          </w:p>
          <w:p w14:paraId="092725A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5.脚垫：采用弹性、耐磨、表面摩擦系数较高的防滑橡胶材料,脚垫内有铁,垫片防止穿透脚垫，耐用，防滑。</w:t>
            </w:r>
          </w:p>
          <w:p w14:paraId="653A4BF5">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2"/>
                <w:sz w:val="21"/>
                <w:szCs w:val="21"/>
                <w:u w:val="none"/>
                <w:lang w:val="en-US" w:eastAsia="zh-CN" w:bidi="ar-SA"/>
              </w:rPr>
              <w:t>6.安全承重：</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2"/>
                <w:sz w:val="21"/>
                <w:szCs w:val="21"/>
                <w:u w:val="none"/>
                <w:lang w:val="en-US" w:eastAsia="zh-CN" w:bidi="ar-SA"/>
              </w:rPr>
              <w:t>100KG。</w:t>
            </w:r>
          </w:p>
        </w:tc>
        <w:tc>
          <w:tcPr>
            <w:tcW w:w="735" w:type="dxa"/>
            <w:shd w:val="clear" w:color="auto" w:fill="auto"/>
            <w:vAlign w:val="center"/>
          </w:tcPr>
          <w:p w14:paraId="355406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65" w:type="dxa"/>
            <w:vAlign w:val="center"/>
          </w:tcPr>
          <w:p w14:paraId="71384C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张</w:t>
            </w:r>
          </w:p>
        </w:tc>
        <w:tc>
          <w:tcPr>
            <w:tcW w:w="1002" w:type="dxa"/>
            <w:vAlign w:val="center"/>
          </w:tcPr>
          <w:p w14:paraId="2E3B52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18DF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333E94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500" w:type="dxa"/>
            <w:shd w:val="clear" w:color="auto" w:fill="auto"/>
            <w:vAlign w:val="center"/>
          </w:tcPr>
          <w:p w14:paraId="7580D1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沐浴椅</w:t>
            </w:r>
          </w:p>
        </w:tc>
        <w:tc>
          <w:tcPr>
            <w:tcW w:w="4500" w:type="dxa"/>
            <w:shd w:val="clear" w:color="auto" w:fill="auto"/>
            <w:vAlign w:val="center"/>
          </w:tcPr>
          <w:p w14:paraId="30F05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1.规格：长*宽*高 50*43*（66-79）cm（±2cm），高度可调节。坐高：37.5-50cm（±2cm），净重≤3KG。                                                                                                   </w:t>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 xml:space="preserve">主架：由高强度铝合金管材组成，厚度≥1.2mm，表面阳极氧化处理。                                  </w:t>
            </w:r>
          </w:p>
          <w:p w14:paraId="533FC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 xml:space="preserve">座靠板：采用的 PE 吹塑成型，坐板表面设计有漏水孔和防滑纹。                                            </w:t>
            </w:r>
          </w:p>
          <w:p w14:paraId="6665CDF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 xml:space="preserve">扶手：扶手采用焊接拆装，扶手表面安装有泡沫棉，防滑耐用。                                                                                 </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脚腿：四只脚腿高度≥6 档可调节</w:t>
            </w:r>
            <w:r>
              <w:rPr>
                <w:rFonts w:hint="eastAsia" w:ascii="宋体" w:hAnsi="宋体" w:eastAsia="宋体" w:cs="宋体"/>
                <w:i w:val="0"/>
                <w:iCs w:val="0"/>
                <w:color w:val="000000"/>
                <w:sz w:val="21"/>
                <w:szCs w:val="21"/>
                <w:u w:val="none"/>
                <w:lang w:eastAsia="zh-CN"/>
              </w:rPr>
              <w:t>。</w:t>
            </w:r>
          </w:p>
        </w:tc>
        <w:tc>
          <w:tcPr>
            <w:tcW w:w="735" w:type="dxa"/>
            <w:shd w:val="clear" w:color="auto" w:fill="auto"/>
            <w:vAlign w:val="center"/>
          </w:tcPr>
          <w:p w14:paraId="772E60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65" w:type="dxa"/>
            <w:vAlign w:val="center"/>
          </w:tcPr>
          <w:p w14:paraId="43D71D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w:t>
            </w:r>
          </w:p>
        </w:tc>
        <w:tc>
          <w:tcPr>
            <w:tcW w:w="1002" w:type="dxa"/>
            <w:vAlign w:val="center"/>
          </w:tcPr>
          <w:p w14:paraId="12876A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45AE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30E30D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00" w:type="dxa"/>
            <w:shd w:val="clear" w:color="auto" w:fill="auto"/>
            <w:vAlign w:val="center"/>
          </w:tcPr>
          <w:p w14:paraId="2BAA5F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儿童坐姿椅</w:t>
            </w:r>
          </w:p>
        </w:tc>
        <w:tc>
          <w:tcPr>
            <w:tcW w:w="4500" w:type="dxa"/>
            <w:shd w:val="clear" w:color="auto" w:fill="auto"/>
            <w:vAlign w:val="center"/>
          </w:tcPr>
          <w:p w14:paraId="223DF6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1.规格：总长: </w:t>
            </w:r>
            <w:r>
              <w:rPr>
                <w:rFonts w:hint="eastAsia" w:ascii="宋体" w:hAnsi="宋体" w:eastAsia="宋体" w:cs="宋体"/>
                <w:i w:val="0"/>
                <w:iCs w:val="0"/>
                <w:color w:val="000000"/>
                <w:kern w:val="2"/>
                <w:sz w:val="21"/>
                <w:szCs w:val="21"/>
                <w:u w:val="none"/>
                <w:lang w:val="en-US" w:eastAsia="zh-CN" w:bidi="ar-SA"/>
              </w:rPr>
              <w:t>≥</w:t>
            </w:r>
            <w:r>
              <w:rPr>
                <w:rFonts w:hint="eastAsia" w:ascii="宋体" w:hAnsi="宋体" w:eastAsia="宋体" w:cs="宋体"/>
                <w:i w:val="0"/>
                <w:iCs w:val="0"/>
                <w:color w:val="000000"/>
                <w:sz w:val="21"/>
                <w:szCs w:val="21"/>
                <w:u w:val="none"/>
              </w:rPr>
              <w:t xml:space="preserve">65cm，总宽: </w:t>
            </w:r>
            <w:r>
              <w:rPr>
                <w:rFonts w:hint="eastAsia" w:ascii="宋体" w:hAnsi="宋体" w:eastAsia="宋体" w:cs="宋体"/>
                <w:i w:val="0"/>
                <w:iCs w:val="0"/>
                <w:color w:val="000000"/>
                <w:kern w:val="2"/>
                <w:sz w:val="21"/>
                <w:szCs w:val="21"/>
                <w:u w:val="none"/>
                <w:lang w:val="en-US" w:eastAsia="zh-CN" w:bidi="ar-SA"/>
              </w:rPr>
              <w:t>≥</w:t>
            </w:r>
            <w:r>
              <w:rPr>
                <w:rFonts w:hint="eastAsia" w:ascii="宋体" w:hAnsi="宋体" w:eastAsia="宋体" w:cs="宋体"/>
                <w:i w:val="0"/>
                <w:iCs w:val="0"/>
                <w:color w:val="000000"/>
                <w:sz w:val="21"/>
                <w:szCs w:val="21"/>
                <w:u w:val="none"/>
              </w:rPr>
              <w:t>60cm，总高: 94-110cm（±3cm），高度可调。餐板面高度可调，前后可调</w:t>
            </w:r>
            <w:r>
              <w:rPr>
                <w:rFonts w:hint="eastAsia" w:ascii="宋体" w:hAnsi="宋体" w:eastAsia="宋体" w:cs="宋体"/>
                <w:i w:val="0"/>
                <w:iCs w:val="0"/>
                <w:color w:val="000000"/>
                <w:sz w:val="21"/>
                <w:szCs w:val="21"/>
                <w:u w:val="none"/>
                <w:lang w:eastAsia="zh-CN"/>
              </w:rPr>
              <w:t>；</w:t>
            </w:r>
          </w:p>
          <w:p w14:paraId="413A31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.脚踏板、餐板：高强度ABS材质，易于清洁、可冲洗；脚踏板承载量</w:t>
            </w:r>
            <w:r>
              <w:rPr>
                <w:rFonts w:hint="eastAsia" w:ascii="宋体" w:hAnsi="宋体" w:eastAsia="宋体" w:cs="宋体"/>
                <w:i w:val="0"/>
                <w:iCs w:val="0"/>
                <w:color w:val="000000"/>
                <w:kern w:val="2"/>
                <w:sz w:val="21"/>
                <w:szCs w:val="21"/>
                <w:u w:val="none"/>
                <w:lang w:val="en-US" w:eastAsia="zh-CN" w:bidi="ar-SA"/>
              </w:rPr>
              <w:t>≥</w:t>
            </w:r>
            <w:r>
              <w:rPr>
                <w:rFonts w:hint="eastAsia" w:ascii="宋体" w:hAnsi="宋体" w:eastAsia="宋体" w:cs="宋体"/>
                <w:i w:val="0"/>
                <w:iCs w:val="0"/>
                <w:color w:val="000000"/>
                <w:sz w:val="21"/>
                <w:szCs w:val="21"/>
                <w:u w:val="none"/>
              </w:rPr>
              <w:t>75KG；餐板两侧 T型不锈钢架，拆装方便简易。</w:t>
            </w:r>
          </w:p>
          <w:p w14:paraId="2F6BF3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.配高靠枕头：可随意调节高低，可供用户选择不同高度使用。</w:t>
            </w:r>
          </w:p>
          <w:p w14:paraId="04EF13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.护腰垫：在腋下，夹紧两侧肋部，可拆卸；。</w:t>
            </w:r>
          </w:p>
          <w:p w14:paraId="2429BDA5">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.配有</w:t>
            </w:r>
            <w:r>
              <w:rPr>
                <w:rFonts w:hint="eastAsia" w:ascii="宋体" w:hAnsi="宋体" w:eastAsia="宋体" w:cs="宋体"/>
                <w:i w:val="0"/>
                <w:iCs w:val="0"/>
                <w:color w:val="000000"/>
                <w:sz w:val="21"/>
                <w:szCs w:val="21"/>
                <w:u w:val="none"/>
                <w:lang w:val="en-US" w:eastAsia="zh-CN"/>
              </w:rPr>
              <w:t>安全</w:t>
            </w:r>
            <w:r>
              <w:rPr>
                <w:rFonts w:hint="eastAsia" w:ascii="宋体" w:hAnsi="宋体" w:eastAsia="宋体" w:cs="宋体"/>
                <w:i w:val="0"/>
                <w:iCs w:val="0"/>
                <w:color w:val="000000"/>
                <w:sz w:val="21"/>
                <w:szCs w:val="21"/>
                <w:u w:val="none"/>
              </w:rPr>
              <w:t>带，配有高强度金属限位垫骨架，限位垫可前后移动；脚托配有小腿姿势矫正固定垫及安全带</w:t>
            </w:r>
            <w:r>
              <w:rPr>
                <w:rFonts w:hint="eastAsia" w:ascii="宋体" w:hAnsi="宋体" w:eastAsia="宋体" w:cs="宋体"/>
                <w:i w:val="0"/>
                <w:iCs w:val="0"/>
                <w:color w:val="000000"/>
                <w:sz w:val="21"/>
                <w:szCs w:val="21"/>
                <w:u w:val="none"/>
                <w:lang w:eastAsia="zh-CN"/>
              </w:rPr>
              <w:t>。</w:t>
            </w:r>
            <w:r>
              <w:rPr>
                <w:rFonts w:hint="eastAsia" w:ascii="宋体" w:hAnsi="宋体" w:eastAsia="宋体" w:cs="宋体"/>
                <w:b w:val="0"/>
                <w:bCs w:val="0"/>
                <w:i w:val="0"/>
                <w:iCs w:val="0"/>
                <w:color w:val="auto"/>
                <w:sz w:val="21"/>
                <w:szCs w:val="21"/>
                <w:u w:val="none"/>
              </w:rPr>
              <w:t>最大荷载:75kg（±2kg）。</w:t>
            </w:r>
          </w:p>
        </w:tc>
        <w:tc>
          <w:tcPr>
            <w:tcW w:w="735" w:type="dxa"/>
            <w:shd w:val="clear" w:color="auto" w:fill="auto"/>
            <w:vAlign w:val="center"/>
          </w:tcPr>
          <w:p w14:paraId="572FB9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65" w:type="dxa"/>
            <w:vAlign w:val="center"/>
          </w:tcPr>
          <w:p w14:paraId="25F560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张</w:t>
            </w:r>
          </w:p>
        </w:tc>
        <w:tc>
          <w:tcPr>
            <w:tcW w:w="1002" w:type="dxa"/>
            <w:vAlign w:val="center"/>
          </w:tcPr>
          <w:p w14:paraId="379FB8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6D88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070D8D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00" w:type="dxa"/>
            <w:shd w:val="clear" w:color="auto" w:fill="auto"/>
            <w:vAlign w:val="center"/>
          </w:tcPr>
          <w:p w14:paraId="22CE4E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四脚拐杖</w:t>
            </w:r>
          </w:p>
        </w:tc>
        <w:tc>
          <w:tcPr>
            <w:tcW w:w="4500" w:type="dxa"/>
            <w:shd w:val="clear" w:color="auto" w:fill="auto"/>
            <w:vAlign w:val="center"/>
          </w:tcPr>
          <w:p w14:paraId="65CB0ED1">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1.规格：总长≥98cm，总宽≥23cm，总高≥78cm，手柄长度 125cm，最大静载荷约 100kg（±2kg），净重量≤1.2kg。                                                                                    2.主架上支采用铝合金管，表面氧化处理，直径≥22mm，壁厚≥1.2mm；3.主架下支采用钢质管，表面镀铬处理，管料规格：直径≥18.6mm，壁厚≥1.2mm；脚架采用钢质管，表面镀铬处理，管料规格：直径≥13mm，壁厚≥1.0mm。                                                                                           4.手把：为塑料手把，美观耐用。                                                                                       5.架脚：高度可调，配耐橡胶防滑脚垫，着地性能好，稳定性佳。</w:t>
            </w:r>
          </w:p>
        </w:tc>
        <w:tc>
          <w:tcPr>
            <w:tcW w:w="735" w:type="dxa"/>
            <w:shd w:val="clear" w:color="auto" w:fill="auto"/>
            <w:vAlign w:val="center"/>
          </w:tcPr>
          <w:p w14:paraId="62DC73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765" w:type="dxa"/>
            <w:vAlign w:val="center"/>
          </w:tcPr>
          <w:p w14:paraId="556205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支</w:t>
            </w:r>
          </w:p>
        </w:tc>
        <w:tc>
          <w:tcPr>
            <w:tcW w:w="1002" w:type="dxa"/>
            <w:vAlign w:val="center"/>
          </w:tcPr>
          <w:p w14:paraId="238A7F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6F67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5764D4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500" w:type="dxa"/>
            <w:shd w:val="clear" w:color="auto" w:fill="auto"/>
            <w:vAlign w:val="center"/>
          </w:tcPr>
          <w:p w14:paraId="40E40B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b w:val="0"/>
                <w:bCs/>
                <w:color w:val="auto"/>
                <w:sz w:val="21"/>
                <w:szCs w:val="21"/>
                <w:lang w:val="en-US" w:eastAsia="zh-CN"/>
              </w:rPr>
              <w:t>①成人大功率耳背式助听器</w:t>
            </w:r>
          </w:p>
        </w:tc>
        <w:tc>
          <w:tcPr>
            <w:tcW w:w="4500" w:type="dxa"/>
            <w:shd w:val="clear" w:color="auto" w:fill="auto"/>
            <w:vAlign w:val="center"/>
          </w:tcPr>
          <w:p w14:paraId="797DC5B6">
            <w:pPr>
              <w:pStyle w:val="106"/>
              <w:numPr>
                <w:ilvl w:val="0"/>
                <w:numId w:val="0"/>
              </w:num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w:t>
            </w:r>
            <w:r>
              <w:rPr>
                <w:rFonts w:hint="eastAsia" w:ascii="宋体" w:hAnsi="宋体" w:eastAsia="宋体" w:cs="宋体"/>
                <w:color w:val="auto"/>
                <w:sz w:val="21"/>
                <w:szCs w:val="21"/>
              </w:rPr>
              <w:t>全数字信号处理耳背机</w:t>
            </w:r>
          </w:p>
          <w:p w14:paraId="065A4C54">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2.</w:t>
            </w:r>
            <w:r>
              <w:rPr>
                <w:rFonts w:hint="eastAsia" w:ascii="宋体" w:hAnsi="宋体" w:eastAsia="宋体" w:cs="宋体"/>
                <w:color w:val="auto"/>
                <w:sz w:val="21"/>
                <w:szCs w:val="21"/>
              </w:rPr>
              <w:t>双麦克风技术</w:t>
            </w:r>
          </w:p>
          <w:p w14:paraId="228E90F6">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3.</w:t>
            </w:r>
            <w:r>
              <w:rPr>
                <w:rFonts w:hint="eastAsia" w:ascii="宋体" w:hAnsi="宋体" w:eastAsia="宋体" w:cs="宋体"/>
                <w:color w:val="auto"/>
                <w:sz w:val="21"/>
                <w:szCs w:val="21"/>
              </w:rPr>
              <w:t>软件可见可调独立通道数：≥</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个</w:t>
            </w:r>
          </w:p>
          <w:p w14:paraId="0D165E62">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4.</w:t>
            </w:r>
            <w:r>
              <w:rPr>
                <w:rFonts w:hint="eastAsia" w:ascii="宋体" w:hAnsi="宋体" w:eastAsia="宋体" w:cs="宋体"/>
                <w:color w:val="auto"/>
                <w:sz w:val="21"/>
                <w:szCs w:val="21"/>
              </w:rPr>
              <w:t>聆听程序设置：≥</w:t>
            </w: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个（自动＋手动）</w:t>
            </w:r>
          </w:p>
          <w:p w14:paraId="24330693">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5.</w:t>
            </w:r>
            <w:r>
              <w:rPr>
                <w:rFonts w:hint="eastAsia" w:ascii="宋体" w:hAnsi="宋体" w:eastAsia="宋体" w:cs="宋体"/>
                <w:color w:val="auto"/>
                <w:sz w:val="21"/>
                <w:szCs w:val="21"/>
              </w:rPr>
              <w:t>饱和声压级：≥</w:t>
            </w:r>
            <w:r>
              <w:rPr>
                <w:rFonts w:hint="eastAsia" w:ascii="宋体" w:hAnsi="宋体" w:eastAsia="宋体" w:cs="宋体"/>
                <w:color w:val="auto"/>
                <w:sz w:val="21"/>
                <w:szCs w:val="21"/>
                <w:lang w:val="en-US" w:eastAsia="zh-CN"/>
              </w:rPr>
              <w:t xml:space="preserve">131.9 </w:t>
            </w:r>
            <w:r>
              <w:rPr>
                <w:rFonts w:hint="eastAsia" w:ascii="宋体" w:hAnsi="宋体" w:eastAsia="宋体" w:cs="宋体"/>
                <w:color w:val="auto"/>
                <w:sz w:val="21"/>
                <w:szCs w:val="21"/>
              </w:rPr>
              <w:t>dBSPL</w:t>
            </w:r>
          </w:p>
          <w:p w14:paraId="2DC0835E">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6.</w:t>
            </w:r>
            <w:r>
              <w:rPr>
                <w:rFonts w:hint="eastAsia" w:ascii="宋体" w:hAnsi="宋体" w:eastAsia="宋体" w:cs="宋体"/>
                <w:color w:val="auto"/>
                <w:sz w:val="21"/>
                <w:szCs w:val="21"/>
              </w:rPr>
              <w:t>满档声增益：≥</w:t>
            </w:r>
            <w:r>
              <w:rPr>
                <w:rFonts w:hint="eastAsia" w:ascii="宋体" w:hAnsi="宋体" w:eastAsia="宋体" w:cs="宋体"/>
                <w:color w:val="auto"/>
                <w:sz w:val="21"/>
                <w:szCs w:val="21"/>
                <w:lang w:val="en-US" w:eastAsia="zh-CN"/>
              </w:rPr>
              <w:t>69.1</w:t>
            </w:r>
            <w:r>
              <w:rPr>
                <w:rFonts w:hint="eastAsia" w:ascii="宋体" w:hAnsi="宋体" w:eastAsia="宋体" w:cs="宋体"/>
                <w:color w:val="auto"/>
                <w:sz w:val="21"/>
                <w:szCs w:val="21"/>
              </w:rPr>
              <w:t>dB</w:t>
            </w:r>
            <w:bookmarkStart w:id="383" w:name="_GoBack"/>
            <w:bookmarkEnd w:id="383"/>
          </w:p>
          <w:p w14:paraId="29AC8B55">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7.</w:t>
            </w:r>
            <w:r>
              <w:rPr>
                <w:rFonts w:hint="eastAsia" w:ascii="宋体" w:hAnsi="宋体" w:eastAsia="宋体" w:cs="宋体"/>
                <w:color w:val="auto"/>
                <w:sz w:val="21"/>
                <w:szCs w:val="21"/>
              </w:rPr>
              <w:t>总谐波失真：≤</w:t>
            </w: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w:t>
            </w:r>
          </w:p>
          <w:p w14:paraId="55374C19">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8.</w:t>
            </w:r>
            <w:r>
              <w:rPr>
                <w:rFonts w:hint="eastAsia" w:ascii="宋体" w:hAnsi="宋体" w:eastAsia="宋体" w:cs="宋体"/>
                <w:color w:val="auto"/>
                <w:sz w:val="21"/>
                <w:szCs w:val="21"/>
              </w:rPr>
              <w:t>频率范围至少在：200-</w:t>
            </w:r>
            <w:r>
              <w:rPr>
                <w:rFonts w:hint="eastAsia" w:ascii="宋体" w:hAnsi="宋体" w:eastAsia="宋体" w:cs="宋体"/>
                <w:color w:val="auto"/>
                <w:sz w:val="21"/>
                <w:szCs w:val="21"/>
                <w:lang w:val="en-US" w:eastAsia="zh-CN"/>
              </w:rPr>
              <w:t>6434</w:t>
            </w:r>
            <w:r>
              <w:rPr>
                <w:rFonts w:hint="eastAsia" w:ascii="宋体" w:hAnsi="宋体" w:eastAsia="宋体" w:cs="宋体"/>
                <w:color w:val="auto"/>
                <w:sz w:val="21"/>
                <w:szCs w:val="21"/>
              </w:rPr>
              <w:t>Hz</w:t>
            </w:r>
          </w:p>
          <w:p w14:paraId="4DE3835F">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9.</w:t>
            </w:r>
            <w:r>
              <w:rPr>
                <w:rFonts w:hint="eastAsia" w:ascii="宋体" w:hAnsi="宋体" w:eastAsia="宋体" w:cs="宋体"/>
                <w:color w:val="auto"/>
                <w:sz w:val="21"/>
                <w:szCs w:val="21"/>
              </w:rPr>
              <w:t>等效输入噪声：≤</w:t>
            </w:r>
            <w:r>
              <w:rPr>
                <w:rFonts w:hint="eastAsia" w:ascii="宋体" w:hAnsi="宋体" w:eastAsia="宋体" w:cs="宋体"/>
                <w:color w:val="auto"/>
                <w:sz w:val="21"/>
                <w:szCs w:val="21"/>
                <w:lang w:val="en-US" w:eastAsia="zh-CN"/>
              </w:rPr>
              <w:t>16.1</w:t>
            </w:r>
            <w:r>
              <w:rPr>
                <w:rFonts w:hint="eastAsia" w:ascii="宋体" w:hAnsi="宋体" w:eastAsia="宋体" w:cs="宋体"/>
                <w:color w:val="auto"/>
                <w:sz w:val="21"/>
                <w:szCs w:val="21"/>
              </w:rPr>
              <w:t>dB</w:t>
            </w:r>
          </w:p>
          <w:p w14:paraId="00246F5A">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10.</w:t>
            </w:r>
            <w:r>
              <w:rPr>
                <w:rFonts w:hint="eastAsia" w:ascii="宋体" w:hAnsi="宋体" w:eastAsia="宋体" w:cs="宋体"/>
                <w:color w:val="auto"/>
                <w:sz w:val="21"/>
                <w:szCs w:val="21"/>
              </w:rPr>
              <w:t>电流量：≤</w:t>
            </w:r>
            <w:r>
              <w:rPr>
                <w:rFonts w:hint="eastAsia" w:ascii="宋体" w:hAnsi="宋体" w:eastAsia="宋体" w:cs="宋体"/>
                <w:color w:val="auto"/>
                <w:sz w:val="21"/>
                <w:szCs w:val="21"/>
                <w:lang w:val="en-US" w:eastAsia="zh-CN"/>
              </w:rPr>
              <w:t>2.07</w:t>
            </w:r>
            <w:r>
              <w:rPr>
                <w:rFonts w:hint="eastAsia" w:ascii="宋体" w:hAnsi="宋体" w:eastAsia="宋体" w:cs="宋体"/>
                <w:color w:val="auto"/>
                <w:sz w:val="21"/>
                <w:szCs w:val="21"/>
              </w:rPr>
              <w:t>mA</w:t>
            </w:r>
          </w:p>
          <w:p w14:paraId="6082416A">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11.风噪声抑制</w:t>
            </w:r>
          </w:p>
          <w:p w14:paraId="4D648159">
            <w:pPr>
              <w:pStyle w:val="106"/>
              <w:numPr>
                <w:ilvl w:val="0"/>
                <w:numId w:val="0"/>
              </w:numPr>
              <w:ind w:left="360" w:leftChars="0" w:hanging="360" w:firstLineChars="0"/>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12.IP68防风防潮防尘外壳设计</w:t>
            </w:r>
          </w:p>
          <w:p w14:paraId="7C33613D">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13.移频截止频率范围：800-7700Hz</w:t>
            </w:r>
          </w:p>
          <w:p w14:paraId="6568D9F9">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14.原位测听功能</w:t>
            </w:r>
          </w:p>
          <w:p w14:paraId="26146FEF">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15.自动声反馈抑制设置</w:t>
            </w:r>
          </w:p>
          <w:p w14:paraId="76F28BF0">
            <w:pPr>
              <w:pStyle w:val="106"/>
              <w:numPr>
                <w:ilvl w:val="0"/>
                <w:numId w:val="0"/>
              </w:numPr>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he-IL"/>
              </w:rPr>
              <w:t>16.</w:t>
            </w:r>
            <w:r>
              <w:rPr>
                <w:rFonts w:hint="eastAsia" w:ascii="宋体" w:hAnsi="宋体" w:eastAsia="宋体" w:cs="宋体"/>
                <w:color w:val="auto"/>
                <w:sz w:val="21"/>
                <w:szCs w:val="21"/>
              </w:rPr>
              <w:t>双耳同步功能</w:t>
            </w:r>
            <w:r>
              <w:rPr>
                <w:rFonts w:hint="eastAsia" w:ascii="宋体" w:hAnsi="宋体" w:eastAsia="宋体" w:cs="宋体"/>
                <w:color w:val="auto"/>
                <w:sz w:val="21"/>
                <w:szCs w:val="21"/>
                <w:lang w:eastAsia="zh-CN"/>
              </w:rPr>
              <w:t>，双耳互联功能</w:t>
            </w:r>
          </w:p>
          <w:p w14:paraId="4B4408A0">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17.支持App调整，支持鸿蒙、安卓、苹果系统</w:t>
            </w:r>
          </w:p>
          <w:p w14:paraId="0A8A6DBD">
            <w:pPr>
              <w:pStyle w:val="106"/>
              <w:numPr>
                <w:ilvl w:val="0"/>
                <w:numId w:val="0"/>
              </w:numP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18.</w:t>
            </w:r>
            <w:r>
              <w:rPr>
                <w:rFonts w:hint="eastAsia" w:ascii="宋体" w:hAnsi="宋体" w:eastAsia="宋体" w:cs="宋体"/>
                <w:color w:val="auto"/>
                <w:sz w:val="21"/>
                <w:szCs w:val="21"/>
              </w:rPr>
              <w:t>可选择验配公式数：≥</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个</w:t>
            </w:r>
          </w:p>
          <w:p w14:paraId="09E55C8A">
            <w:pPr>
              <w:pStyle w:val="106"/>
              <w:numPr>
                <w:ilvl w:val="0"/>
                <w:numId w:val="0"/>
              </w:numPr>
              <w:ind w:left="360" w:leftChars="0" w:hanging="360" w:firstLineChars="0"/>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19.开机延时功能</w:t>
            </w:r>
          </w:p>
          <w:p w14:paraId="25B2037C">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20.宽动态范围压缩</w:t>
            </w:r>
          </w:p>
          <w:p w14:paraId="517CB7E3">
            <w:pPr>
              <w:rPr>
                <w:rFonts w:hint="eastAsia" w:ascii="宋体" w:hAnsi="宋体" w:eastAsia="宋体" w:cs="宋体"/>
                <w:b/>
                <w:bCs/>
                <w:sz w:val="21"/>
                <w:szCs w:val="21"/>
                <w:lang w:eastAsia="zh-CN"/>
              </w:rPr>
            </w:pPr>
            <w:r>
              <w:rPr>
                <w:rFonts w:hint="eastAsia" w:ascii="宋体" w:hAnsi="宋体" w:eastAsia="宋体" w:cs="宋体"/>
                <w:color w:val="auto"/>
                <w:kern w:val="2"/>
                <w:sz w:val="21"/>
                <w:szCs w:val="21"/>
                <w:lang w:val="en-US" w:eastAsia="zh-CN" w:bidi="he-IL"/>
              </w:rPr>
              <w:t>21.</w:t>
            </w:r>
            <w:r>
              <w:rPr>
                <w:rFonts w:hint="eastAsia" w:ascii="宋体" w:hAnsi="宋体" w:eastAsia="宋体" w:cs="宋体"/>
                <w:color w:val="auto"/>
                <w:sz w:val="21"/>
                <w:szCs w:val="21"/>
              </w:rPr>
              <w:t>兼容FM</w:t>
            </w:r>
          </w:p>
          <w:p w14:paraId="4E030B6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注：供应商需同时提供以下证明材料，否则视为负偏离：1.单个产品的照片，拍摄要求：单个产品正面左前方,俯视照片一张,白底,图像清晰。2.国家级质量检测中心出具的检测报告，检测报告中的检测结果不满足对应技术参数要求的，该条参数视为负偏离。</w:t>
            </w:r>
          </w:p>
        </w:tc>
        <w:tc>
          <w:tcPr>
            <w:tcW w:w="735" w:type="dxa"/>
            <w:shd w:val="clear" w:color="auto" w:fill="auto"/>
            <w:vAlign w:val="center"/>
          </w:tcPr>
          <w:p w14:paraId="548CFF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765" w:type="dxa"/>
            <w:vAlign w:val="center"/>
          </w:tcPr>
          <w:p w14:paraId="1D86FA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台</w:t>
            </w:r>
          </w:p>
        </w:tc>
        <w:tc>
          <w:tcPr>
            <w:tcW w:w="1002" w:type="dxa"/>
            <w:vAlign w:val="center"/>
          </w:tcPr>
          <w:p w14:paraId="4ABB55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4F25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5A1DBE9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10</w:t>
            </w:r>
          </w:p>
        </w:tc>
        <w:tc>
          <w:tcPr>
            <w:tcW w:w="1500" w:type="dxa"/>
            <w:shd w:val="clear" w:color="auto" w:fill="auto"/>
            <w:vAlign w:val="center"/>
          </w:tcPr>
          <w:p w14:paraId="5BDE85D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b w:val="0"/>
                <w:bCs/>
                <w:color w:val="auto"/>
                <w:sz w:val="21"/>
                <w:szCs w:val="21"/>
                <w:lang w:val="en-US" w:eastAsia="zh-CN"/>
              </w:rPr>
              <w:t>②成人</w:t>
            </w:r>
            <w:r>
              <w:rPr>
                <w:rFonts w:hint="eastAsia" w:ascii="宋体" w:hAnsi="宋体" w:eastAsia="宋体" w:cs="宋体"/>
                <w:b w:val="0"/>
                <w:bCs/>
                <w:color w:val="auto"/>
                <w:sz w:val="21"/>
                <w:szCs w:val="21"/>
              </w:rPr>
              <w:t>超大功率耳背式助听器</w:t>
            </w:r>
          </w:p>
        </w:tc>
        <w:tc>
          <w:tcPr>
            <w:tcW w:w="4500" w:type="dxa"/>
            <w:shd w:val="clear" w:color="auto" w:fill="auto"/>
            <w:vAlign w:val="center"/>
          </w:tcPr>
          <w:p w14:paraId="46D1E405">
            <w:pPr>
              <w:pStyle w:val="106"/>
              <w:numPr>
                <w:ilvl w:val="0"/>
                <w:numId w:val="0"/>
              </w:num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w:t>
            </w:r>
            <w:r>
              <w:rPr>
                <w:rFonts w:hint="eastAsia" w:ascii="宋体" w:hAnsi="宋体" w:eastAsia="宋体" w:cs="宋体"/>
                <w:color w:val="auto"/>
                <w:sz w:val="21"/>
                <w:szCs w:val="21"/>
              </w:rPr>
              <w:t>全数字信号处理耳背机</w:t>
            </w:r>
          </w:p>
          <w:p w14:paraId="5736E674">
            <w:pPr>
              <w:pStyle w:val="106"/>
              <w:numPr>
                <w:ilvl w:val="0"/>
                <w:numId w:val="0"/>
              </w:numPr>
              <w:ind w:left="360" w:leftChars="0" w:hanging="360" w:firstLineChars="0"/>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he-IL"/>
              </w:rPr>
              <w:t>2.</w:t>
            </w:r>
            <w:r>
              <w:rPr>
                <w:rFonts w:hint="eastAsia" w:ascii="宋体" w:hAnsi="宋体" w:eastAsia="宋体" w:cs="宋体"/>
                <w:color w:val="auto"/>
                <w:sz w:val="21"/>
                <w:szCs w:val="21"/>
              </w:rPr>
              <w:t>双麦克风技术</w:t>
            </w:r>
            <w:r>
              <w:rPr>
                <w:rFonts w:hint="eastAsia" w:ascii="宋体" w:hAnsi="宋体" w:eastAsia="宋体" w:cs="宋体"/>
                <w:color w:val="auto"/>
                <w:sz w:val="21"/>
                <w:szCs w:val="21"/>
                <w:lang w:val="en-US" w:eastAsia="zh-CN"/>
              </w:rPr>
              <w:t xml:space="preserve"> </w:t>
            </w:r>
          </w:p>
          <w:p w14:paraId="37562E6C">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3.</w:t>
            </w:r>
            <w:r>
              <w:rPr>
                <w:rFonts w:hint="eastAsia" w:ascii="宋体" w:hAnsi="宋体" w:eastAsia="宋体" w:cs="宋体"/>
                <w:color w:val="auto"/>
                <w:sz w:val="21"/>
                <w:szCs w:val="21"/>
              </w:rPr>
              <w:t>软件可见可调独立通道数：≥</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个</w:t>
            </w:r>
          </w:p>
          <w:p w14:paraId="173665D8">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4.</w:t>
            </w:r>
            <w:r>
              <w:rPr>
                <w:rFonts w:hint="eastAsia" w:ascii="宋体" w:hAnsi="宋体" w:eastAsia="宋体" w:cs="宋体"/>
                <w:color w:val="auto"/>
                <w:sz w:val="21"/>
                <w:szCs w:val="21"/>
              </w:rPr>
              <w:t>聆听程序设置：≥</w:t>
            </w: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个（自动＋手动）</w:t>
            </w:r>
          </w:p>
          <w:p w14:paraId="3286FAD3">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5.</w:t>
            </w:r>
            <w:r>
              <w:rPr>
                <w:rFonts w:hint="eastAsia" w:ascii="宋体" w:hAnsi="宋体" w:eastAsia="宋体" w:cs="宋体"/>
                <w:color w:val="auto"/>
                <w:sz w:val="21"/>
                <w:szCs w:val="21"/>
              </w:rPr>
              <w:t>饱和声压级：≥1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dBSPL</w:t>
            </w:r>
          </w:p>
          <w:p w14:paraId="06D23E5A">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6.</w:t>
            </w:r>
            <w:r>
              <w:rPr>
                <w:rFonts w:hint="eastAsia" w:ascii="宋体" w:hAnsi="宋体" w:eastAsia="宋体" w:cs="宋体"/>
                <w:color w:val="auto"/>
                <w:sz w:val="21"/>
                <w:szCs w:val="21"/>
              </w:rPr>
              <w:t>满档声增益：≥</w:t>
            </w:r>
            <w:r>
              <w:rPr>
                <w:rFonts w:hint="eastAsia" w:ascii="宋体" w:hAnsi="宋体" w:eastAsia="宋体" w:cs="宋体"/>
                <w:color w:val="auto"/>
                <w:sz w:val="21"/>
                <w:szCs w:val="21"/>
                <w:lang w:val="en-US" w:eastAsia="zh-CN"/>
              </w:rPr>
              <w:t>82.2</w:t>
            </w:r>
            <w:r>
              <w:rPr>
                <w:rFonts w:hint="eastAsia" w:ascii="宋体" w:hAnsi="宋体" w:eastAsia="宋体" w:cs="宋体"/>
                <w:color w:val="auto"/>
                <w:sz w:val="21"/>
                <w:szCs w:val="21"/>
              </w:rPr>
              <w:t>dB</w:t>
            </w:r>
          </w:p>
          <w:p w14:paraId="3FB7E461">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7.</w:t>
            </w:r>
            <w:r>
              <w:rPr>
                <w:rFonts w:hint="eastAsia" w:ascii="宋体" w:hAnsi="宋体" w:eastAsia="宋体" w:cs="宋体"/>
                <w:color w:val="auto"/>
                <w:sz w:val="21"/>
                <w:szCs w:val="21"/>
              </w:rPr>
              <w:t>总谐波失真：≤</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w:t>
            </w:r>
          </w:p>
          <w:p w14:paraId="7BE55164">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8.</w:t>
            </w:r>
            <w:r>
              <w:rPr>
                <w:rFonts w:hint="eastAsia" w:ascii="宋体" w:hAnsi="宋体" w:eastAsia="宋体" w:cs="宋体"/>
                <w:color w:val="auto"/>
                <w:sz w:val="21"/>
                <w:szCs w:val="21"/>
              </w:rPr>
              <w:t>频率范围至少在：200-</w:t>
            </w:r>
            <w:r>
              <w:rPr>
                <w:rFonts w:hint="eastAsia" w:ascii="宋体" w:hAnsi="宋体" w:eastAsia="宋体" w:cs="宋体"/>
                <w:color w:val="auto"/>
                <w:sz w:val="21"/>
                <w:szCs w:val="21"/>
                <w:lang w:val="en-US" w:eastAsia="zh-CN"/>
              </w:rPr>
              <w:t>4771</w:t>
            </w:r>
            <w:r>
              <w:rPr>
                <w:rFonts w:hint="eastAsia" w:ascii="宋体" w:hAnsi="宋体" w:eastAsia="宋体" w:cs="宋体"/>
                <w:color w:val="auto"/>
                <w:sz w:val="21"/>
                <w:szCs w:val="21"/>
              </w:rPr>
              <w:t>Hz</w:t>
            </w:r>
          </w:p>
          <w:p w14:paraId="0A5FEFB6">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9.</w:t>
            </w:r>
            <w:r>
              <w:rPr>
                <w:rFonts w:hint="eastAsia" w:ascii="宋体" w:hAnsi="宋体" w:eastAsia="宋体" w:cs="宋体"/>
                <w:color w:val="auto"/>
                <w:sz w:val="21"/>
                <w:szCs w:val="21"/>
              </w:rPr>
              <w:t>等效输入噪声：≤</w:t>
            </w:r>
            <w:r>
              <w:rPr>
                <w:rFonts w:hint="eastAsia" w:ascii="宋体" w:hAnsi="宋体" w:eastAsia="宋体" w:cs="宋体"/>
                <w:color w:val="auto"/>
                <w:sz w:val="21"/>
                <w:szCs w:val="21"/>
                <w:lang w:val="en-US" w:eastAsia="zh-CN"/>
              </w:rPr>
              <w:t>23.5</w:t>
            </w:r>
            <w:r>
              <w:rPr>
                <w:rFonts w:hint="eastAsia" w:ascii="宋体" w:hAnsi="宋体" w:eastAsia="宋体" w:cs="宋体"/>
                <w:color w:val="auto"/>
                <w:sz w:val="21"/>
                <w:szCs w:val="21"/>
              </w:rPr>
              <w:t>dB</w:t>
            </w:r>
          </w:p>
          <w:p w14:paraId="3400088F">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10.</w:t>
            </w:r>
            <w:r>
              <w:rPr>
                <w:rFonts w:hint="eastAsia" w:ascii="宋体" w:hAnsi="宋体" w:eastAsia="宋体" w:cs="宋体"/>
                <w:color w:val="auto"/>
                <w:sz w:val="21"/>
                <w:szCs w:val="21"/>
              </w:rPr>
              <w:t>电流量：≤</w:t>
            </w:r>
            <w:r>
              <w:rPr>
                <w:rFonts w:hint="eastAsia" w:ascii="宋体" w:hAnsi="宋体" w:eastAsia="宋体" w:cs="宋体"/>
                <w:color w:val="auto"/>
                <w:sz w:val="21"/>
                <w:szCs w:val="21"/>
                <w:lang w:val="en-US" w:eastAsia="zh-CN"/>
              </w:rPr>
              <w:t>2.42</w:t>
            </w:r>
            <w:r>
              <w:rPr>
                <w:rFonts w:hint="eastAsia" w:ascii="宋体" w:hAnsi="宋体" w:eastAsia="宋体" w:cs="宋体"/>
                <w:color w:val="auto"/>
                <w:sz w:val="21"/>
                <w:szCs w:val="21"/>
              </w:rPr>
              <w:t>mA</w:t>
            </w:r>
          </w:p>
          <w:p w14:paraId="4B930C0B">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11.</w:t>
            </w:r>
            <w:r>
              <w:rPr>
                <w:rFonts w:hint="eastAsia" w:ascii="宋体" w:hAnsi="宋体" w:eastAsia="宋体" w:cs="宋体"/>
                <w:color w:val="auto"/>
                <w:sz w:val="21"/>
                <w:szCs w:val="21"/>
              </w:rPr>
              <w:t>感应拾音线圈最大灵敏度：≥</w:t>
            </w:r>
            <w:r>
              <w:rPr>
                <w:rFonts w:hint="eastAsia" w:ascii="宋体" w:hAnsi="宋体" w:eastAsia="宋体" w:cs="宋体"/>
                <w:color w:val="auto"/>
                <w:sz w:val="21"/>
                <w:szCs w:val="21"/>
                <w:lang w:val="en-US" w:eastAsia="zh-CN"/>
              </w:rPr>
              <w:t>111.8</w:t>
            </w:r>
            <w:r>
              <w:rPr>
                <w:rFonts w:hint="eastAsia" w:ascii="宋体" w:hAnsi="宋体" w:eastAsia="宋体" w:cs="宋体"/>
                <w:color w:val="auto"/>
                <w:sz w:val="21"/>
                <w:szCs w:val="21"/>
              </w:rPr>
              <w:t>dB</w:t>
            </w:r>
          </w:p>
          <w:p w14:paraId="7A263EA8">
            <w:pPr>
              <w:pStyle w:val="106"/>
              <w:numPr>
                <w:ilvl w:val="0"/>
                <w:numId w:val="0"/>
              </w:numPr>
              <w:ind w:left="360" w:leftChars="0" w:hanging="360" w:firstLineChars="0"/>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12.IP68防风防潮防尘外壳设计</w:t>
            </w:r>
          </w:p>
          <w:p w14:paraId="6A7CC0B4">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13.移频截止频率范围：800-7700Hz</w:t>
            </w:r>
          </w:p>
          <w:p w14:paraId="2972D82B">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14.原位测听功能</w:t>
            </w:r>
          </w:p>
          <w:p w14:paraId="008556D7">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15.自动声反馈抑制设置</w:t>
            </w:r>
          </w:p>
          <w:p w14:paraId="7E25804A">
            <w:pPr>
              <w:pStyle w:val="106"/>
              <w:numPr>
                <w:ilvl w:val="0"/>
                <w:numId w:val="0"/>
              </w:numPr>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he-IL"/>
              </w:rPr>
              <w:t>16.</w:t>
            </w:r>
            <w:r>
              <w:rPr>
                <w:rFonts w:hint="eastAsia" w:ascii="宋体" w:hAnsi="宋体" w:eastAsia="宋体" w:cs="宋体"/>
                <w:color w:val="auto"/>
                <w:sz w:val="21"/>
                <w:szCs w:val="21"/>
              </w:rPr>
              <w:t>双耳同步功能</w:t>
            </w:r>
            <w:r>
              <w:rPr>
                <w:rFonts w:hint="eastAsia" w:ascii="宋体" w:hAnsi="宋体" w:eastAsia="宋体" w:cs="宋体"/>
                <w:color w:val="auto"/>
                <w:sz w:val="21"/>
                <w:szCs w:val="21"/>
                <w:lang w:eastAsia="zh-CN"/>
              </w:rPr>
              <w:t>，双耳互联功能</w:t>
            </w:r>
          </w:p>
          <w:p w14:paraId="2D30C7BC">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17.支持App调整，支持鸿蒙、安卓、苹果系统</w:t>
            </w:r>
          </w:p>
          <w:p w14:paraId="503C38BC">
            <w:pPr>
              <w:pStyle w:val="106"/>
              <w:numPr>
                <w:ilvl w:val="0"/>
                <w:numId w:val="0"/>
              </w:numP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18.</w:t>
            </w:r>
            <w:r>
              <w:rPr>
                <w:rFonts w:hint="eastAsia" w:ascii="宋体" w:hAnsi="宋体" w:eastAsia="宋体" w:cs="宋体"/>
                <w:color w:val="auto"/>
                <w:sz w:val="21"/>
                <w:szCs w:val="21"/>
              </w:rPr>
              <w:t>可选择验配公式数：≥</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个</w:t>
            </w:r>
          </w:p>
          <w:p w14:paraId="6C9BACE4">
            <w:pPr>
              <w:pStyle w:val="106"/>
              <w:numPr>
                <w:ilvl w:val="0"/>
                <w:numId w:val="0"/>
              </w:numPr>
              <w:ind w:left="360" w:leftChars="0" w:hanging="360" w:firstLineChars="0"/>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19.宽动态范围压缩</w:t>
            </w:r>
          </w:p>
          <w:p w14:paraId="7C403777">
            <w:pPr>
              <w:pStyle w:val="106"/>
              <w:numPr>
                <w:ilvl w:val="0"/>
                <w:numId w:val="0"/>
              </w:numP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20.</w:t>
            </w:r>
            <w:r>
              <w:rPr>
                <w:rFonts w:hint="eastAsia" w:ascii="宋体" w:hAnsi="宋体" w:eastAsia="宋体" w:cs="宋体"/>
                <w:color w:val="auto"/>
                <w:sz w:val="21"/>
                <w:szCs w:val="21"/>
              </w:rPr>
              <w:t>兼容FM</w:t>
            </w:r>
          </w:p>
          <w:p w14:paraId="1C4BEEEF">
            <w:pPr>
              <w:keepNext w:val="0"/>
              <w:keepLines w:val="0"/>
              <w:widowControl/>
              <w:suppressLineNumbers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rPr>
              <w:t>注：供应商需同时提供以下证明材料，否则视为负偏离：1.单个产品的照片，拍摄要求：单个产品正面左前方,俯视照片一张,白底,图像清晰。2.国家级质量检测中心出具的检测报告，检测报告中的检测结果不满足对应技术参数要求的，该条参数视为负偏离。</w:t>
            </w:r>
          </w:p>
        </w:tc>
        <w:tc>
          <w:tcPr>
            <w:tcW w:w="735" w:type="dxa"/>
            <w:shd w:val="clear" w:color="auto" w:fill="auto"/>
            <w:vAlign w:val="center"/>
          </w:tcPr>
          <w:p w14:paraId="083403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765" w:type="dxa"/>
            <w:vAlign w:val="center"/>
          </w:tcPr>
          <w:p w14:paraId="2F0059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台</w:t>
            </w:r>
          </w:p>
        </w:tc>
        <w:tc>
          <w:tcPr>
            <w:tcW w:w="1002" w:type="dxa"/>
            <w:vAlign w:val="center"/>
          </w:tcPr>
          <w:p w14:paraId="3729FD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bl>
    <w:p w14:paraId="4A904F09">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助听器</w:t>
      </w:r>
      <w:r>
        <w:rPr>
          <w:rFonts w:hint="eastAsia" w:ascii="宋体" w:hAnsi="宋体" w:eastAsia="宋体" w:cs="宋体"/>
          <w:b/>
          <w:bCs/>
          <w:sz w:val="21"/>
          <w:szCs w:val="21"/>
        </w:rPr>
        <w:t>服务要求</w:t>
      </w:r>
    </w:p>
    <w:p w14:paraId="1D826DD5">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.本项目采用集中适配，供应商需</w:t>
      </w:r>
      <w:r>
        <w:rPr>
          <w:rFonts w:hint="eastAsia" w:ascii="宋体" w:hAnsi="宋体" w:eastAsia="宋体" w:cs="宋体"/>
          <w:sz w:val="21"/>
          <w:szCs w:val="21"/>
        </w:rPr>
        <w:t>提供免费技术服务包括听力检测、纯音测听、助听器验配、取耳印模</w:t>
      </w:r>
      <w:r>
        <w:rPr>
          <w:rFonts w:hint="eastAsia" w:ascii="宋体" w:hAnsi="宋体" w:eastAsia="宋体" w:cs="宋体"/>
          <w:sz w:val="21"/>
          <w:szCs w:val="21"/>
          <w:lang w:val="en-US" w:eastAsia="zh-CN"/>
        </w:rPr>
        <w:t>等内容</w:t>
      </w:r>
      <w:r>
        <w:rPr>
          <w:rFonts w:hint="eastAsia" w:ascii="宋体" w:hAnsi="宋体" w:eastAsia="宋体" w:cs="宋体"/>
          <w:sz w:val="21"/>
          <w:szCs w:val="21"/>
        </w:rPr>
        <w:t>；需安排两名或以上助听器验配技术人员进行专门技术服务。以上交货服务地点、时间由采购人具体安排。</w:t>
      </w:r>
    </w:p>
    <w:p w14:paraId="31E9941D">
      <w:pPr>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供助听器货物配送方案；验配服务方案；质保期及售后服务的保证措施。</w:t>
      </w:r>
    </w:p>
    <w:p w14:paraId="023A4373">
      <w:pPr>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供应商需提供助听器</w:t>
      </w:r>
      <w:r>
        <w:rPr>
          <w:rFonts w:hint="eastAsia" w:ascii="宋体" w:hAnsi="宋体" w:eastAsia="宋体" w:cs="宋体"/>
          <w:sz w:val="21"/>
          <w:szCs w:val="21"/>
          <w:lang w:val="en-US" w:eastAsia="zh-CN"/>
        </w:rPr>
        <w:t>两</w:t>
      </w:r>
      <w:r>
        <w:rPr>
          <w:rFonts w:hint="eastAsia" w:ascii="宋体" w:hAnsi="宋体" w:eastAsia="宋体" w:cs="宋体"/>
          <w:sz w:val="21"/>
          <w:szCs w:val="21"/>
        </w:rPr>
        <w:t>年或以上年限保修。在保修期内</w:t>
      </w:r>
      <w:r>
        <w:rPr>
          <w:rFonts w:hint="eastAsia" w:ascii="宋体" w:hAnsi="宋体" w:eastAsia="宋体" w:cs="宋体"/>
          <w:sz w:val="21"/>
          <w:szCs w:val="21"/>
          <w:lang w:val="en-US" w:eastAsia="zh-CN"/>
        </w:rPr>
        <w:t>对非人为损坏进行保修</w:t>
      </w:r>
      <w:r>
        <w:rPr>
          <w:rFonts w:hint="eastAsia" w:ascii="宋体" w:hAnsi="宋体" w:eastAsia="宋体" w:cs="宋体"/>
          <w:sz w:val="21"/>
          <w:szCs w:val="21"/>
        </w:rPr>
        <w:t>，产品发生故障，供应服务商在收到用户信息后在48小时内回应，并在4周内排除并交付使用。</w:t>
      </w:r>
    </w:p>
    <w:p w14:paraId="5D522D1A">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采购方有权对供应产品抽检，以保证产品实际满足参数要求。第三方检测不符合的有权不予验收。</w:t>
      </w:r>
    </w:p>
    <w:p w14:paraId="2751EBB4">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产品配套服务</w:t>
      </w:r>
    </w:p>
    <w:p w14:paraId="22C9D713">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A.</w:t>
      </w:r>
      <w:r>
        <w:rPr>
          <w:rFonts w:hint="eastAsia" w:ascii="宋体" w:hAnsi="宋体" w:eastAsia="宋体" w:cs="宋体"/>
          <w:sz w:val="21"/>
          <w:szCs w:val="21"/>
        </w:rPr>
        <w:t>每台助听器免费配置大、中、小三个耳塞头；</w:t>
      </w:r>
    </w:p>
    <w:p w14:paraId="5C3E2ACE">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B.</w:t>
      </w:r>
      <w:r>
        <w:rPr>
          <w:rFonts w:hint="eastAsia" w:ascii="宋体" w:hAnsi="宋体" w:eastAsia="宋体" w:cs="宋体"/>
          <w:sz w:val="21"/>
          <w:szCs w:val="21"/>
        </w:rPr>
        <w:t>每台助听器免费配置≥24粒助听器电池；</w:t>
      </w:r>
    </w:p>
    <w:p w14:paraId="067D63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C.</w:t>
      </w:r>
      <w:r>
        <w:rPr>
          <w:rFonts w:hint="eastAsia" w:ascii="宋体" w:hAnsi="宋体" w:eastAsia="宋体" w:cs="宋体"/>
          <w:b w:val="0"/>
          <w:bCs w:val="0"/>
          <w:sz w:val="21"/>
          <w:szCs w:val="21"/>
          <w:lang w:val="en-US" w:eastAsia="zh-CN"/>
        </w:rPr>
        <w:t>每台助听免费配置干燥盒1个，防丢绳1条。</w:t>
      </w:r>
    </w:p>
    <w:p w14:paraId="3F0F38A2">
      <w:pPr>
        <w:spacing w:line="360" w:lineRule="auto"/>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w:t>
      </w:r>
      <w:r>
        <w:rPr>
          <w:rFonts w:hint="eastAsia" w:ascii="宋体" w:hAnsi="宋体" w:eastAsia="宋体" w:cs="宋体"/>
          <w:sz w:val="21"/>
          <w:szCs w:val="21"/>
        </w:rPr>
        <w:t>技术人员具有专业听力学验配资质《助听器验配师资格证》。</w:t>
      </w:r>
    </w:p>
    <w:p w14:paraId="3CC93251">
      <w:pPr>
        <w:rPr>
          <w:color w:val="000000" w:themeColor="text1"/>
          <w:highlight w:val="none"/>
          <w14:textFill>
            <w14:solidFill>
              <w14:schemeClr w14:val="tx1"/>
            </w14:solidFill>
          </w14:textFill>
        </w:rPr>
      </w:pPr>
    </w:p>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CE8C637">
      <w:pPr>
        <w:pStyle w:val="2"/>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5" w:name="_Toc11290"/>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7FF6A6D">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6" w:name="_Toc456272919"/>
      <w:bookmarkStart w:id="117" w:name="_Toc456648358"/>
      <w:bookmarkStart w:id="118" w:name="_Toc434832495"/>
      <w:bookmarkStart w:id="119" w:name="_Toc12104"/>
      <w:r>
        <w:rPr>
          <w:rFonts w:hint="eastAsia" w:ascii="宋体" w:hAnsi="宋体"/>
          <w:color w:val="000000" w:themeColor="text1"/>
          <w:sz w:val="21"/>
          <w:szCs w:val="21"/>
          <w:highlight w:val="none"/>
          <w14:textFill>
            <w14:solidFill>
              <w14:schemeClr w14:val="tx1"/>
            </w14:solidFill>
          </w14:textFill>
        </w:rPr>
        <w:t>供应商须知前附表</w:t>
      </w:r>
      <w:bookmarkEnd w:id="116"/>
      <w:bookmarkEnd w:id="117"/>
      <w:bookmarkEnd w:id="118"/>
      <w:bookmarkEnd w:id="119"/>
    </w:p>
    <w:tbl>
      <w:tblPr>
        <w:tblStyle w:val="52"/>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tcBorders>
              <w:top w:val="single" w:color="auto" w:sz="4" w:space="0"/>
              <w:left w:val="single" w:color="auto" w:sz="4" w:space="0"/>
              <w:right w:val="single" w:color="auto" w:sz="4" w:space="0"/>
            </w:tcBorders>
            <w:shd w:val="clear" w:color="auto" w:fill="auto"/>
            <w:vAlign w:val="center"/>
          </w:tcPr>
          <w:p w14:paraId="7DB79E30">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全国招标采购公共服务平台</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15C59EB7">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https://www.hnzbcgxxw.com/</w:t>
            </w:r>
          </w:p>
        </w:tc>
      </w:tr>
      <w:tr w14:paraId="24AD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continue"/>
            <w:tcBorders>
              <w:left w:val="single" w:color="auto" w:sz="4" w:space="0"/>
              <w:right w:val="single" w:color="auto" w:sz="4" w:space="0"/>
            </w:tcBorders>
            <w:vAlign w:val="center"/>
          </w:tcPr>
          <w:p w14:paraId="4B71F02F">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F953225">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6" w:type="dxa"/>
            <w:vMerge w:val="restart"/>
            <w:tcBorders>
              <w:left w:val="single" w:color="auto" w:sz="4" w:space="0"/>
              <w:right w:val="single" w:color="auto" w:sz="4" w:space="0"/>
            </w:tcBorders>
            <w:vAlign w:val="center"/>
          </w:tcPr>
          <w:p w14:paraId="060C0AD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6446BF0E">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vMerge w:val="continue"/>
            <w:tcBorders>
              <w:left w:val="single" w:color="auto" w:sz="4" w:space="0"/>
              <w:right w:val="single" w:color="auto" w:sz="4" w:space="0"/>
            </w:tcBorders>
            <w:vAlign w:val="center"/>
          </w:tcPr>
          <w:p w14:paraId="4EE98BC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5958A33">
      <w:pPr>
        <w:pStyle w:val="5"/>
        <w:rPr>
          <w:color w:val="000000" w:themeColor="text1"/>
          <w:highlight w:val="none"/>
          <w14:textFill>
            <w14:solidFill>
              <w14:schemeClr w14:val="tx1"/>
            </w14:solidFill>
          </w14:textFill>
        </w:rPr>
      </w:pPr>
    </w:p>
    <w:p w14:paraId="68724BDF">
      <w:pPr>
        <w:pStyle w:val="5"/>
        <w:rPr>
          <w:color w:val="000000" w:themeColor="text1"/>
          <w:highlight w:val="none"/>
          <w14:textFill>
            <w14:solidFill>
              <w14:schemeClr w14:val="tx1"/>
            </w14:solidFill>
          </w14:textFill>
        </w:rPr>
      </w:pPr>
    </w:p>
    <w:p w14:paraId="1510D801">
      <w:pPr>
        <w:pStyle w:val="5"/>
        <w:rPr>
          <w:color w:val="000000" w:themeColor="text1"/>
          <w:highlight w:val="none"/>
          <w14:textFill>
            <w14:solidFill>
              <w14:schemeClr w14:val="tx1"/>
            </w14:solidFill>
          </w14:textFill>
        </w:rPr>
      </w:pPr>
    </w:p>
    <w:p w14:paraId="49486D9A">
      <w:pPr>
        <w:rPr>
          <w:rFonts w:hint="eastAsia" w:hAnsi="宋体"/>
          <w:color w:val="000000" w:themeColor="text1"/>
          <w:highlight w:val="none"/>
          <w14:textFill>
            <w14:solidFill>
              <w14:schemeClr w14:val="tx1"/>
            </w14:solidFill>
          </w14:textFill>
        </w:rPr>
      </w:pPr>
      <w:bookmarkStart w:id="120" w:name="_Hlt21938668"/>
      <w:bookmarkEnd w:id="120"/>
      <w:bookmarkStart w:id="121" w:name="_Hlt21938665"/>
      <w:bookmarkEnd w:id="121"/>
      <w:bookmarkStart w:id="122" w:name="_Toc464632120"/>
      <w:r>
        <w:rPr>
          <w:rFonts w:hint="eastAsia" w:hAnsi="宋体"/>
          <w:color w:val="000000" w:themeColor="text1"/>
          <w:highlight w:val="none"/>
          <w14:textFill>
            <w14:solidFill>
              <w14:schemeClr w14:val="tx1"/>
            </w14:solidFill>
          </w14:textFill>
        </w:rPr>
        <w:br w:type="page"/>
      </w:r>
    </w:p>
    <w:p w14:paraId="627A1B7E">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21298"/>
      <w:r>
        <w:rPr>
          <w:rFonts w:hint="eastAsia" w:hAnsi="宋体"/>
          <w:color w:val="000000" w:themeColor="text1"/>
          <w:highlight w:val="none"/>
          <w14:textFill>
            <w14:solidFill>
              <w14:schemeClr w14:val="tx1"/>
            </w14:solidFill>
          </w14:textFill>
        </w:rPr>
        <w:t>一、说  明</w:t>
      </w:r>
      <w:bookmarkEnd w:id="122"/>
      <w:bookmarkEnd w:id="123"/>
    </w:p>
    <w:p w14:paraId="46C5409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4" w:name="_Toc464632121"/>
      <w:bookmarkStart w:id="125" w:name="_Toc22086"/>
      <w:r>
        <w:rPr>
          <w:rFonts w:hint="eastAsia" w:hAnsi="宋体"/>
          <w:color w:val="000000" w:themeColor="text1"/>
          <w:highlight w:val="none"/>
          <w14:textFill>
            <w14:solidFill>
              <w14:schemeClr w14:val="tx1"/>
            </w14:solidFill>
          </w14:textFill>
        </w:rPr>
        <w:t>二、磋商文件</w:t>
      </w:r>
      <w:bookmarkEnd w:id="124"/>
      <w:bookmarkEnd w:id="125"/>
    </w:p>
    <w:p w14:paraId="43341E04">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6" w:name="_Toc464632122"/>
      <w:bookmarkStart w:id="127" w:name="_Toc23294"/>
      <w:r>
        <w:rPr>
          <w:rFonts w:hint="eastAsia" w:hAnsi="宋体"/>
          <w:color w:val="000000" w:themeColor="text1"/>
          <w:highlight w:val="none"/>
          <w14:textFill>
            <w14:solidFill>
              <w14:schemeClr w14:val="tx1"/>
            </w14:solidFill>
          </w14:textFill>
        </w:rPr>
        <w:t>三、响应文件的编制</w:t>
      </w:r>
      <w:bookmarkEnd w:id="126"/>
      <w:bookmarkEnd w:id="127"/>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8" w:name="_Toc464632123"/>
      <w:bookmarkStart w:id="129" w:name="_Toc21418"/>
      <w:r>
        <w:rPr>
          <w:rFonts w:hint="eastAsia" w:hAnsi="宋体"/>
          <w:color w:val="000000" w:themeColor="text1"/>
          <w:highlight w:val="none"/>
          <w14:textFill>
            <w14:solidFill>
              <w14:schemeClr w14:val="tx1"/>
            </w14:solidFill>
          </w14:textFill>
        </w:rPr>
        <w:t>四、磋商报价要求和供应商资格证明文件的要求</w:t>
      </w:r>
      <w:bookmarkEnd w:id="128"/>
      <w:bookmarkEnd w:id="129"/>
    </w:p>
    <w:p w14:paraId="091E0A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0" w:name="_Toc464632124"/>
      <w:bookmarkStart w:id="131" w:name="_Toc799"/>
      <w:r>
        <w:rPr>
          <w:rFonts w:hint="eastAsia" w:hAnsi="宋体"/>
          <w:color w:val="000000" w:themeColor="text1"/>
          <w:highlight w:val="none"/>
          <w14:textFill>
            <w14:solidFill>
              <w14:schemeClr w14:val="tx1"/>
            </w14:solidFill>
          </w14:textFill>
        </w:rPr>
        <w:t>五、保证金</w:t>
      </w:r>
      <w:bookmarkEnd w:id="130"/>
      <w:bookmarkEnd w:id="131"/>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2" w:name="_Toc464632125"/>
      <w:bookmarkStart w:id="133" w:name="_Toc24200"/>
      <w:r>
        <w:rPr>
          <w:rFonts w:hint="eastAsia" w:hAnsi="宋体"/>
          <w:color w:val="000000" w:themeColor="text1"/>
          <w:highlight w:val="none"/>
          <w14:textFill>
            <w14:solidFill>
              <w14:schemeClr w14:val="tx1"/>
            </w14:solidFill>
          </w14:textFill>
        </w:rPr>
        <w:t>六、响应文件的份数、封装和递交</w:t>
      </w:r>
      <w:bookmarkEnd w:id="132"/>
      <w:bookmarkEnd w:id="133"/>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4" w:name="_Toc11363"/>
      <w:bookmarkStart w:id="135" w:name="_Toc464632126"/>
      <w:r>
        <w:rPr>
          <w:rFonts w:hint="eastAsia" w:hAnsi="宋体"/>
          <w:color w:val="000000" w:themeColor="text1"/>
          <w:highlight w:val="none"/>
          <w14:textFill>
            <w14:solidFill>
              <w14:schemeClr w14:val="tx1"/>
            </w14:solidFill>
          </w14:textFill>
        </w:rPr>
        <w:t>七、磋商的步骤</w:t>
      </w:r>
      <w:bookmarkEnd w:id="134"/>
      <w:bookmarkEnd w:id="135"/>
    </w:p>
    <w:p w14:paraId="2A78DF7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6" w:name="_Toc2622"/>
      <w:bookmarkStart w:id="137" w:name="_Toc464632127"/>
      <w:r>
        <w:rPr>
          <w:rFonts w:hint="eastAsia" w:hAnsi="宋体"/>
          <w:color w:val="000000" w:themeColor="text1"/>
          <w:highlight w:val="none"/>
          <w14:textFill>
            <w14:solidFill>
              <w14:schemeClr w14:val="tx1"/>
            </w14:solidFill>
          </w14:textFill>
        </w:rPr>
        <w:t>八、确定成交供应商办法</w:t>
      </w:r>
      <w:bookmarkEnd w:id="136"/>
      <w:bookmarkEnd w:id="137"/>
    </w:p>
    <w:p w14:paraId="19B397B5">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8" w:name="_Toc464632128"/>
      <w:bookmarkStart w:id="139" w:name="_Toc9046"/>
      <w:r>
        <w:rPr>
          <w:rFonts w:hint="eastAsia" w:ascii="宋体" w:hAnsi="宋体"/>
          <w:color w:val="000000" w:themeColor="text1"/>
          <w:szCs w:val="21"/>
          <w:highlight w:val="none"/>
          <w14:textFill>
            <w14:solidFill>
              <w14:schemeClr w14:val="tx1"/>
            </w14:solidFill>
          </w14:textFill>
        </w:rPr>
        <w:t>九、质疑</w:t>
      </w:r>
      <w:bookmarkEnd w:id="138"/>
      <w:bookmarkEnd w:id="139"/>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40" w:name="_Toc322033397"/>
      <w:bookmarkStart w:id="141" w:name="_Toc345675374"/>
      <w:bookmarkStart w:id="142" w:name="_Toc464632129"/>
      <w:bookmarkStart w:id="143" w:name="_Toc25927"/>
      <w:r>
        <w:rPr>
          <w:rFonts w:hint="eastAsia" w:ascii="宋体" w:hAnsi="宋体"/>
          <w:color w:val="000000" w:themeColor="text1"/>
          <w:szCs w:val="21"/>
          <w:highlight w:val="none"/>
          <w14:textFill>
            <w14:solidFill>
              <w14:schemeClr w14:val="tx1"/>
            </w14:solidFill>
          </w14:textFill>
        </w:rPr>
        <w:t>十、成交服务费</w:t>
      </w:r>
      <w:bookmarkEnd w:id="140"/>
      <w:bookmarkEnd w:id="141"/>
      <w:bookmarkEnd w:id="142"/>
      <w:bookmarkEnd w:id="143"/>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4" w:name="_Toc18486"/>
      <w:bookmarkStart w:id="145" w:name="_Toc464632131"/>
      <w:bookmarkStart w:id="146" w:name="_Toc536594109"/>
      <w:r>
        <w:rPr>
          <w:rFonts w:hint="eastAsia" w:ascii="宋体" w:hAnsi="宋体"/>
          <w:color w:val="000000" w:themeColor="text1"/>
          <w:szCs w:val="21"/>
          <w:highlight w:val="none"/>
          <w14:textFill>
            <w14:solidFill>
              <w14:schemeClr w14:val="tx1"/>
            </w14:solidFill>
          </w14:textFill>
        </w:rPr>
        <w:t>十一、合同的订立和履行</w:t>
      </w:r>
      <w:bookmarkEnd w:id="144"/>
      <w:bookmarkEnd w:id="145"/>
    </w:p>
    <w:bookmarkEnd w:id="146"/>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7" w:name="_Toc29646"/>
      <w:bookmarkStart w:id="148" w:name="_Toc345675376"/>
      <w:bookmarkStart w:id="149" w:name="_Toc464632132"/>
      <w:bookmarkStart w:id="150" w:name="_Toc322033399"/>
      <w:r>
        <w:rPr>
          <w:rFonts w:hint="eastAsia" w:ascii="宋体" w:hAnsi="宋体"/>
          <w:color w:val="000000" w:themeColor="text1"/>
          <w:szCs w:val="21"/>
          <w:highlight w:val="none"/>
          <w14:textFill>
            <w14:solidFill>
              <w14:schemeClr w14:val="tx1"/>
            </w14:solidFill>
          </w14:textFill>
        </w:rPr>
        <w:t>十二、适用法律</w:t>
      </w:r>
      <w:bookmarkEnd w:id="147"/>
      <w:bookmarkEnd w:id="148"/>
      <w:bookmarkEnd w:id="149"/>
      <w:bookmarkEnd w:id="150"/>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1" w:name="_Toc18379"/>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1"/>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1D5BCDB2">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p w14:paraId="01CF2061">
      <w:pPr>
        <w:rPr>
          <w:color w:val="000000" w:themeColor="text1"/>
          <w:highlight w:val="none"/>
          <w14:textFill>
            <w14:solidFill>
              <w14:schemeClr w14:val="tx1"/>
            </w14:solidFill>
          </w14:textFill>
        </w:rPr>
      </w:pPr>
    </w:p>
    <w:tbl>
      <w:tblPr>
        <w:tblStyle w:val="52"/>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726D21FE">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73F1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04C3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CB2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2EEF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03AA029">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3E0F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D93C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对招标文件技术要求的响应程度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2DB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8564B3">
            <w:pPr>
              <w:spacing w:line="320" w:lineRule="exact"/>
              <w:ind w:left="0" w:firstLine="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提交的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文件对应</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文件的技术要求等响应情况进行比较评分，完全满足或优于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DCB7120">
            <w:pPr>
              <w:spacing w:line="320" w:lineRule="exact"/>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技术参数</w:t>
            </w:r>
            <w:r>
              <w:rPr>
                <w:rFonts w:hint="eastAsia" w:ascii="宋体" w:hAnsi="宋体" w:eastAsia="宋体" w:cs="宋体"/>
                <w:b w:val="0"/>
                <w:bCs w:val="0"/>
                <w:color w:val="000000" w:themeColor="text1"/>
                <w:sz w:val="21"/>
                <w:szCs w:val="21"/>
                <w:highlight w:val="none"/>
                <w14:textFill>
                  <w14:solidFill>
                    <w14:schemeClr w14:val="tx1"/>
                  </w14:solidFill>
                </w14:textFill>
              </w:rPr>
              <w:t>中的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b w:val="0"/>
                <w:bCs w:val="0"/>
                <w:color w:val="000000" w:themeColor="text1"/>
                <w:sz w:val="21"/>
                <w:szCs w:val="21"/>
                <w:highlight w:val="none"/>
                <w14:textFill>
                  <w14:solidFill>
                    <w14:schemeClr w14:val="tx1"/>
                  </w14:solidFill>
                </w14:textFill>
              </w:rPr>
              <w:t>每负偏离1项扣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3530CDB0">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：如技术要求中有明确了提供的证明资料，则以技术要求中要求的为准，如技术要求中无明确要求证明材料的，按《技术和服务要求响应表》响应情况为准，不提供不得分。</w:t>
            </w:r>
          </w:p>
        </w:tc>
      </w:tr>
      <w:tr w14:paraId="73AE141A">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51C3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D3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FB51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C66D0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的项目实施方案进行综合评审： </w:t>
            </w:r>
          </w:p>
          <w:p w14:paraId="082484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、可行性高、操作性强，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165F6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、可行性较高、操作性较强，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59DF6E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项目实施方案基本合理、可行性一般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0BC92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b w:val="0"/>
                <w:bCs w:val="0"/>
                <w:color w:val="000000" w:themeColor="text1"/>
                <w:sz w:val="21"/>
                <w:szCs w:val="21"/>
                <w:highlight w:val="none"/>
                <w14:textFill>
                  <w14:solidFill>
                    <w14:schemeClr w14:val="tx1"/>
                  </w14:solidFill>
                </w14:textFill>
              </w:rPr>
              <w:t>合理、可行性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44C4E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09FBB85D">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C452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FCBF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质量保障措施方案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6F32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2ABC7E">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根据供应商提供项目质量保障措施方案进行评审：</w:t>
            </w:r>
          </w:p>
          <w:p w14:paraId="3E7E8D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15E644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1500B4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质量保证措施方案不够具体、可操作性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0A65F5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4.质量保证措施方案不具体，可操作性不足，不能满足采购需求的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3662DB5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12E00C9A">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25B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7E3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5387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C1811A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267E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54BD17E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A5FFAB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2F37BCB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317E2B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4879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7DD254E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3EF5A02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p>
        </w:tc>
        <w:tc>
          <w:tcPr>
            <w:tcW w:w="767" w:type="dxa"/>
            <w:tcMar>
              <w:top w:w="0" w:type="dxa"/>
              <w:left w:w="108" w:type="dxa"/>
              <w:bottom w:w="0" w:type="dxa"/>
              <w:right w:w="108" w:type="dxa"/>
            </w:tcMar>
            <w:vAlign w:val="center"/>
          </w:tcPr>
          <w:p w14:paraId="41D9971D">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6C19C564">
            <w:pP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供应商提供</w:t>
            </w:r>
            <w:r>
              <w:rPr>
                <w:rFonts w:hint="eastAsia" w:ascii="宋体" w:hAnsi="宋体" w:eastAsia="宋体" w:cs="宋体"/>
                <w:color w:val="000000" w:themeColor="text1"/>
                <w:sz w:val="21"/>
                <w:szCs w:val="21"/>
                <w:highlight w:val="none"/>
                <w14:textFill>
                  <w14:solidFill>
                    <w14:schemeClr w14:val="tx1"/>
                  </w14:solidFill>
                </w14:textFill>
              </w:rPr>
              <w:t>2021年1月1日至今（以合同签订时间为准）的同类项目业绩，每提供一个得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4282D63">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提供有效合同</w:t>
            </w:r>
            <w:r>
              <w:rPr>
                <w:rFonts w:hint="eastAsia" w:ascii="宋体" w:hAnsi="宋体" w:cs="宋体"/>
                <w:color w:val="000000" w:themeColor="text1"/>
                <w:sz w:val="21"/>
                <w:szCs w:val="21"/>
                <w:highlight w:val="none"/>
                <w:lang w:val="en-US" w:eastAsia="zh-CN"/>
                <w14:textFill>
                  <w14:solidFill>
                    <w14:schemeClr w14:val="tx1"/>
                  </w14:solidFill>
                </w14:textFill>
              </w:rPr>
              <w:t>复印件加盖供应商公章</w:t>
            </w:r>
            <w:r>
              <w:rPr>
                <w:rFonts w:hint="eastAsia" w:ascii="宋体" w:hAnsi="宋体" w:eastAsia="宋体" w:cs="宋体"/>
                <w:color w:val="000000" w:themeColor="text1"/>
                <w:sz w:val="21"/>
                <w:szCs w:val="21"/>
                <w:highlight w:val="none"/>
                <w14:textFill>
                  <w14:solidFill>
                    <w14:schemeClr w14:val="tx1"/>
                  </w14:solidFill>
                </w14:textFill>
              </w:rPr>
              <w:t>，否则不得分。</w:t>
            </w:r>
          </w:p>
        </w:tc>
      </w:tr>
      <w:tr w14:paraId="5960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1344E3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6153805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培训方案 </w:t>
            </w:r>
          </w:p>
        </w:tc>
        <w:tc>
          <w:tcPr>
            <w:tcW w:w="767" w:type="dxa"/>
            <w:tcMar>
              <w:top w:w="0" w:type="dxa"/>
              <w:left w:w="108" w:type="dxa"/>
              <w:bottom w:w="0" w:type="dxa"/>
              <w:right w:w="108" w:type="dxa"/>
            </w:tcMar>
            <w:vAlign w:val="center"/>
          </w:tcPr>
          <w:p w14:paraId="1F90FE20">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02F64E2C">
            <w:pPr>
              <w:spacing w:line="360" w:lineRule="exact"/>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针对本项目的培训方案进行评审： </w:t>
            </w:r>
          </w:p>
          <w:p w14:paraId="683F81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1.培训方案具体、可操作性强、合理可行，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4D6ADD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2.培训方案基本完整但不够详细、有一定的可操作性、基本合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FBD3A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3.培训方案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36B55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4.培训方案不具体，可操作性不足，不能满足采购需求的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1402DBD6">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2BB3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5107B14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51125BB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31C1D9DB">
            <w:pPr>
              <w:spacing w:line="40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4F52E11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针对本项目的售后服务方案（包括但不限于保修期、备品备件价格、维护保养计划及措施、售后服务机构设置等）进行评审： </w:t>
            </w:r>
          </w:p>
          <w:p w14:paraId="4D7160A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1.方案完整详实，根据需求提出详细具体的备品备件说明和维护保养计划及措施，售后服务便捷，</w:t>
            </w:r>
            <w:r>
              <w:rPr>
                <w:rFonts w:hint="eastAsia" w:ascii="宋体" w:hAnsi="宋体" w:cs="宋体"/>
                <w:b w:val="0"/>
                <w:bCs w:val="0"/>
                <w:color w:val="000000" w:themeColor="text1"/>
                <w:highlight w:val="none"/>
                <w:lang w:val="en-US" w:eastAsia="zh-CN"/>
                <w14:textFill>
                  <w14:solidFill>
                    <w14:schemeClr w14:val="tx1"/>
                  </w14:solidFill>
                </w14:textFill>
              </w:rPr>
              <w:t>优于或满足采购需求的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3140C8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2.方案基本完整，有备品备件说明和维护保养计划及措施，能满足基本售后服务要求，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基本</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4A33B06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3.方案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不够</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完整，有备品备件说明和维护保养计划及措施</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但不足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未能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部分</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6992310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方案不完整，缺少备品备件说明或维护保养计划及措施或售后服务不够便捷，</w:t>
            </w:r>
            <w:r>
              <w:rPr>
                <w:rFonts w:hint="eastAsia" w:ascii="宋体" w:hAnsi="宋体" w:cs="宋体"/>
                <w:b w:val="0"/>
                <w:bCs w:val="0"/>
                <w:color w:val="000000" w:themeColor="text1"/>
                <w:highlight w:val="none"/>
                <w:lang w:val="en-US" w:eastAsia="zh-CN"/>
                <w14:textFill>
                  <w14:solidFill>
                    <w14:schemeClr w14:val="tx1"/>
                  </w14:solidFill>
                </w14:textFill>
              </w:rPr>
              <w:t>不能</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得1分； </w:t>
            </w:r>
          </w:p>
          <w:p w14:paraId="167EF0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14:paraId="3E8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24C7E37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731BF1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4B77B49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551708FC">
      <w:pPr>
        <w:spacing w:line="360" w:lineRule="auto"/>
        <w:rPr>
          <w:rFonts w:ascii="宋体" w:hAnsi="宋体"/>
          <w:b/>
          <w:color w:val="000000" w:themeColor="text1"/>
          <w:highlight w:val="none"/>
          <w14:textFill>
            <w14:solidFill>
              <w14:schemeClr w14:val="tx1"/>
            </w14:solidFill>
          </w14:textFill>
        </w:rPr>
      </w:pPr>
    </w:p>
    <w:p w14:paraId="67B07EB2">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2" w:name="_Toc430771059"/>
      <w:bookmarkStart w:id="153" w:name="_Toc432682726"/>
      <w:bookmarkStart w:id="154" w:name="_Toc491658677"/>
      <w:bookmarkStart w:id="155" w:name="_Toc480010734"/>
      <w:bookmarkStart w:id="156" w:name="_Toc480020283"/>
      <w:bookmarkStart w:id="157" w:name="_Toc468606055"/>
      <w:bookmarkStart w:id="158" w:name="_Toc480021079"/>
      <w:bookmarkStart w:id="159" w:name="_Toc467987849"/>
      <w:bookmarkStart w:id="160" w:name="_Toc500861024"/>
      <w:bookmarkStart w:id="161" w:name="_Toc479991608"/>
      <w:bookmarkStart w:id="162" w:name="_Toc467236766"/>
      <w:bookmarkStart w:id="163" w:name="_Toc468157562"/>
      <w:bookmarkStart w:id="164" w:name="_Toc6727972"/>
      <w:bookmarkStart w:id="165" w:name="_Toc500861027"/>
      <w:bookmarkStart w:id="166" w:name="_Toc491658680"/>
      <w:bookmarkStart w:id="167" w:name="_Toc26066260"/>
      <w:bookmarkStart w:id="168" w:name="_Toc6397151"/>
    </w:p>
    <w:p w14:paraId="0E427C68">
      <w:pPr>
        <w:spacing w:line="360" w:lineRule="auto"/>
        <w:jc w:val="center"/>
        <w:rPr>
          <w:rFonts w:ascii="宋体" w:hAnsi="宋体"/>
          <w:b/>
          <w:color w:val="000000" w:themeColor="text1"/>
          <w:highlight w:val="none"/>
          <w14:textFill>
            <w14:solidFill>
              <w14:schemeClr w14:val="tx1"/>
            </w14:solidFill>
          </w14:textFill>
        </w:rPr>
      </w:pPr>
    </w:p>
    <w:p w14:paraId="3492BF72">
      <w:pPr>
        <w:spacing w:line="360" w:lineRule="auto"/>
        <w:jc w:val="center"/>
        <w:rPr>
          <w:rFonts w:ascii="宋体" w:hAnsi="宋体"/>
          <w:b/>
          <w:color w:val="000000" w:themeColor="text1"/>
          <w:highlight w:val="none"/>
          <w14:textFill>
            <w14:solidFill>
              <w14:schemeClr w14:val="tx1"/>
            </w14:solidFill>
          </w14:textFill>
        </w:rPr>
      </w:pPr>
    </w:p>
    <w:p w14:paraId="7AC4882B">
      <w:pPr>
        <w:spacing w:line="360" w:lineRule="auto"/>
        <w:jc w:val="center"/>
        <w:rPr>
          <w:rFonts w:ascii="宋体" w:hAnsi="宋体"/>
          <w:b/>
          <w:color w:val="000000" w:themeColor="text1"/>
          <w:highlight w:val="none"/>
          <w14:textFill>
            <w14:solidFill>
              <w14:schemeClr w14:val="tx1"/>
            </w14:solidFill>
          </w14:textFill>
        </w:rPr>
      </w:pPr>
    </w:p>
    <w:p w14:paraId="4A99D41A">
      <w:pPr>
        <w:spacing w:line="360" w:lineRule="auto"/>
        <w:jc w:val="center"/>
        <w:rPr>
          <w:rFonts w:ascii="宋体" w:hAnsi="宋体"/>
          <w:b/>
          <w:color w:val="000000" w:themeColor="text1"/>
          <w:highlight w:val="none"/>
          <w14:textFill>
            <w14:solidFill>
              <w14:schemeClr w14:val="tx1"/>
            </w14:solidFill>
          </w14:textFill>
        </w:rPr>
      </w:pPr>
    </w:p>
    <w:bookmarkEnd w:id="152"/>
    <w:bookmarkEnd w:id="153"/>
    <w:p w14:paraId="0F4C88D9">
      <w:pPr>
        <w:pStyle w:val="3"/>
        <w:numPr>
          <w:ilvl w:val="0"/>
          <w:numId w:val="0"/>
        </w:numPr>
        <w:rPr>
          <w:color w:val="000000" w:themeColor="text1"/>
          <w:sz w:val="24"/>
          <w:highlight w:val="none"/>
          <w14:textFill>
            <w14:solidFill>
              <w14:schemeClr w14:val="tx1"/>
            </w14:solidFill>
          </w14:textFill>
        </w:rPr>
      </w:pPr>
      <w:bookmarkStart w:id="169" w:name="_Toc500843104"/>
      <w:bookmarkStart w:id="170" w:name="_Toc3002"/>
      <w:bookmarkStart w:id="171" w:name="_Toc430771060"/>
      <w:bookmarkStart w:id="172" w:name="_Toc430185803"/>
      <w:r>
        <w:rPr>
          <w:rFonts w:hint="eastAsia"/>
          <w:color w:val="000000" w:themeColor="text1"/>
          <w:sz w:val="24"/>
          <w:highlight w:val="none"/>
          <w14:textFill>
            <w14:solidFill>
              <w14:schemeClr w14:val="tx1"/>
            </w14:solidFill>
          </w14:textFill>
        </w:rPr>
        <w:t>政府采购政策</w:t>
      </w:r>
      <w:bookmarkEnd w:id="169"/>
      <w:bookmarkEnd w:id="170"/>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1"/>
      <w:bookmarkEnd w:id="172"/>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3" w:name="_Toc430185804"/>
      <w:bookmarkStart w:id="174" w:name="_Toc430771061"/>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3"/>
      <w:bookmarkEnd w:id="174"/>
    </w:p>
    <w:p w14:paraId="26F0F14E">
      <w:pPr>
        <w:spacing w:line="360" w:lineRule="auto"/>
        <w:rPr>
          <w:rFonts w:ascii="宋体" w:hAnsi="宋体"/>
          <w:color w:val="000000" w:themeColor="text1"/>
          <w:highlight w:val="none"/>
          <w14:textFill>
            <w14:solidFill>
              <w14:schemeClr w14:val="tx1"/>
            </w14:solidFill>
          </w14:textFill>
        </w:rPr>
      </w:pPr>
      <w:bookmarkStart w:id="175" w:name="_Toc430771062"/>
      <w:bookmarkStart w:id="176"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5"/>
      <w:bookmarkEnd w:id="176"/>
    </w:p>
    <w:p w14:paraId="12FE0F0E">
      <w:pPr>
        <w:spacing w:line="360" w:lineRule="auto"/>
        <w:rPr>
          <w:rFonts w:ascii="宋体" w:hAnsi="宋体"/>
          <w:color w:val="000000" w:themeColor="text1"/>
          <w:highlight w:val="none"/>
          <w14:textFill>
            <w14:solidFill>
              <w14:schemeClr w14:val="tx1"/>
            </w14:solidFill>
          </w14:textFill>
        </w:rPr>
      </w:pPr>
      <w:bookmarkStart w:id="177" w:name="_Toc430771063"/>
      <w:bookmarkStart w:id="178" w:name="_Toc430185806"/>
      <w:r>
        <w:rPr>
          <w:rFonts w:hint="eastAsia" w:ascii="宋体" w:hAnsi="宋体"/>
          <w:color w:val="000000" w:themeColor="text1"/>
          <w:highlight w:val="none"/>
          <w14:textFill>
            <w14:solidFill>
              <w14:schemeClr w14:val="tx1"/>
            </w14:solidFill>
          </w14:textFill>
        </w:rPr>
        <w:t>4．</w:t>
      </w:r>
      <w:bookmarkEnd w:id="177"/>
      <w:bookmarkEnd w:id="178"/>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》的规定，凡符合要求的有效供应商，按照以下比例给予相应的价格扣除：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4"/>
    <w:bookmarkEnd w:id="155"/>
    <w:bookmarkEnd w:id="156"/>
    <w:bookmarkEnd w:id="157"/>
    <w:bookmarkEnd w:id="158"/>
    <w:bookmarkEnd w:id="159"/>
    <w:bookmarkEnd w:id="160"/>
    <w:bookmarkEnd w:id="161"/>
    <w:bookmarkEnd w:id="162"/>
    <w:bookmarkEnd w:id="163"/>
    <w:p w14:paraId="775C96F5">
      <w:pPr>
        <w:pStyle w:val="2"/>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9" w:name="_Hlt21939000"/>
      <w:bookmarkEnd w:id="179"/>
      <w:bookmarkStart w:id="180" w:name="_Toc330459994"/>
      <w:bookmarkStart w:id="181" w:name="_Toc365967081"/>
      <w:bookmarkStart w:id="182" w:name="_Toc333237797"/>
      <w:bookmarkStart w:id="183" w:name="_Toc349127635"/>
      <w:bookmarkStart w:id="184" w:name="_Toc339020024"/>
      <w:bookmarkStart w:id="185" w:name="_Toc340677079"/>
      <w:bookmarkStart w:id="186" w:name="_Toc333238642"/>
      <w:bookmarkStart w:id="187" w:name="_Toc337632367"/>
      <w:bookmarkStart w:id="188" w:name="_Toc341348347"/>
      <w:bookmarkStart w:id="189" w:name="_Toc366072538"/>
      <w:bookmarkStart w:id="190" w:name="_Toc350756459"/>
      <w:bookmarkStart w:id="191" w:name="_Toc332206717"/>
      <w:bookmarkStart w:id="192" w:name="_Toc339362309"/>
      <w:bookmarkStart w:id="193" w:name="_Toc340672878"/>
      <w:bookmarkStart w:id="194" w:name="_Toc339441096"/>
      <w:bookmarkStart w:id="195" w:name="_Toc365985187"/>
      <w:bookmarkStart w:id="196" w:name="_Toc339020104"/>
      <w:bookmarkStart w:id="197" w:name="_Toc345513910"/>
      <w:bookmarkStart w:id="198" w:name="_Toc350438758"/>
      <w:bookmarkStart w:id="199" w:name="_Toc332270355"/>
      <w:bookmarkStart w:id="200" w:name="_Toc349143598"/>
      <w:bookmarkStart w:id="201" w:name="_Toc374454610"/>
      <w:bookmarkStart w:id="202" w:name="_Toc331512907"/>
      <w:bookmarkStart w:id="203" w:name="_Toc331684047"/>
      <w:bookmarkStart w:id="204" w:name="_Toc336681589"/>
      <w:bookmarkStart w:id="205" w:name="_Toc340507451"/>
      <w:bookmarkStart w:id="206" w:name="_Toc339020242"/>
      <w:bookmarkStart w:id="207" w:name="_Toc336681944"/>
      <w:bookmarkStart w:id="208" w:name="_Toc342296769"/>
      <w:bookmarkStart w:id="209" w:name="_Toc333237686"/>
      <w:bookmarkStart w:id="210" w:name="_Toc333935355"/>
      <w:bookmarkStart w:id="211" w:name="_Toc342060383"/>
      <w:bookmarkStart w:id="212" w:name="_Toc333935696"/>
      <w:bookmarkStart w:id="213" w:name="_Toc339019898"/>
      <w:bookmarkStart w:id="214" w:name="_Toc29611"/>
      <w:r>
        <w:rPr>
          <w:rFonts w:hint="eastAsia" w:ascii="宋体" w:hAnsi="宋体" w:eastAsia="宋体"/>
          <w:b/>
          <w:color w:val="000000" w:themeColor="text1"/>
          <w:highlight w:val="none"/>
          <w14:textFill>
            <w14:solidFill>
              <w14:schemeClr w14:val="tx1"/>
            </w14:solidFill>
          </w14:textFill>
        </w:rPr>
        <w:t xml:space="preserve">第五部分  </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Start w:id="215" w:name="_Hlt97188170"/>
      <w:bookmarkEnd w:id="215"/>
      <w:r>
        <w:rPr>
          <w:rFonts w:hint="eastAsia" w:ascii="宋体" w:hAnsi="宋体"/>
          <w:b/>
          <w:color w:val="000000" w:themeColor="text1"/>
          <w:sz w:val="21"/>
          <w:szCs w:val="21"/>
          <w:highlight w:val="none"/>
          <w14:textFill>
            <w14:solidFill>
              <w14:schemeClr w14:val="tx1"/>
            </w14:solidFill>
          </w14:textFill>
        </w:rPr>
        <w:t>合同书格式（参考范本）</w:t>
      </w:r>
      <w:bookmarkEnd w:id="214"/>
    </w:p>
    <w:p w14:paraId="176E5007">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32D476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2D0D52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1BCA08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FE62FF">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6A33278">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715A4DD">
      <w:pPr>
        <w:numPr>
          <w:ilvl w:val="6"/>
          <w:numId w:val="24"/>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6514408B">
      <w:pPr>
        <w:numPr>
          <w:ilvl w:val="6"/>
          <w:numId w:val="24"/>
        </w:numPr>
        <w:tabs>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1BBEE50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68517F26">
      <w:pPr>
        <w:numPr>
          <w:ilvl w:val="0"/>
          <w:numId w:val="25"/>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9BF6EF3">
      <w:pPr>
        <w:numPr>
          <w:ilvl w:val="0"/>
          <w:numId w:val="25"/>
        </w:numPr>
        <w:tabs>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00C538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02E3935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107B0A8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36155AC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79A640D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6EF630F">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1B1D4B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D6DA07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0BC4291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225CB5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B2DC3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615CD6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66BF19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1DA351F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02B3B869">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FC18F2B">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14:textFill>
            <w14:solidFill>
              <w14:schemeClr w14:val="tx1"/>
            </w14:solidFill>
          </w14:textFill>
        </w:rPr>
      </w:pPr>
      <w:bookmarkStart w:id="216" w:name="_Toc349127636"/>
      <w:bookmarkStart w:id="217" w:name="_Toc339020105"/>
      <w:bookmarkStart w:id="218" w:name="_Toc339441097"/>
      <w:bookmarkStart w:id="219" w:name="_Toc333237798"/>
      <w:bookmarkStart w:id="220" w:name="_Toc341348348"/>
      <w:bookmarkStart w:id="221" w:name="_Toc340672879"/>
      <w:bookmarkStart w:id="222" w:name="_Toc349143599"/>
      <w:bookmarkStart w:id="223" w:name="_Toc339020243"/>
      <w:bookmarkStart w:id="224" w:name="_Toc491658678"/>
      <w:bookmarkStart w:id="225" w:name="_Toc339020025"/>
      <w:bookmarkStart w:id="226" w:name="_Toc342060384"/>
      <w:bookmarkStart w:id="227" w:name="_Toc330459995"/>
      <w:bookmarkStart w:id="228" w:name="_Toc365967082"/>
      <w:bookmarkStart w:id="229" w:name="_Toc333935697"/>
      <w:bookmarkStart w:id="230" w:name="_Toc331684048"/>
      <w:bookmarkStart w:id="231" w:name="_Toc337632368"/>
      <w:bookmarkStart w:id="232" w:name="_Toc345513911"/>
      <w:bookmarkStart w:id="233" w:name="_Toc333935356"/>
      <w:bookmarkStart w:id="234" w:name="_Toc333237687"/>
      <w:bookmarkStart w:id="235" w:name="_Toc340507452"/>
      <w:bookmarkStart w:id="236" w:name="_Toc366072539"/>
      <w:bookmarkStart w:id="237" w:name="_Toc336681945"/>
      <w:bookmarkStart w:id="238" w:name="_Toc350756460"/>
      <w:bookmarkStart w:id="239" w:name="_Toc332206718"/>
      <w:bookmarkStart w:id="240" w:name="_Toc350438759"/>
      <w:bookmarkStart w:id="241" w:name="_Toc336681590"/>
      <w:bookmarkStart w:id="242" w:name="_Toc500861025"/>
      <w:bookmarkStart w:id="243" w:name="_Toc339019899"/>
      <w:bookmarkStart w:id="244" w:name="_Toc339362310"/>
      <w:bookmarkStart w:id="245" w:name="_Toc333238643"/>
      <w:bookmarkStart w:id="246" w:name="_Toc331512908"/>
      <w:bookmarkStart w:id="247" w:name="_Toc365985188"/>
      <w:bookmarkStart w:id="248" w:name="_Toc340677080"/>
      <w:bookmarkStart w:id="249" w:name="_Toc332270356"/>
      <w:bookmarkStart w:id="250" w:name="_Toc342296770"/>
    </w:p>
    <w:p w14:paraId="38F82420">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251" w:name="_Toc1613"/>
      <w:r>
        <w:rPr>
          <w:rFonts w:hint="eastAsia" w:ascii="宋体" w:hAnsi="宋体" w:eastAsia="宋体"/>
          <w:b/>
          <w:color w:val="000000" w:themeColor="text1"/>
          <w:highlight w:val="none"/>
          <w14:textFill>
            <w14:solidFill>
              <w14:schemeClr w14:val="tx1"/>
            </w14:solidFill>
          </w14:textFill>
        </w:rPr>
        <w:t>第六部分</w:t>
      </w:r>
      <w:bookmarkStart w:id="252" w:name="_Hlt97188172"/>
      <w:bookmarkEnd w:id="252"/>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Start w:id="253" w:name="_Hlt21938933"/>
      <w:bookmarkEnd w:id="253"/>
    </w:p>
    <w:p w14:paraId="55FD3B10">
      <w:pPr>
        <w:rPr>
          <w:rFonts w:ascii="宋体" w:hAnsi="宋体"/>
          <w:color w:val="000000" w:themeColor="text1"/>
          <w:highlight w:val="none"/>
          <w14:textFill>
            <w14:solidFill>
              <w14:schemeClr w14:val="tx1"/>
            </w14:solidFill>
          </w14:textFill>
        </w:rPr>
      </w:pPr>
    </w:p>
    <w:p w14:paraId="09FC3B00">
      <w:pPr>
        <w:pStyle w:val="3"/>
        <w:numPr>
          <w:ilvl w:val="1"/>
          <w:numId w:val="0"/>
        </w:numPr>
        <w:rPr>
          <w:rFonts w:ascii="宋体" w:hAnsi="宋体"/>
          <w:color w:val="000000" w:themeColor="text1"/>
          <w:sz w:val="24"/>
          <w:highlight w:val="none"/>
          <w14:textFill>
            <w14:solidFill>
              <w14:schemeClr w14:val="tx1"/>
            </w14:solidFill>
          </w14:textFill>
        </w:rPr>
      </w:pPr>
      <w:bookmarkStart w:id="254" w:name="_Toc339020026"/>
      <w:bookmarkStart w:id="255" w:name="_Toc333238644"/>
      <w:bookmarkStart w:id="256" w:name="_Toc32244"/>
      <w:bookmarkStart w:id="257" w:name="_Toc333935357"/>
      <w:bookmarkStart w:id="258" w:name="_Toc349143600"/>
      <w:bookmarkStart w:id="259" w:name="_Toc333237799"/>
      <w:bookmarkStart w:id="260" w:name="_Toc332206719"/>
      <w:bookmarkStart w:id="261" w:name="_Toc339019900"/>
      <w:bookmarkStart w:id="262" w:name="_Toc350438760"/>
      <w:bookmarkStart w:id="263" w:name="_Toc337632369"/>
      <w:bookmarkStart w:id="264" w:name="_Toc365967083"/>
      <w:bookmarkStart w:id="265" w:name="_Toc332270357"/>
      <w:bookmarkStart w:id="266" w:name="_Toc331512909"/>
      <w:bookmarkStart w:id="267" w:name="_Toc365985189"/>
      <w:bookmarkStart w:id="268" w:name="_Toc340677081"/>
      <w:bookmarkStart w:id="269" w:name="_Toc349127637"/>
      <w:bookmarkStart w:id="270" w:name="_Toc336681946"/>
      <w:bookmarkStart w:id="271" w:name="_Toc333237688"/>
      <w:bookmarkStart w:id="272" w:name="_Toc333935698"/>
      <w:bookmarkStart w:id="273" w:name="_Toc339020106"/>
      <w:bookmarkStart w:id="274" w:name="_Toc345513912"/>
      <w:bookmarkStart w:id="275" w:name="_Toc366072540"/>
      <w:bookmarkStart w:id="276" w:name="_Toc339441098"/>
      <w:bookmarkStart w:id="277" w:name="_Toc339020244"/>
      <w:bookmarkStart w:id="278" w:name="_Toc331684049"/>
      <w:bookmarkStart w:id="279" w:name="_Toc340672880"/>
      <w:bookmarkStart w:id="280" w:name="_Toc341348349"/>
      <w:bookmarkStart w:id="281" w:name="_Toc330459996"/>
      <w:bookmarkStart w:id="282" w:name="_Toc336681591"/>
      <w:bookmarkStart w:id="283" w:name="_Toc350756461"/>
      <w:bookmarkStart w:id="284" w:name="_Toc342060385"/>
      <w:bookmarkStart w:id="285" w:name="_Toc339362311"/>
      <w:bookmarkStart w:id="286" w:name="_Toc342296771"/>
      <w:bookmarkStart w:id="287" w:name="_Toc340507453"/>
      <w:r>
        <w:rPr>
          <w:rFonts w:hint="eastAsia" w:ascii="宋体" w:hAnsi="宋体"/>
          <w:color w:val="000000" w:themeColor="text1"/>
          <w:sz w:val="24"/>
          <w:highlight w:val="none"/>
          <w14:textFill>
            <w14:solidFill>
              <w14:schemeClr w14:val="tx1"/>
            </w14:solidFill>
          </w14:textFill>
        </w:rPr>
        <w:t>封面格式</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045DC5F">
      <w:pPr>
        <w:pStyle w:val="5"/>
        <w:rPr>
          <w:rFonts w:hAnsi="宋体"/>
          <w:bCs/>
          <w:color w:val="000000" w:themeColor="text1"/>
          <w:sz w:val="21"/>
          <w:highlight w:val="none"/>
          <w14:textFill>
            <w14:solidFill>
              <w14:schemeClr w14:val="tx1"/>
            </w14:solidFill>
          </w14:textFill>
        </w:rPr>
      </w:pPr>
    </w:p>
    <w:p w14:paraId="7C98BEC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5"/>
        <w:rPr>
          <w:rFonts w:hAnsi="宋体"/>
          <w:bCs/>
          <w:color w:val="000000" w:themeColor="text1"/>
          <w:sz w:val="21"/>
          <w:highlight w:val="none"/>
          <w14:textFill>
            <w14:solidFill>
              <w14:schemeClr w14:val="tx1"/>
            </w14:solidFill>
          </w14:textFill>
        </w:rPr>
      </w:pPr>
    </w:p>
    <w:p w14:paraId="78C7801C">
      <w:pPr>
        <w:pStyle w:val="5"/>
        <w:rPr>
          <w:rFonts w:hAnsi="宋体"/>
          <w:bCs/>
          <w:color w:val="000000" w:themeColor="text1"/>
          <w:sz w:val="21"/>
          <w:highlight w:val="none"/>
          <w14:textFill>
            <w14:solidFill>
              <w14:schemeClr w14:val="tx1"/>
            </w14:solidFill>
          </w14:textFill>
        </w:rPr>
      </w:pPr>
    </w:p>
    <w:p w14:paraId="000679DE">
      <w:pPr>
        <w:pStyle w:val="5"/>
        <w:rPr>
          <w:rFonts w:hAnsi="宋体"/>
          <w:bCs/>
          <w:color w:val="000000" w:themeColor="text1"/>
          <w:sz w:val="21"/>
          <w:highlight w:val="none"/>
          <w14:textFill>
            <w14:solidFill>
              <w14:schemeClr w14:val="tx1"/>
            </w14:solidFill>
          </w14:textFill>
        </w:rPr>
      </w:pPr>
    </w:p>
    <w:p w14:paraId="4755B7F7">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377A2C8D">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YXCG-20251224</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11D524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8" w:name="_Toc7054"/>
      <w:r>
        <w:rPr>
          <w:rFonts w:hint="eastAsia" w:ascii="宋体" w:hAnsi="宋体"/>
          <w:b w:val="0"/>
          <w:color w:val="000000" w:themeColor="text1"/>
          <w:sz w:val="24"/>
          <w:highlight w:val="none"/>
          <w14:textFill>
            <w14:solidFill>
              <w14:schemeClr w14:val="tx1"/>
            </w14:solidFill>
          </w14:textFill>
        </w:rPr>
        <w:t>自查表</w:t>
      </w:r>
      <w:bookmarkEnd w:id="288"/>
    </w:p>
    <w:p w14:paraId="594B35C5">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9" w:name="_Toc18086"/>
      <w:bookmarkStart w:id="290" w:name="_Toc31777"/>
      <w:bookmarkStart w:id="291" w:name="_Toc15234"/>
      <w:r>
        <w:rPr>
          <w:rFonts w:hint="eastAsia" w:ascii="宋体"/>
          <w:bCs w:val="0"/>
          <w:color w:val="000000" w:themeColor="text1"/>
          <w:szCs w:val="21"/>
          <w:highlight w:val="none"/>
          <w14:textFill>
            <w14:solidFill>
              <w14:schemeClr w14:val="tx1"/>
            </w14:solidFill>
          </w14:textFill>
        </w:rPr>
        <w:t>1.1  资格性/符合性自查表</w:t>
      </w:r>
      <w:bookmarkEnd w:id="289"/>
      <w:bookmarkEnd w:id="290"/>
      <w:bookmarkEnd w:id="291"/>
    </w:p>
    <w:p w14:paraId="48B334EE">
      <w:pPr>
        <w:jc w:val="center"/>
        <w:rPr>
          <w:rFonts w:ascii="宋体" w:hAnsi="宋体"/>
          <w:b/>
          <w:bCs/>
          <w:color w:val="000000" w:themeColor="text1"/>
          <w:szCs w:val="21"/>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34F85DA8">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02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3899BFC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37E15D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8C3AA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270F109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7DDA5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442328F">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6B8FD37B">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66FBE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64652769">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2EE9A5E8">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9E62E1F">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8CD288B">
            <w:pPr>
              <w:tabs>
                <w:tab w:val="left" w:pos="0"/>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1E45C7F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49091D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0098DBD">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020" w:type="dxa"/>
            <w:vMerge w:val="continue"/>
            <w:vAlign w:val="center"/>
          </w:tcPr>
          <w:p w14:paraId="58CC71C6">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EA15B26">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C4DC8E0">
            <w:pPr>
              <w:tabs>
                <w:tab w:val="left" w:pos="0"/>
              </w:tabs>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供应商应具有医疗器械生产许可证或医疗器械经营许可证或第二类医疗器械经营备案凭证并在有效期内</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1848" w:type="dxa"/>
            <w:vAlign w:val="center"/>
          </w:tcPr>
          <w:p w14:paraId="0CED05A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E8966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CBF398C">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4"/>
    <w:bookmarkEnd w:id="165"/>
    <w:bookmarkEnd w:id="166"/>
    <w:bookmarkEnd w:id="167"/>
    <w:bookmarkEnd w:id="168"/>
    <w:p w14:paraId="4E69A75A">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2" w:name="_Toc7693"/>
      <w:bookmarkStart w:id="293" w:name="_Toc200414515"/>
      <w:bookmarkStart w:id="294"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2"/>
      <w:bookmarkEnd w:id="293"/>
      <w:bookmarkEnd w:id="294"/>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5"/>
        <w:spacing w:line="360" w:lineRule="auto"/>
        <w:ind w:left="420" w:firstLine="0"/>
        <w:rPr>
          <w:rFonts w:hAnsi="宋体"/>
          <w:color w:val="000000" w:themeColor="text1"/>
          <w:highlight w:val="none"/>
          <w14:textFill>
            <w14:solidFill>
              <w14:schemeClr w14:val="tx1"/>
            </w14:solidFill>
          </w14:textFill>
        </w:rPr>
      </w:pPr>
    </w:p>
    <w:p w14:paraId="1AA523A6">
      <w:pPr>
        <w:pStyle w:val="5"/>
        <w:spacing w:line="360" w:lineRule="auto"/>
        <w:ind w:left="420" w:firstLine="0"/>
        <w:rPr>
          <w:rFonts w:hAnsi="宋体"/>
          <w:color w:val="000000" w:themeColor="text1"/>
          <w:highlight w:val="none"/>
          <w14:textFill>
            <w14:solidFill>
              <w14:schemeClr w14:val="tx1"/>
            </w14:solidFill>
          </w14:textFill>
        </w:rPr>
      </w:pPr>
    </w:p>
    <w:p w14:paraId="1C8BEC2F">
      <w:pPr>
        <w:pStyle w:val="5"/>
        <w:spacing w:line="360" w:lineRule="auto"/>
        <w:ind w:left="420" w:firstLine="0"/>
        <w:rPr>
          <w:rFonts w:hAnsi="宋体"/>
          <w:color w:val="000000" w:themeColor="text1"/>
          <w:highlight w:val="none"/>
          <w14:textFill>
            <w14:solidFill>
              <w14:schemeClr w14:val="tx1"/>
            </w14:solidFill>
          </w14:textFill>
        </w:rPr>
      </w:pPr>
    </w:p>
    <w:p w14:paraId="6BACC9A7">
      <w:pPr>
        <w:pStyle w:val="5"/>
        <w:spacing w:line="360" w:lineRule="auto"/>
        <w:ind w:left="420" w:firstLine="0"/>
        <w:rPr>
          <w:rFonts w:hAnsi="宋体"/>
          <w:color w:val="000000" w:themeColor="text1"/>
          <w:highlight w:val="none"/>
          <w14:textFill>
            <w14:solidFill>
              <w14:schemeClr w14:val="tx1"/>
            </w14:solidFill>
          </w14:textFill>
        </w:rPr>
      </w:pPr>
    </w:p>
    <w:p w14:paraId="6BA924B5">
      <w:pPr>
        <w:pStyle w:val="5"/>
        <w:spacing w:line="360" w:lineRule="auto"/>
        <w:ind w:left="420" w:firstLine="0"/>
        <w:rPr>
          <w:rFonts w:hAnsi="宋体"/>
          <w:color w:val="000000" w:themeColor="text1"/>
          <w:highlight w:val="none"/>
          <w14:textFill>
            <w14:solidFill>
              <w14:schemeClr w14:val="tx1"/>
            </w14:solidFill>
          </w14:textFill>
        </w:rPr>
      </w:pPr>
    </w:p>
    <w:p w14:paraId="12FFE931">
      <w:pPr>
        <w:pStyle w:val="5"/>
        <w:spacing w:line="360" w:lineRule="auto"/>
        <w:ind w:left="420" w:firstLine="0"/>
        <w:rPr>
          <w:rFonts w:hAnsi="宋体"/>
          <w:color w:val="000000" w:themeColor="text1"/>
          <w:highlight w:val="none"/>
          <w14:textFill>
            <w14:solidFill>
              <w14:schemeClr w14:val="tx1"/>
            </w14:solidFill>
          </w14:textFill>
        </w:rPr>
      </w:pPr>
    </w:p>
    <w:p w14:paraId="030B0C02">
      <w:pPr>
        <w:pStyle w:val="5"/>
        <w:spacing w:line="360" w:lineRule="auto"/>
        <w:ind w:left="420" w:firstLine="0"/>
        <w:rPr>
          <w:rFonts w:hAnsi="宋体"/>
          <w:color w:val="000000" w:themeColor="text1"/>
          <w:highlight w:val="none"/>
          <w14:textFill>
            <w14:solidFill>
              <w14:schemeClr w14:val="tx1"/>
            </w14:solidFill>
          </w14:textFill>
        </w:rPr>
      </w:pPr>
    </w:p>
    <w:p w14:paraId="38B2B70A">
      <w:pPr>
        <w:pStyle w:val="5"/>
        <w:spacing w:line="360" w:lineRule="auto"/>
        <w:ind w:left="420" w:firstLine="0"/>
        <w:rPr>
          <w:rFonts w:hAnsi="宋体"/>
          <w:color w:val="000000" w:themeColor="text1"/>
          <w:highlight w:val="none"/>
          <w14:textFill>
            <w14:solidFill>
              <w14:schemeClr w14:val="tx1"/>
            </w14:solidFill>
          </w14:textFill>
        </w:rPr>
      </w:pPr>
    </w:p>
    <w:p w14:paraId="1361F654">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5" w:name="_Toc200414516"/>
      <w:bookmarkStart w:id="296" w:name="_Toc26922"/>
      <w:bookmarkStart w:id="297"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5"/>
      <w:bookmarkEnd w:id="296"/>
      <w:bookmarkEnd w:id="297"/>
    </w:p>
    <w:p w14:paraId="75D659EA">
      <w:pPr>
        <w:pStyle w:val="5"/>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5"/>
        <w:spacing w:line="360" w:lineRule="auto"/>
        <w:rPr>
          <w:rFonts w:hAnsi="宋体"/>
          <w:color w:val="000000" w:themeColor="text1"/>
          <w:highlight w:val="none"/>
          <w14:textFill>
            <w14:solidFill>
              <w14:schemeClr w14:val="tx1"/>
            </w14:solidFill>
          </w14:textFill>
        </w:rPr>
      </w:pPr>
    </w:p>
    <w:p w14:paraId="0B506101">
      <w:pPr>
        <w:pStyle w:val="5"/>
        <w:spacing w:line="360" w:lineRule="auto"/>
        <w:rPr>
          <w:rFonts w:hAnsi="宋体"/>
          <w:color w:val="000000" w:themeColor="text1"/>
          <w:highlight w:val="none"/>
          <w14:textFill>
            <w14:solidFill>
              <w14:schemeClr w14:val="tx1"/>
            </w14:solidFill>
          </w14:textFill>
        </w:rPr>
      </w:pPr>
    </w:p>
    <w:p w14:paraId="6ABC41AC">
      <w:pPr>
        <w:pStyle w:val="5"/>
        <w:spacing w:line="360" w:lineRule="auto"/>
        <w:rPr>
          <w:rFonts w:hAnsi="宋体"/>
          <w:color w:val="000000" w:themeColor="text1"/>
          <w:highlight w:val="none"/>
          <w14:textFill>
            <w14:solidFill>
              <w14:schemeClr w14:val="tx1"/>
            </w14:solidFill>
          </w14:textFill>
        </w:rPr>
      </w:pPr>
    </w:p>
    <w:p w14:paraId="6EEFF2C5">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88265</wp:posOffset>
                </wp:positionV>
                <wp:extent cx="3502660" cy="1781810"/>
                <wp:effectExtent l="5080" t="4445" r="12700" b="12065"/>
                <wp:wrapNone/>
                <wp:docPr id="1"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5926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&#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P5jmno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5"/>
        <w:spacing w:line="360" w:lineRule="auto"/>
        <w:ind w:firstLine="0"/>
        <w:rPr>
          <w:rFonts w:hAnsi="宋体"/>
          <w:color w:val="000000" w:themeColor="text1"/>
          <w:highlight w:val="none"/>
          <w14:textFill>
            <w14:solidFill>
              <w14:schemeClr w14:val="tx1"/>
            </w14:solidFill>
          </w14:textFill>
        </w:rPr>
      </w:pPr>
    </w:p>
    <w:p w14:paraId="49051FD4">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5"/>
        <w:spacing w:line="360" w:lineRule="auto"/>
        <w:ind w:firstLine="0"/>
        <w:rPr>
          <w:rFonts w:hAnsi="宋体"/>
          <w:color w:val="000000" w:themeColor="text1"/>
          <w:highlight w:val="none"/>
          <w14:textFill>
            <w14:solidFill>
              <w14:schemeClr w14:val="tx1"/>
            </w14:solidFill>
          </w14:textFill>
        </w:rPr>
      </w:pPr>
    </w:p>
    <w:p w14:paraId="13C6A2A9">
      <w:pPr>
        <w:pStyle w:val="5"/>
        <w:spacing w:line="360" w:lineRule="auto"/>
        <w:rPr>
          <w:rFonts w:hAnsi="宋体"/>
          <w:color w:val="000000" w:themeColor="text1"/>
          <w:highlight w:val="none"/>
          <w14:textFill>
            <w14:solidFill>
              <w14:schemeClr w14:val="tx1"/>
            </w14:solidFill>
          </w14:textFill>
        </w:rPr>
      </w:pPr>
    </w:p>
    <w:p w14:paraId="26FBCDBF">
      <w:pPr>
        <w:pStyle w:val="5"/>
        <w:spacing w:line="360" w:lineRule="auto"/>
        <w:rPr>
          <w:rFonts w:hAnsi="宋体"/>
          <w:color w:val="000000" w:themeColor="text1"/>
          <w:highlight w:val="none"/>
          <w14:textFill>
            <w14:solidFill>
              <w14:schemeClr w14:val="tx1"/>
            </w14:solidFill>
          </w14:textFill>
        </w:rPr>
      </w:pPr>
    </w:p>
    <w:p w14:paraId="5DAF0047">
      <w:pPr>
        <w:pStyle w:val="5"/>
        <w:spacing w:line="360" w:lineRule="auto"/>
        <w:rPr>
          <w:rFonts w:hAnsi="宋体"/>
          <w:color w:val="000000" w:themeColor="text1"/>
          <w:highlight w:val="none"/>
          <w14:textFill>
            <w14:solidFill>
              <w14:schemeClr w14:val="tx1"/>
            </w14:solidFill>
          </w14:textFill>
        </w:rPr>
      </w:pPr>
    </w:p>
    <w:p w14:paraId="672D437B">
      <w:pPr>
        <w:pStyle w:val="5"/>
        <w:spacing w:line="360" w:lineRule="auto"/>
        <w:rPr>
          <w:rFonts w:hAnsi="宋体"/>
          <w:color w:val="000000" w:themeColor="text1"/>
          <w:highlight w:val="none"/>
          <w14:textFill>
            <w14:solidFill>
              <w14:schemeClr w14:val="tx1"/>
            </w14:solidFill>
          </w14:textFill>
        </w:rPr>
      </w:pPr>
    </w:p>
    <w:p w14:paraId="5708C27C">
      <w:pPr>
        <w:pStyle w:val="5"/>
        <w:spacing w:line="360" w:lineRule="auto"/>
        <w:rPr>
          <w:rFonts w:hAnsi="宋体"/>
          <w:color w:val="000000" w:themeColor="text1"/>
          <w:highlight w:val="none"/>
          <w14:textFill>
            <w14:solidFill>
              <w14:schemeClr w14:val="tx1"/>
            </w14:solidFill>
          </w14:textFill>
        </w:rPr>
      </w:pPr>
    </w:p>
    <w:p w14:paraId="325D9738">
      <w:pPr>
        <w:pStyle w:val="5"/>
        <w:spacing w:line="360" w:lineRule="auto"/>
        <w:rPr>
          <w:rFonts w:hAnsi="宋体"/>
          <w:color w:val="000000" w:themeColor="text1"/>
          <w:highlight w:val="none"/>
          <w14:textFill>
            <w14:solidFill>
              <w14:schemeClr w14:val="tx1"/>
            </w14:solidFill>
          </w14:textFill>
        </w:rPr>
      </w:pPr>
    </w:p>
    <w:p w14:paraId="01E2BD9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8" w:name="_Toc16838"/>
      <w:bookmarkStart w:id="299" w:name="_Toc200414517"/>
      <w:bookmarkStart w:id="300"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298"/>
      <w:bookmarkEnd w:id="299"/>
      <w:bookmarkEnd w:id="300"/>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2700" b="12065"/>
                <wp:wrapNone/>
                <wp:docPr id="2"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E9uqy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1" w:name="_Toc6326"/>
      <w:bookmarkStart w:id="302" w:name="_Toc5000"/>
      <w:bookmarkStart w:id="303" w:name="_Toc200414523"/>
      <w:bookmarkStart w:id="304"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1"/>
      <w:bookmarkEnd w:id="302"/>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3"/>
    <w:bookmarkEnd w:id="304"/>
    <w:p w14:paraId="3FFDBA84">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5" w:name="_Toc200414524"/>
      <w:bookmarkStart w:id="306" w:name="_Toc12082"/>
      <w:bookmarkStart w:id="307"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5"/>
      <w:bookmarkEnd w:id="306"/>
      <w:bookmarkEnd w:id="307"/>
    </w:p>
    <w:p w14:paraId="10AB46F2">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8" w:name="_Toc200414525"/>
      <w:bookmarkStart w:id="309" w:name="_Toc32339"/>
      <w:bookmarkStart w:id="310"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08"/>
      <w:bookmarkEnd w:id="309"/>
      <w:bookmarkEnd w:id="310"/>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14:textFill>
            <w14:solidFill>
              <w14:schemeClr w14:val="tx1"/>
            </w14:solidFill>
          </w14:textFill>
        </w:rPr>
      </w:pPr>
    </w:p>
    <w:p w14:paraId="22A114C9">
      <w:pPr>
        <w:pStyle w:val="26"/>
        <w:spacing w:line="360" w:lineRule="auto"/>
        <w:rPr>
          <w:rFonts w:hAnsi="宋体"/>
          <w:color w:val="000000" w:themeColor="text1"/>
          <w:highlight w:val="none"/>
          <w14:textFill>
            <w14:solidFill>
              <w14:schemeClr w14:val="tx1"/>
            </w14:solidFill>
          </w14:textFill>
        </w:rPr>
      </w:pPr>
    </w:p>
    <w:p w14:paraId="36BA3CD8">
      <w:pPr>
        <w:pStyle w:val="26"/>
        <w:spacing w:line="360" w:lineRule="auto"/>
        <w:rPr>
          <w:rFonts w:hAnsi="宋体"/>
          <w:color w:val="000000" w:themeColor="text1"/>
          <w:highlight w:val="none"/>
          <w14:textFill>
            <w14:solidFill>
              <w14:schemeClr w14:val="tx1"/>
            </w14:solidFill>
          </w14:textFill>
        </w:rPr>
      </w:pPr>
    </w:p>
    <w:p w14:paraId="2FCC9080">
      <w:pPr>
        <w:pStyle w:val="26"/>
        <w:spacing w:line="360" w:lineRule="auto"/>
        <w:rPr>
          <w:rFonts w:hAnsi="宋体"/>
          <w:color w:val="000000" w:themeColor="text1"/>
          <w:highlight w:val="none"/>
          <w14:textFill>
            <w14:solidFill>
              <w14:schemeClr w14:val="tx1"/>
            </w14:solidFill>
          </w14:textFill>
        </w:rPr>
      </w:pPr>
    </w:p>
    <w:p w14:paraId="0B5722F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1" w:name="_Toc469160796"/>
      <w:bookmarkStart w:id="312" w:name="_Toc27589"/>
      <w:bookmarkStart w:id="313"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1"/>
      <w:bookmarkEnd w:id="312"/>
      <w:bookmarkEnd w:id="313"/>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YXCG-20251224</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2025年阳江市残疾人康复中心辅助器具采购项目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交货期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6"/>
        <w:spacing w:line="360" w:lineRule="auto"/>
        <w:rPr>
          <w:rFonts w:hAnsi="宋体"/>
          <w:color w:val="000000" w:themeColor="text1"/>
          <w:highlight w:val="none"/>
          <w14:textFill>
            <w14:solidFill>
              <w14:schemeClr w14:val="tx1"/>
            </w14:solidFill>
          </w14:textFill>
        </w:rPr>
      </w:pPr>
    </w:p>
    <w:p w14:paraId="1A6E9543">
      <w:pPr>
        <w:pStyle w:val="26"/>
        <w:spacing w:line="360" w:lineRule="auto"/>
        <w:rPr>
          <w:rFonts w:hAnsi="宋体"/>
          <w:color w:val="000000" w:themeColor="text1"/>
          <w:highlight w:val="none"/>
          <w14:textFill>
            <w14:solidFill>
              <w14:schemeClr w14:val="tx1"/>
            </w14:solidFill>
          </w14:textFill>
        </w:rPr>
      </w:pPr>
    </w:p>
    <w:p w14:paraId="0A6669AA">
      <w:pPr>
        <w:pStyle w:val="26"/>
        <w:spacing w:line="360" w:lineRule="auto"/>
        <w:rPr>
          <w:rFonts w:hAnsi="宋体"/>
          <w:color w:val="000000" w:themeColor="text1"/>
          <w:highlight w:val="none"/>
          <w14:textFill>
            <w14:solidFill>
              <w14:schemeClr w14:val="tx1"/>
            </w14:solidFill>
          </w14:textFill>
        </w:rPr>
      </w:pPr>
    </w:p>
    <w:p w14:paraId="1EE5D561">
      <w:pPr>
        <w:pStyle w:val="26"/>
        <w:spacing w:line="360" w:lineRule="auto"/>
        <w:rPr>
          <w:rFonts w:hAnsi="宋体"/>
          <w:color w:val="000000" w:themeColor="text1"/>
          <w:highlight w:val="none"/>
          <w14:textFill>
            <w14:solidFill>
              <w14:schemeClr w14:val="tx1"/>
            </w14:solidFill>
          </w14:textFill>
        </w:rPr>
      </w:pPr>
    </w:p>
    <w:p w14:paraId="10007DC3">
      <w:pPr>
        <w:pStyle w:val="26"/>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4" w:name="_Toc3936"/>
      <w:bookmarkStart w:id="315" w:name="_Toc11866826"/>
      <w:bookmarkStart w:id="316" w:name="_Toc469160797"/>
      <w:bookmarkStart w:id="317" w:name="_Toc200414527"/>
      <w:bookmarkStart w:id="318" w:name="_Toc469160798"/>
      <w:bookmarkStart w:id="319"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4"/>
      <w:bookmarkEnd w:id="315"/>
      <w:bookmarkEnd w:id="316"/>
      <w:bookmarkEnd w:id="317"/>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YXCG-20251224</w:t>
      </w:r>
      <w:r>
        <w:rPr>
          <w:rFonts w:hint="eastAsia" w:ascii="宋体" w:hAnsi="宋体"/>
          <w:b/>
          <w:bCs/>
          <w:caps/>
          <w:color w:val="000000" w:themeColor="text1"/>
          <w:szCs w:val="21"/>
          <w:highlight w:val="none"/>
          <w:u w:val="single"/>
          <w14:textFill>
            <w14:solidFill>
              <w14:schemeClr w14:val="tx1"/>
            </w14:solidFill>
          </w14:textFill>
        </w:rPr>
        <w:t xml:space="preserve"> </w:t>
      </w:r>
    </w:p>
    <w:p w14:paraId="4541DA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2025年阳江市残疾人康复中心辅助器具采购项目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1B5266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4B91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BC19D4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344C2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572642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3B58772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8088C7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659BC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89E655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F461FA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AEBAA9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23B15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C09A4F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1BC97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835EDE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5C1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454722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11111"/>
      <w:r>
        <w:rPr>
          <w:rFonts w:hint="eastAsia" w:ascii="宋体" w:hAnsi="宋体"/>
          <w:color w:val="000000" w:themeColor="text1"/>
          <w:sz w:val="28"/>
          <w:szCs w:val="28"/>
          <w:highlight w:val="none"/>
          <w14:textFill>
            <w14:solidFill>
              <w14:schemeClr w14:val="tx1"/>
            </w14:solidFill>
          </w14:textFill>
        </w:rPr>
        <w:t>附件四：商务条款偏离一览表</w:t>
      </w:r>
      <w:bookmarkEnd w:id="318"/>
      <w:bookmarkEnd w:id="319"/>
      <w:bookmarkEnd w:id="320"/>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YXCG-20251224</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2025年阳江市残疾人康复中心辅助器具采购项目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1" w:name="_Toc200414529"/>
      <w:bookmarkStart w:id="322" w:name="_Toc469160799"/>
      <w:bookmarkStart w:id="323" w:name="_Toc8894"/>
      <w:r>
        <w:rPr>
          <w:rFonts w:hint="eastAsia" w:ascii="宋体" w:hAnsi="宋体"/>
          <w:color w:val="000000" w:themeColor="text1"/>
          <w:sz w:val="28"/>
          <w:szCs w:val="28"/>
          <w:highlight w:val="none"/>
          <w14:textFill>
            <w14:solidFill>
              <w14:schemeClr w14:val="tx1"/>
            </w14:solidFill>
          </w14:textFill>
        </w:rPr>
        <w:t>附件五：技术条款偏离一览表</w:t>
      </w:r>
      <w:bookmarkEnd w:id="321"/>
      <w:bookmarkEnd w:id="322"/>
      <w:bookmarkEnd w:id="323"/>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YXCG-20251224</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2025年阳江市残疾人康复中心辅助器具采购项目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5"/>
        <w:spacing w:line="360" w:lineRule="auto"/>
        <w:ind w:firstLine="0"/>
        <w:rPr>
          <w:rFonts w:hAnsi="宋体"/>
          <w:bCs/>
          <w:color w:val="000000" w:themeColor="text1"/>
          <w:szCs w:val="21"/>
          <w:highlight w:val="none"/>
          <w14:textFill>
            <w14:solidFill>
              <w14:schemeClr w14:val="tx1"/>
            </w14:solidFill>
          </w14:textFill>
        </w:rPr>
      </w:pPr>
    </w:p>
    <w:p w14:paraId="255171BC">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4" w:name="_Toc31401"/>
      <w:r>
        <w:rPr>
          <w:rFonts w:hint="eastAsia" w:ascii="宋体" w:hAnsi="宋体"/>
          <w:color w:val="000000" w:themeColor="text1"/>
          <w:sz w:val="28"/>
          <w:szCs w:val="28"/>
          <w:highlight w:val="none"/>
          <w14:textFill>
            <w14:solidFill>
              <w14:schemeClr w14:val="tx1"/>
            </w14:solidFill>
          </w14:textFill>
        </w:rPr>
        <w:t>附件六：同类业绩一览表</w:t>
      </w:r>
      <w:bookmarkEnd w:id="324"/>
    </w:p>
    <w:p w14:paraId="602CC240">
      <w:pPr>
        <w:pStyle w:val="5"/>
        <w:rPr>
          <w:color w:val="000000" w:themeColor="text1"/>
          <w:highlight w:val="none"/>
          <w14:textFill>
            <w14:solidFill>
              <w14:schemeClr w14:val="tx1"/>
            </w14:solidFill>
          </w14:textFill>
        </w:rPr>
      </w:pPr>
    </w:p>
    <w:p w14:paraId="5D7716F5">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YXCG-20251224</w:t>
      </w:r>
      <w:r>
        <w:rPr>
          <w:rFonts w:hint="eastAsia"/>
          <w:b/>
          <w:bCs/>
          <w:color w:val="000000" w:themeColor="text1"/>
          <w:sz w:val="21"/>
          <w:szCs w:val="21"/>
          <w:highlight w:val="none"/>
          <w14:textFill>
            <w14:solidFill>
              <w14:schemeClr w14:val="tx1"/>
            </w14:solidFill>
          </w14:textFill>
        </w:rPr>
        <w:t xml:space="preserve">  </w:t>
      </w:r>
    </w:p>
    <w:p w14:paraId="197AC7C7">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2025年阳江市残疾人康复中心辅助器具采购项目</w:t>
      </w:r>
    </w:p>
    <w:p w14:paraId="6CEF492B">
      <w:pPr>
        <w:pStyle w:val="5"/>
        <w:ind w:firstLine="0"/>
        <w:rPr>
          <w:b/>
          <w:bCs/>
          <w:color w:val="000000" w:themeColor="text1"/>
          <w:sz w:val="21"/>
          <w:szCs w:val="21"/>
          <w:highlight w:val="none"/>
          <w:u w:val="single"/>
          <w14:textFill>
            <w14:solidFill>
              <w14:schemeClr w14:val="tx1"/>
            </w14:solidFill>
          </w14:textFill>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5C43025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0587A70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02130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2461B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50D8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ACA4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E878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B7CF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61B5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6FF72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8BFD6E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B9293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4674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0344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C1CB40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6FA66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5"/>
        <w:ind w:firstLine="0"/>
        <w:rPr>
          <w:rFonts w:hAnsi="宋体"/>
          <w:bCs/>
          <w:color w:val="000000" w:themeColor="text1"/>
          <w:sz w:val="21"/>
          <w:highlight w:val="none"/>
          <w14:textFill>
            <w14:solidFill>
              <w14:schemeClr w14:val="tx1"/>
            </w14:solidFill>
          </w14:textFill>
        </w:rPr>
      </w:pPr>
    </w:p>
    <w:p w14:paraId="399DA58E">
      <w:pPr>
        <w:pStyle w:val="5"/>
        <w:ind w:firstLine="0"/>
        <w:rPr>
          <w:rFonts w:hAnsi="宋体"/>
          <w:bCs/>
          <w:color w:val="000000" w:themeColor="text1"/>
          <w:sz w:val="21"/>
          <w:highlight w:val="none"/>
          <w14:textFill>
            <w14:solidFill>
              <w14:schemeClr w14:val="tx1"/>
            </w14:solidFill>
          </w14:textFill>
        </w:rPr>
      </w:pPr>
    </w:p>
    <w:p w14:paraId="40A02A0C">
      <w:pPr>
        <w:pStyle w:val="5"/>
        <w:ind w:firstLine="0"/>
        <w:rPr>
          <w:rFonts w:hAnsi="宋体"/>
          <w:bCs/>
          <w:color w:val="000000" w:themeColor="text1"/>
          <w:sz w:val="21"/>
          <w:highlight w:val="none"/>
          <w14:textFill>
            <w14:solidFill>
              <w14:schemeClr w14:val="tx1"/>
            </w14:solidFill>
          </w14:textFill>
        </w:rPr>
      </w:pPr>
    </w:p>
    <w:p w14:paraId="24F44484">
      <w:pPr>
        <w:pStyle w:val="5"/>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5"/>
        <w:ind w:firstLine="0"/>
        <w:rPr>
          <w:rFonts w:hAnsi="宋体"/>
          <w:bCs/>
          <w:color w:val="000000" w:themeColor="text1"/>
          <w:sz w:val="21"/>
          <w:szCs w:val="21"/>
          <w:highlight w:val="none"/>
          <w14:textFill>
            <w14:solidFill>
              <w14:schemeClr w14:val="tx1"/>
            </w14:solidFill>
          </w14:textFill>
        </w:rPr>
      </w:pPr>
    </w:p>
    <w:p w14:paraId="047AE84B">
      <w:pPr>
        <w:pStyle w:val="5"/>
        <w:ind w:firstLine="0"/>
        <w:rPr>
          <w:rFonts w:hAnsi="宋体"/>
          <w:bCs/>
          <w:color w:val="000000" w:themeColor="text1"/>
          <w:sz w:val="21"/>
          <w:szCs w:val="21"/>
          <w:highlight w:val="none"/>
          <w14:textFill>
            <w14:solidFill>
              <w14:schemeClr w14:val="tx1"/>
            </w14:solidFill>
          </w14:textFill>
        </w:rPr>
      </w:pPr>
    </w:p>
    <w:p w14:paraId="6544857C">
      <w:pPr>
        <w:pStyle w:val="5"/>
        <w:ind w:firstLine="0"/>
        <w:rPr>
          <w:rFonts w:hAnsi="宋体"/>
          <w:bCs/>
          <w:color w:val="000000" w:themeColor="text1"/>
          <w:sz w:val="21"/>
          <w:szCs w:val="21"/>
          <w:highlight w:val="none"/>
          <w14:textFill>
            <w14:solidFill>
              <w14:schemeClr w14:val="tx1"/>
            </w14:solidFill>
          </w14:textFill>
        </w:rPr>
      </w:pPr>
    </w:p>
    <w:p w14:paraId="078C93EA">
      <w:pPr>
        <w:pStyle w:val="5"/>
        <w:ind w:firstLine="0"/>
        <w:rPr>
          <w:rFonts w:hAnsi="宋体"/>
          <w:bCs/>
          <w:color w:val="000000" w:themeColor="text1"/>
          <w:sz w:val="21"/>
          <w:szCs w:val="21"/>
          <w:highlight w:val="none"/>
          <w14:textFill>
            <w14:solidFill>
              <w14:schemeClr w14:val="tx1"/>
            </w14:solidFill>
          </w14:textFill>
        </w:rPr>
      </w:pPr>
    </w:p>
    <w:p w14:paraId="7BD8D16A">
      <w:pPr>
        <w:pStyle w:val="5"/>
        <w:ind w:firstLine="0"/>
        <w:rPr>
          <w:rFonts w:hAnsi="宋体"/>
          <w:bCs/>
          <w:color w:val="000000" w:themeColor="text1"/>
          <w:sz w:val="21"/>
          <w:szCs w:val="21"/>
          <w:highlight w:val="none"/>
          <w14:textFill>
            <w14:solidFill>
              <w14:schemeClr w14:val="tx1"/>
            </w14:solidFill>
          </w14:textFill>
        </w:rPr>
      </w:pPr>
    </w:p>
    <w:p w14:paraId="034FFE43">
      <w:pPr>
        <w:pStyle w:val="5"/>
        <w:ind w:firstLine="0"/>
        <w:rPr>
          <w:rFonts w:hAnsi="宋体"/>
          <w:bCs/>
          <w:color w:val="000000" w:themeColor="text1"/>
          <w:sz w:val="21"/>
          <w:szCs w:val="21"/>
          <w:highlight w:val="none"/>
          <w14:textFill>
            <w14:solidFill>
              <w14:schemeClr w14:val="tx1"/>
            </w14:solidFill>
          </w14:textFill>
        </w:rPr>
      </w:pPr>
    </w:p>
    <w:p w14:paraId="4C218C9E">
      <w:pPr>
        <w:pStyle w:val="5"/>
        <w:ind w:firstLine="0"/>
        <w:rPr>
          <w:rFonts w:hAnsi="宋体"/>
          <w:bCs/>
          <w:color w:val="000000" w:themeColor="text1"/>
          <w:sz w:val="21"/>
          <w:szCs w:val="21"/>
          <w:highlight w:val="none"/>
          <w14:textFill>
            <w14:solidFill>
              <w14:schemeClr w14:val="tx1"/>
            </w14:solidFill>
          </w14:textFill>
        </w:rPr>
      </w:pPr>
    </w:p>
    <w:p w14:paraId="6188D812">
      <w:pPr>
        <w:pStyle w:val="5"/>
        <w:ind w:firstLine="0"/>
        <w:rPr>
          <w:rFonts w:hAnsi="宋体"/>
          <w:bCs/>
          <w:color w:val="000000" w:themeColor="text1"/>
          <w:sz w:val="21"/>
          <w:szCs w:val="21"/>
          <w:highlight w:val="none"/>
          <w14:textFill>
            <w14:solidFill>
              <w14:schemeClr w14:val="tx1"/>
            </w14:solidFill>
          </w14:textFill>
        </w:rPr>
      </w:pPr>
    </w:p>
    <w:p w14:paraId="6D026E66">
      <w:pPr>
        <w:pStyle w:val="5"/>
        <w:ind w:firstLine="0"/>
        <w:rPr>
          <w:rFonts w:hAnsi="宋体"/>
          <w:bCs/>
          <w:color w:val="000000" w:themeColor="text1"/>
          <w:sz w:val="21"/>
          <w:szCs w:val="21"/>
          <w:highlight w:val="none"/>
          <w14:textFill>
            <w14:solidFill>
              <w14:schemeClr w14:val="tx1"/>
            </w14:solidFill>
          </w14:textFill>
        </w:rPr>
      </w:pPr>
    </w:p>
    <w:p w14:paraId="3363ADE9">
      <w:pPr>
        <w:pStyle w:val="5"/>
        <w:ind w:firstLine="0"/>
        <w:rPr>
          <w:rFonts w:hAnsi="宋体"/>
          <w:bCs/>
          <w:color w:val="000000" w:themeColor="text1"/>
          <w:sz w:val="21"/>
          <w:szCs w:val="21"/>
          <w:highlight w:val="none"/>
          <w14:textFill>
            <w14:solidFill>
              <w14:schemeClr w14:val="tx1"/>
            </w14:solidFill>
          </w14:textFill>
        </w:rPr>
      </w:pPr>
    </w:p>
    <w:p w14:paraId="347A6D47">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5" w:name="_Toc432695229"/>
      <w:bookmarkStart w:id="326" w:name="_Toc11866689"/>
      <w:bookmarkStart w:id="327" w:name="_Toc430771089"/>
      <w:bookmarkStart w:id="328" w:name="_Toc6275"/>
      <w:bookmarkStart w:id="329" w:name="_Toc7149"/>
      <w:bookmarkStart w:id="330" w:name="_Toc432682754"/>
      <w:bookmarkStart w:id="331" w:name="_Toc11866431"/>
      <w:bookmarkStart w:id="332" w:name="_Toc339020125"/>
      <w:bookmarkStart w:id="333" w:name="_Toc350756480"/>
      <w:bookmarkStart w:id="334" w:name="_Toc365967105"/>
      <w:bookmarkStart w:id="335" w:name="_Toc102451601"/>
      <w:bookmarkStart w:id="336" w:name="_Toc350438779"/>
      <w:bookmarkStart w:id="337" w:name="_Toc341348370"/>
      <w:bookmarkStart w:id="338" w:name="_Toc339362330"/>
      <w:bookmarkStart w:id="339" w:name="_Toc336681610"/>
      <w:bookmarkStart w:id="340" w:name="_Toc342060405"/>
      <w:bookmarkStart w:id="341" w:name="_Toc330460016"/>
      <w:bookmarkStart w:id="342" w:name="_Toc342398160"/>
      <w:bookmarkStart w:id="343" w:name="_Toc339019919"/>
      <w:bookmarkStart w:id="344" w:name="_Toc333237819"/>
      <w:bookmarkStart w:id="345" w:name="_Toc340677100"/>
      <w:bookmarkStart w:id="346" w:name="_Toc333238664"/>
      <w:bookmarkStart w:id="347" w:name="_Toc340507472"/>
      <w:bookmarkStart w:id="348" w:name="_Toc333237708"/>
      <w:bookmarkStart w:id="349" w:name="_Toc331684072"/>
      <w:bookmarkStart w:id="350" w:name="_Toc331512931"/>
      <w:bookmarkStart w:id="351" w:name="_Toc332206739"/>
      <w:bookmarkStart w:id="352" w:name="_Toc340672899"/>
      <w:bookmarkStart w:id="353" w:name="_Toc333935376"/>
      <w:bookmarkStart w:id="354" w:name="_Toc343612950"/>
      <w:bookmarkStart w:id="355" w:name="_Toc339441117"/>
      <w:bookmarkStart w:id="356" w:name="_Toc337632388"/>
      <w:bookmarkStart w:id="357" w:name="_Toc345312627"/>
      <w:bookmarkStart w:id="358" w:name="_Toc339020045"/>
      <w:bookmarkStart w:id="359" w:name="_Toc365985211"/>
      <w:bookmarkStart w:id="360" w:name="_Toc343248448"/>
      <w:bookmarkStart w:id="361" w:name="_Toc336681965"/>
      <w:bookmarkStart w:id="362" w:name="_Toc342296791"/>
      <w:bookmarkStart w:id="363" w:name="_Toc366072562"/>
      <w:bookmarkStart w:id="364" w:name="_Toc342312473"/>
      <w:bookmarkStart w:id="365" w:name="_Toc339020263"/>
      <w:bookmarkStart w:id="366" w:name="_Toc343247130"/>
      <w:bookmarkStart w:id="367" w:name="_Toc332270377"/>
      <w:bookmarkStart w:id="368" w:name="_Toc333935717"/>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5"/>
      <w:bookmarkEnd w:id="326"/>
      <w:bookmarkEnd w:id="327"/>
      <w:bookmarkEnd w:id="328"/>
      <w:bookmarkEnd w:id="329"/>
      <w:bookmarkEnd w:id="330"/>
      <w:bookmarkEnd w:id="331"/>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5"/>
        <w:rPr>
          <w:color w:val="000000" w:themeColor="text1"/>
          <w:highlight w:val="none"/>
          <w14:textFill>
            <w14:solidFill>
              <w14:schemeClr w14:val="tx1"/>
            </w14:solidFill>
          </w14:textFill>
        </w:rPr>
      </w:pPr>
    </w:p>
    <w:p w14:paraId="4339F613">
      <w:pPr>
        <w:pStyle w:val="5"/>
        <w:rPr>
          <w:color w:val="000000" w:themeColor="text1"/>
          <w:highlight w:val="none"/>
          <w14:textFill>
            <w14:solidFill>
              <w14:schemeClr w14:val="tx1"/>
            </w14:solidFill>
          </w14:textFill>
        </w:rPr>
      </w:pPr>
    </w:p>
    <w:p w14:paraId="623D494F">
      <w:pPr>
        <w:pStyle w:val="5"/>
        <w:rPr>
          <w:color w:val="000000" w:themeColor="text1"/>
          <w:highlight w:val="none"/>
          <w14:textFill>
            <w14:solidFill>
              <w14:schemeClr w14:val="tx1"/>
            </w14:solidFill>
          </w14:textFill>
        </w:rPr>
      </w:pPr>
    </w:p>
    <w:p w14:paraId="660D4435">
      <w:pPr>
        <w:pStyle w:val="5"/>
        <w:rPr>
          <w:color w:val="000000" w:themeColor="text1"/>
          <w:highlight w:val="none"/>
          <w14:textFill>
            <w14:solidFill>
              <w14:schemeClr w14:val="tx1"/>
            </w14:solidFill>
          </w14:textFill>
        </w:rPr>
      </w:pPr>
    </w:p>
    <w:p w14:paraId="7BD91E88">
      <w:pPr>
        <w:pStyle w:val="5"/>
        <w:rPr>
          <w:color w:val="000000" w:themeColor="text1"/>
          <w:highlight w:val="none"/>
          <w14:textFill>
            <w14:solidFill>
              <w14:schemeClr w14:val="tx1"/>
            </w14:solidFill>
          </w14:textFill>
        </w:rPr>
      </w:pPr>
    </w:p>
    <w:p w14:paraId="7F037A92">
      <w:pPr>
        <w:pStyle w:val="5"/>
        <w:ind w:firstLine="0"/>
        <w:rPr>
          <w:color w:val="000000" w:themeColor="text1"/>
          <w:highlight w:val="none"/>
          <w14:textFill>
            <w14:solidFill>
              <w14:schemeClr w14:val="tx1"/>
            </w14:solidFill>
          </w14:textFill>
        </w:rPr>
      </w:pPr>
    </w:p>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2BA4F382">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9" w:name="_Toc11866690"/>
      <w:bookmarkStart w:id="370" w:name="_Toc28623"/>
      <w:bookmarkStart w:id="371" w:name="_Toc11866432"/>
      <w:bookmarkStart w:id="372" w:name="_Toc32373"/>
      <w:bookmarkStart w:id="373" w:name="_Toc20242"/>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9"/>
      <w:bookmarkEnd w:id="370"/>
      <w:bookmarkEnd w:id="371"/>
      <w:bookmarkEnd w:id="372"/>
      <w:bookmarkEnd w:id="373"/>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4" w:name="_Toc469160804"/>
      <w:bookmarkStart w:id="375" w:name="_Toc200414534"/>
      <w:bookmarkStart w:id="376" w:name="_Toc12878"/>
      <w:r>
        <w:rPr>
          <w:rFonts w:hint="eastAsia" w:ascii="宋体" w:hAnsi="宋体"/>
          <w:color w:val="000000" w:themeColor="text1"/>
          <w:sz w:val="28"/>
          <w:szCs w:val="28"/>
          <w:highlight w:val="none"/>
          <w14:textFill>
            <w14:solidFill>
              <w14:schemeClr w14:val="tx1"/>
            </w14:solidFill>
          </w14:textFill>
        </w:rPr>
        <w:t>附件九：成交服务费承诺</w:t>
      </w:r>
      <w:bookmarkEnd w:id="374"/>
      <w:bookmarkEnd w:id="375"/>
      <w:bookmarkEnd w:id="376"/>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7" w:name="_Toc469160805"/>
      <w:bookmarkStart w:id="378" w:name="_Toc16603"/>
      <w:bookmarkStart w:id="379" w:name="_Toc20041453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7"/>
      <w:bookmarkEnd w:id="378"/>
      <w:bookmarkEnd w:id="379"/>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YXCG-20251224</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2025年阳江市残疾人康复中心辅助器具采购项目</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5"/>
        <w:spacing w:line="360" w:lineRule="auto"/>
        <w:rPr>
          <w:rFonts w:hAnsi="宋体"/>
          <w:color w:val="000000" w:themeColor="text1"/>
          <w:sz w:val="21"/>
          <w:szCs w:val="21"/>
          <w:highlight w:val="none"/>
          <w14:textFill>
            <w14:solidFill>
              <w14:schemeClr w14:val="tx1"/>
            </w14:solidFill>
          </w14:textFill>
        </w:rPr>
      </w:pPr>
    </w:p>
    <w:p w14:paraId="70212FC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5"/>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5"/>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80" w:name="_Toc434832511"/>
      <w:r>
        <w:rPr>
          <w:rFonts w:hAnsi="宋体"/>
          <w:color w:val="000000" w:themeColor="text1"/>
          <w:highlight w:val="none"/>
          <w14:textFill>
            <w14:solidFill>
              <w14:schemeClr w14:val="tx1"/>
            </w14:solidFill>
          </w14:textFill>
        </w:rPr>
        <w:br w:type="page"/>
      </w:r>
    </w:p>
    <w:p w14:paraId="63ED1001">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5"/>
        <w:ind w:firstLine="0"/>
        <w:rPr>
          <w:rFonts w:hAnsi="宋体"/>
          <w:color w:val="000000" w:themeColor="text1"/>
          <w:highlight w:val="none"/>
          <w14:textFill>
            <w14:solidFill>
              <w14:schemeClr w14:val="tx1"/>
            </w14:solidFill>
          </w14:textFill>
        </w:rPr>
      </w:pPr>
    </w:p>
    <w:p w14:paraId="134A7F18">
      <w:pPr>
        <w:pStyle w:val="5"/>
        <w:ind w:firstLine="0"/>
        <w:rPr>
          <w:rFonts w:hAnsi="宋体"/>
          <w:color w:val="000000" w:themeColor="text1"/>
          <w:highlight w:val="none"/>
          <w14:textFill>
            <w14:solidFill>
              <w14:schemeClr w14:val="tx1"/>
            </w14:solidFill>
          </w14:textFill>
        </w:rPr>
      </w:pPr>
    </w:p>
    <w:p w14:paraId="36604F21">
      <w:pPr>
        <w:pStyle w:val="5"/>
        <w:ind w:firstLine="0"/>
        <w:rPr>
          <w:rFonts w:hAnsi="宋体"/>
          <w:color w:val="000000" w:themeColor="text1"/>
          <w:highlight w:val="none"/>
          <w14:textFill>
            <w14:solidFill>
              <w14:schemeClr w14:val="tx1"/>
            </w14:solidFill>
          </w14:textFill>
        </w:rPr>
      </w:pPr>
    </w:p>
    <w:p w14:paraId="7D36E885">
      <w:pPr>
        <w:pStyle w:val="5"/>
        <w:ind w:firstLine="0"/>
        <w:rPr>
          <w:rFonts w:hAnsi="宋体"/>
          <w:color w:val="000000" w:themeColor="text1"/>
          <w:highlight w:val="none"/>
          <w14:textFill>
            <w14:solidFill>
              <w14:schemeClr w14:val="tx1"/>
            </w14:solidFill>
          </w14:textFill>
        </w:rPr>
      </w:pPr>
    </w:p>
    <w:p w14:paraId="716857A4">
      <w:pPr>
        <w:pStyle w:val="5"/>
        <w:ind w:firstLine="0"/>
        <w:rPr>
          <w:rFonts w:hAnsi="宋体"/>
          <w:color w:val="000000" w:themeColor="text1"/>
          <w:highlight w:val="none"/>
          <w14:textFill>
            <w14:solidFill>
              <w14:schemeClr w14:val="tx1"/>
            </w14:solidFill>
          </w14:textFill>
        </w:rPr>
      </w:pPr>
    </w:p>
    <w:p w14:paraId="5C7E5D7C">
      <w:pPr>
        <w:pStyle w:val="5"/>
        <w:ind w:firstLine="0"/>
        <w:rPr>
          <w:rFonts w:hAnsi="宋体"/>
          <w:color w:val="000000" w:themeColor="text1"/>
          <w:highlight w:val="none"/>
          <w14:textFill>
            <w14:solidFill>
              <w14:schemeClr w14:val="tx1"/>
            </w14:solidFill>
          </w14:textFill>
        </w:rPr>
      </w:pPr>
    </w:p>
    <w:p w14:paraId="24452D6E">
      <w:pPr>
        <w:pStyle w:val="5"/>
        <w:ind w:firstLine="0"/>
        <w:rPr>
          <w:rFonts w:hAnsi="宋体"/>
          <w:color w:val="000000" w:themeColor="text1"/>
          <w:highlight w:val="none"/>
          <w14:textFill>
            <w14:solidFill>
              <w14:schemeClr w14:val="tx1"/>
            </w14:solidFill>
          </w14:textFill>
        </w:rPr>
      </w:pPr>
    </w:p>
    <w:p w14:paraId="7192BAB5">
      <w:pPr>
        <w:pStyle w:val="5"/>
        <w:ind w:firstLine="0"/>
        <w:rPr>
          <w:rFonts w:hAnsi="宋体"/>
          <w:color w:val="000000" w:themeColor="text1"/>
          <w:highlight w:val="none"/>
          <w14:textFill>
            <w14:solidFill>
              <w14:schemeClr w14:val="tx1"/>
            </w14:solidFill>
          </w14:textFill>
        </w:rPr>
      </w:pPr>
    </w:p>
    <w:p w14:paraId="6630DE67">
      <w:pPr>
        <w:pStyle w:val="5"/>
        <w:ind w:firstLine="0"/>
        <w:rPr>
          <w:rFonts w:hAnsi="宋体"/>
          <w:color w:val="000000" w:themeColor="text1"/>
          <w:highlight w:val="none"/>
          <w14:textFill>
            <w14:solidFill>
              <w14:schemeClr w14:val="tx1"/>
            </w14:solidFill>
          </w14:textFill>
        </w:rPr>
      </w:pPr>
    </w:p>
    <w:p w14:paraId="23A82868">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1" w:name="_Toc17798"/>
      <w:bookmarkStart w:id="382" w:name="_Toc469160806"/>
      <w:r>
        <w:rPr>
          <w:rFonts w:hint="eastAsia" w:ascii="宋体" w:hAnsi="宋体"/>
          <w:color w:val="000000" w:themeColor="text1"/>
          <w:sz w:val="52"/>
          <w:highlight w:val="none"/>
          <w14:textFill>
            <w14:solidFill>
              <w14:schemeClr w14:val="tx1"/>
            </w14:solidFill>
          </w14:textFill>
        </w:rPr>
        <w:t>其 他 格 式</w:t>
      </w:r>
      <w:bookmarkEnd w:id="380"/>
      <w:bookmarkEnd w:id="381"/>
      <w:bookmarkEnd w:id="382"/>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6"/>
      </w:rPr>
    </w:pPr>
    <w:r>
      <w:fldChar w:fldCharType="begin"/>
    </w:r>
    <w:r>
      <w:rPr>
        <w:rStyle w:val="56"/>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7978C"/>
    <w:multiLevelType w:val="singleLevel"/>
    <w:tmpl w:val="FED7978C"/>
    <w:lvl w:ilvl="0" w:tentative="0">
      <w:start w:val="1"/>
      <w:numFmt w:val="decimal"/>
      <w:lvlText w:val="%1."/>
      <w:lvlJc w:val="left"/>
      <w:pPr>
        <w:tabs>
          <w:tab w:val="left" w:pos="312"/>
        </w:tabs>
      </w:pPr>
    </w:lvl>
  </w:abstractNum>
  <w:abstractNum w:abstractNumId="1">
    <w:nsid w:val="00000004"/>
    <w:multiLevelType w:val="singleLevel"/>
    <w:tmpl w:val="00000004"/>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2">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singleLevel"/>
    <w:tmpl w:val="00000006"/>
    <w:lvl w:ilvl="0" w:tentative="0">
      <w:start w:val="1"/>
      <w:numFmt w:val="decimal"/>
      <w:pStyle w:val="330"/>
      <w:lvlText w:val="%1."/>
      <w:lvlJc w:val="left"/>
      <w:pPr>
        <w:tabs>
          <w:tab w:val="left" w:pos="360"/>
        </w:tabs>
        <w:ind w:left="360" w:hanging="360"/>
      </w:pPr>
    </w:lvl>
  </w:abstractNum>
  <w:abstractNum w:abstractNumId="4">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6">
    <w:nsid w:val="00000009"/>
    <w:multiLevelType w:val="multilevel"/>
    <w:tmpl w:val="00000009"/>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8"/>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8">
    <w:nsid w:val="0000000B"/>
    <w:multiLevelType w:val="multilevel"/>
    <w:tmpl w:val="0000000B"/>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0000000C"/>
    <w:multiLevelType w:val="singleLevel"/>
    <w:tmpl w:val="0000000C"/>
    <w:lvl w:ilvl="0" w:tentative="0">
      <w:start w:val="1"/>
      <w:numFmt w:val="decimal"/>
      <w:pStyle w:val="257"/>
      <w:lvlText w:val="%1."/>
      <w:lvlJc w:val="left"/>
      <w:pPr>
        <w:tabs>
          <w:tab w:val="left" w:pos="2040"/>
        </w:tabs>
        <w:ind w:left="2040" w:hanging="360"/>
      </w:pPr>
    </w:lvl>
  </w:abstractNum>
  <w:abstractNum w:abstractNumId="10">
    <w:nsid w:val="0000000D"/>
    <w:multiLevelType w:val="multilevel"/>
    <w:tmpl w:val="0000000D"/>
    <w:lvl w:ilvl="0" w:tentative="0">
      <w:start w:val="1"/>
      <w:numFmt w:val="bullet"/>
      <w:pStyle w:val="246"/>
      <w:lvlText w:val=""/>
      <w:lvlJc w:val="left"/>
      <w:pPr>
        <w:tabs>
          <w:tab w:val="left" w:pos="2040"/>
        </w:tabs>
        <w:ind w:left="2040" w:hanging="360"/>
      </w:pPr>
      <w:rPr>
        <w:rFonts w:hint="default" w:ascii="Wingdings" w:hAnsi="Wingdings"/>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1">
    <w:nsid w:val="0000000E"/>
    <w:multiLevelType w:val="multilevel"/>
    <w:tmpl w:val="0000000E"/>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0F"/>
    <w:multiLevelType w:val="multilevel"/>
    <w:tmpl w:val="0000000F"/>
    <w:lvl w:ilvl="0" w:tentative="0">
      <w:start w:val="1"/>
      <w:numFmt w:val="decimal"/>
      <w:pStyle w:val="239"/>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0"/>
    <w:multiLevelType w:val="singleLevel"/>
    <w:tmpl w:val="00000010"/>
    <w:lvl w:ilvl="0" w:tentative="0">
      <w:start w:val="1"/>
      <w:numFmt w:val="decimal"/>
      <w:pStyle w:val="344"/>
      <w:lvlText w:val="%1."/>
      <w:lvlJc w:val="left"/>
      <w:pPr>
        <w:tabs>
          <w:tab w:val="left" w:pos="1145"/>
        </w:tabs>
        <w:ind w:left="902" w:hanging="477"/>
      </w:pPr>
      <w:rPr>
        <w:rFonts w:hint="eastAsia"/>
      </w:rPr>
    </w:lvl>
  </w:abstractNum>
  <w:abstractNum w:abstractNumId="14">
    <w:nsid w:val="00000011"/>
    <w:multiLevelType w:val="multilevel"/>
    <w:tmpl w:val="00000011"/>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5">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3"/>
    <w:multiLevelType w:val="singleLevel"/>
    <w:tmpl w:val="00000013"/>
    <w:lvl w:ilvl="0" w:tentative="0">
      <w:start w:val="1"/>
      <w:numFmt w:val="decimal"/>
      <w:pStyle w:val="197"/>
      <w:lvlText w:val="%1."/>
      <w:lvlJc w:val="left"/>
      <w:pPr>
        <w:tabs>
          <w:tab w:val="left" w:pos="1200"/>
        </w:tabs>
        <w:ind w:left="1200" w:hanging="360"/>
      </w:pPr>
    </w:lvl>
  </w:abstractNum>
  <w:abstractNum w:abstractNumId="17">
    <w:nsid w:val="00000014"/>
    <w:multiLevelType w:val="multilevel"/>
    <w:tmpl w:val="00000014"/>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5"/>
    <w:multiLevelType w:val="multilevel"/>
    <w:tmpl w:val="00000015"/>
    <w:lvl w:ilvl="0" w:tentative="0">
      <w:start w:val="1"/>
      <w:numFmt w:val="decimal"/>
      <w:pStyle w:val="294"/>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2"/>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20">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2">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3">
    <w:nsid w:val="0000001A"/>
    <w:multiLevelType w:val="singleLevel"/>
    <w:tmpl w:val="0000001A"/>
    <w:lvl w:ilvl="0" w:tentative="0">
      <w:start w:val="1"/>
      <w:numFmt w:val="decimal"/>
      <w:pStyle w:val="242"/>
      <w:lvlText w:val="%1."/>
      <w:lvlJc w:val="left"/>
      <w:pPr>
        <w:tabs>
          <w:tab w:val="left" w:pos="1620"/>
        </w:tabs>
        <w:ind w:left="1620" w:hanging="360"/>
      </w:pPr>
    </w:lvl>
  </w:abstractNum>
  <w:abstractNum w:abstractNumId="24">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21"/>
  </w:num>
  <w:num w:numId="3">
    <w:abstractNumId w:val="22"/>
  </w:num>
  <w:num w:numId="4">
    <w:abstractNumId w:val="5"/>
  </w:num>
  <w:num w:numId="5">
    <w:abstractNumId w:val="12"/>
  </w:num>
  <w:num w:numId="6">
    <w:abstractNumId w:val="8"/>
  </w:num>
  <w:num w:numId="7">
    <w:abstractNumId w:val="11"/>
  </w:num>
  <w:num w:numId="8">
    <w:abstractNumId w:val="18"/>
  </w:num>
  <w:num w:numId="9">
    <w:abstractNumId w:val="7"/>
  </w:num>
  <w:num w:numId="10">
    <w:abstractNumId w:val="2"/>
  </w:num>
  <w:num w:numId="11">
    <w:abstractNumId w:val="6"/>
  </w:num>
  <w:num w:numId="12">
    <w:abstractNumId w:val="16"/>
  </w:num>
  <w:num w:numId="13">
    <w:abstractNumId w:val="4"/>
  </w:num>
  <w:num w:numId="14">
    <w:abstractNumId w:val="23"/>
  </w:num>
  <w:num w:numId="15">
    <w:abstractNumId w:val="10"/>
  </w:num>
  <w:num w:numId="16">
    <w:abstractNumId w:val="9"/>
  </w:num>
  <w:num w:numId="17">
    <w:abstractNumId w:val="1"/>
  </w:num>
  <w:num w:numId="18">
    <w:abstractNumId w:val="3"/>
  </w:num>
  <w:num w:numId="19">
    <w:abstractNumId w:val="13"/>
  </w:num>
  <w:num w:numId="20">
    <w:abstractNumId w:val="17"/>
  </w:num>
  <w:num w:numId="21">
    <w:abstractNumId w:val="15"/>
  </w:num>
  <w:num w:numId="22">
    <w:abstractNumId w:val="20"/>
  </w:num>
  <w:num w:numId="23">
    <w:abstractNumId w:val="0"/>
  </w:num>
  <w:num w:numId="24">
    <w:abstractNumId w:val="25"/>
  </w:num>
  <w:num w:numId="25">
    <w:abstractNumId w:val="26"/>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8"/>
    <w:rsid w:val="00502FB8"/>
    <w:rsid w:val="008263A7"/>
    <w:rsid w:val="00C41474"/>
    <w:rsid w:val="00C45A6F"/>
    <w:rsid w:val="03095929"/>
    <w:rsid w:val="0419724C"/>
    <w:rsid w:val="04A54C2A"/>
    <w:rsid w:val="077870CF"/>
    <w:rsid w:val="07C02B8E"/>
    <w:rsid w:val="086A7949"/>
    <w:rsid w:val="0C6E02C3"/>
    <w:rsid w:val="0EE54141"/>
    <w:rsid w:val="0F696B20"/>
    <w:rsid w:val="0FCB1589"/>
    <w:rsid w:val="10167589"/>
    <w:rsid w:val="10192FF7"/>
    <w:rsid w:val="13553E48"/>
    <w:rsid w:val="1695469E"/>
    <w:rsid w:val="18A1707D"/>
    <w:rsid w:val="1A0F0E51"/>
    <w:rsid w:val="1AC44007"/>
    <w:rsid w:val="1E221F5D"/>
    <w:rsid w:val="20980330"/>
    <w:rsid w:val="217D46AD"/>
    <w:rsid w:val="28995944"/>
    <w:rsid w:val="29A8300E"/>
    <w:rsid w:val="29FC6AB7"/>
    <w:rsid w:val="2A9C3593"/>
    <w:rsid w:val="2B45623B"/>
    <w:rsid w:val="2BB60730"/>
    <w:rsid w:val="2CD517FF"/>
    <w:rsid w:val="2F2C6B99"/>
    <w:rsid w:val="30744ECD"/>
    <w:rsid w:val="312F6347"/>
    <w:rsid w:val="320504D2"/>
    <w:rsid w:val="36B174C5"/>
    <w:rsid w:val="36B44275"/>
    <w:rsid w:val="380642BC"/>
    <w:rsid w:val="38293998"/>
    <w:rsid w:val="391761E1"/>
    <w:rsid w:val="3EE819BF"/>
    <w:rsid w:val="409035DC"/>
    <w:rsid w:val="4439400C"/>
    <w:rsid w:val="4587602A"/>
    <w:rsid w:val="470703F1"/>
    <w:rsid w:val="47ED5839"/>
    <w:rsid w:val="4963480B"/>
    <w:rsid w:val="4A007AA5"/>
    <w:rsid w:val="4E2E121F"/>
    <w:rsid w:val="4F8B6063"/>
    <w:rsid w:val="5067593F"/>
    <w:rsid w:val="520D79B0"/>
    <w:rsid w:val="54684F5D"/>
    <w:rsid w:val="58240E03"/>
    <w:rsid w:val="58342A6F"/>
    <w:rsid w:val="5AC84A5B"/>
    <w:rsid w:val="5AFB7E85"/>
    <w:rsid w:val="5CF61C07"/>
    <w:rsid w:val="5D77652A"/>
    <w:rsid w:val="5E7D301B"/>
    <w:rsid w:val="60164D1C"/>
    <w:rsid w:val="636656D8"/>
    <w:rsid w:val="66AC1FFE"/>
    <w:rsid w:val="672725AD"/>
    <w:rsid w:val="6A676DD1"/>
    <w:rsid w:val="6A9F256B"/>
    <w:rsid w:val="6BEC5086"/>
    <w:rsid w:val="6CCA1A1F"/>
    <w:rsid w:val="6CCE7137"/>
    <w:rsid w:val="6E386727"/>
    <w:rsid w:val="6EED7D49"/>
    <w:rsid w:val="6F307C36"/>
    <w:rsid w:val="70053526"/>
    <w:rsid w:val="70F84783"/>
    <w:rsid w:val="76746C01"/>
    <w:rsid w:val="781C4B8B"/>
    <w:rsid w:val="78D21AD7"/>
    <w:rsid w:val="799D0E6E"/>
    <w:rsid w:val="7A5407B6"/>
    <w:rsid w:val="7D4C0330"/>
    <w:rsid w:val="7DBC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1"/>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1"/>
    <w:qFormat/>
    <w:uiPriority w:val="0"/>
    <w:pPr>
      <w:keepNext/>
      <w:keepLines/>
      <w:spacing w:before="280" w:after="290" w:line="376" w:lineRule="auto"/>
      <w:outlineLvl w:val="4"/>
    </w:pPr>
    <w:rPr>
      <w:b/>
      <w:sz w:val="28"/>
      <w:szCs w:val="20"/>
    </w:rPr>
  </w:style>
  <w:style w:type="paragraph" w:styleId="8">
    <w:name w:val="heading 6"/>
    <w:basedOn w:val="1"/>
    <w:next w:val="5"/>
    <w:link w:val="11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4"/>
    <w:qFormat/>
    <w:uiPriority w:val="0"/>
    <w:pPr>
      <w:keepNext/>
      <w:keepLines/>
      <w:spacing w:before="240" w:after="64" w:line="320" w:lineRule="auto"/>
      <w:outlineLvl w:val="6"/>
    </w:pPr>
    <w:rPr>
      <w:b/>
      <w:bCs/>
      <w:sz w:val="24"/>
    </w:rPr>
  </w:style>
  <w:style w:type="paragraph" w:styleId="10">
    <w:name w:val="heading 8"/>
    <w:basedOn w:val="1"/>
    <w:next w:val="5"/>
    <w:link w:val="1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8"/>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3"/>
    <w:qFormat/>
    <w:uiPriority w:val="0"/>
    <w:pPr>
      <w:spacing w:line="360" w:lineRule="auto"/>
    </w:pPr>
    <w:rPr>
      <w:rFonts w:ascii="Arial" w:hAnsi="Arial" w:eastAsia="黑体"/>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3"/>
    <w:qFormat/>
    <w:uiPriority w:val="0"/>
    <w:pPr>
      <w:spacing w:line="360" w:lineRule="auto"/>
      <w:jc w:val="left"/>
    </w:pPr>
    <w:rPr>
      <w:szCs w:val="20"/>
    </w:rPr>
  </w:style>
  <w:style w:type="paragraph" w:styleId="19">
    <w:name w:val="Body Text 3"/>
    <w:basedOn w:val="1"/>
    <w:link w:val="81"/>
    <w:qFormat/>
    <w:uiPriority w:val="0"/>
    <w:pPr>
      <w:spacing w:after="120"/>
    </w:pPr>
    <w:rPr>
      <w:sz w:val="16"/>
      <w:szCs w:val="16"/>
    </w:rPr>
  </w:style>
  <w:style w:type="paragraph" w:styleId="20">
    <w:name w:val="Body Text"/>
    <w:basedOn w:val="1"/>
    <w:link w:val="97"/>
    <w:qFormat/>
    <w:uiPriority w:val="0"/>
    <w:pPr>
      <w:spacing w:after="120"/>
    </w:pPr>
  </w:style>
  <w:style w:type="paragraph" w:styleId="21">
    <w:name w:val="Body Text Indent"/>
    <w:basedOn w:val="1"/>
    <w:link w:val="13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8"/>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5"/>
    <w:qFormat/>
    <w:uiPriority w:val="0"/>
    <w:pPr>
      <w:numPr>
        <w:ilvl w:val="0"/>
        <w:numId w:val="4"/>
      </w:numPr>
      <w:ind w:left="100" w:leftChars="2500"/>
    </w:pPr>
  </w:style>
  <w:style w:type="paragraph" w:styleId="30">
    <w:name w:val="Body Text Indent 2"/>
    <w:basedOn w:val="1"/>
    <w:next w:val="1"/>
    <w:link w:val="125"/>
    <w:qFormat/>
    <w:uiPriority w:val="0"/>
    <w:pPr>
      <w:spacing w:line="480" w:lineRule="exact"/>
      <w:ind w:left="810" w:firstLine="675"/>
    </w:pPr>
    <w:rPr>
      <w:rFonts w:eastAsia="仿宋_GB2312"/>
      <w:kern w:val="0"/>
      <w:sz w:val="30"/>
      <w:szCs w:val="20"/>
    </w:rPr>
  </w:style>
  <w:style w:type="paragraph" w:styleId="31">
    <w:name w:val="Balloon Text"/>
    <w:basedOn w:val="1"/>
    <w:link w:val="154"/>
    <w:qFormat/>
    <w:uiPriority w:val="0"/>
    <w:rPr>
      <w:sz w:val="18"/>
      <w:szCs w:val="18"/>
    </w:rPr>
  </w:style>
  <w:style w:type="paragraph" w:styleId="32">
    <w:name w:val="footer"/>
    <w:basedOn w:val="1"/>
    <w:next w:val="14"/>
    <w:link w:val="87"/>
    <w:qFormat/>
    <w:uiPriority w:val="0"/>
    <w:pPr>
      <w:tabs>
        <w:tab w:val="center" w:pos="4153"/>
        <w:tab w:val="right" w:pos="8306"/>
      </w:tabs>
      <w:snapToGrid w:val="0"/>
      <w:jc w:val="left"/>
    </w:pPr>
    <w:rPr>
      <w:kern w:val="0"/>
      <w:sz w:val="18"/>
      <w:szCs w:val="18"/>
    </w:rPr>
  </w:style>
  <w:style w:type="paragraph" w:styleId="33">
    <w:name w:val="header"/>
    <w:basedOn w:val="1"/>
    <w:link w:val="137"/>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8"/>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100"/>
    <w:qFormat/>
    <w:uiPriority w:val="0"/>
    <w:pPr>
      <w:spacing w:line="360" w:lineRule="auto"/>
    </w:pPr>
    <w:rPr>
      <w:rFonts w:ascii="仿宋_GB2312" w:eastAsia="仿宋_GB2312"/>
      <w:sz w:val="32"/>
    </w:rPr>
  </w:style>
  <w:style w:type="paragraph" w:styleId="45">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3"/>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30"/>
    <w:qFormat/>
    <w:uiPriority w:val="0"/>
    <w:pPr>
      <w:spacing w:line="240" w:lineRule="auto"/>
    </w:pPr>
    <w:rPr>
      <w:b/>
      <w:bCs/>
      <w:szCs w:val="24"/>
    </w:rPr>
  </w:style>
  <w:style w:type="paragraph" w:styleId="50">
    <w:name w:val="Body Text First Indent"/>
    <w:basedOn w:val="20"/>
    <w:link w:val="161"/>
    <w:qFormat/>
    <w:uiPriority w:val="0"/>
    <w:pPr>
      <w:ind w:firstLine="100" w:firstLineChars="100"/>
    </w:pPr>
    <w:rPr>
      <w:rFonts w:ascii="Calibri" w:hAnsi="Calibri"/>
      <w:szCs w:val="22"/>
    </w:rPr>
  </w:style>
  <w:style w:type="paragraph" w:styleId="51">
    <w:name w:val="Body Text First Indent 2"/>
    <w:basedOn w:val="21"/>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_Style 5"/>
    <w:basedOn w:val="1"/>
    <w:qFormat/>
    <w:uiPriority w:val="0"/>
    <w:pPr>
      <w:ind w:firstLine="200" w:firstLineChars="200"/>
    </w:pPr>
    <w:rPr>
      <w:rFonts w:cs="黑体"/>
      <w:sz w:val="24"/>
    </w:rPr>
  </w:style>
  <w:style w:type="paragraph" w:customStyle="1" w:styleId="62">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1"/>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4"/>
    <w:qFormat/>
    <w:uiPriority w:val="0"/>
  </w:style>
  <w:style w:type="character" w:customStyle="1" w:styleId="73">
    <w:name w:val="批注文字 Char"/>
    <w:link w:val="18"/>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9"/>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4"/>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19"/>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4"/>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3"/>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2"/>
    <w:qFormat/>
    <w:uiPriority w:val="0"/>
    <w:rPr>
      <w:rFonts w:eastAsia="宋体"/>
      <w:sz w:val="18"/>
      <w:szCs w:val="18"/>
      <w:lang w:bidi="ar-SA"/>
    </w:rPr>
  </w:style>
  <w:style w:type="character" w:customStyle="1" w:styleId="88">
    <w:name w:val="正文文本缩进 3 Char"/>
    <w:link w:val="41"/>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4"/>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8"/>
    <w:qFormat/>
    <w:uiPriority w:val="0"/>
    <w:rPr>
      <w:rFonts w:ascii="Cambria" w:hAnsi="Cambria"/>
      <w:b/>
      <w:bCs/>
      <w:kern w:val="2"/>
      <w:sz w:val="32"/>
      <w:szCs w:val="32"/>
    </w:rPr>
  </w:style>
  <w:style w:type="character" w:customStyle="1" w:styleId="94">
    <w:name w:val="纯文本 Char"/>
    <w:link w:val="26"/>
    <w:qFormat/>
    <w:uiPriority w:val="0"/>
    <w:rPr>
      <w:rFonts w:ascii="宋体" w:hAnsi="Courier New"/>
      <w:kern w:val="2"/>
      <w:sz w:val="21"/>
      <w:lang w:bidi="ar-SA"/>
    </w:rPr>
  </w:style>
  <w:style w:type="character" w:customStyle="1" w:styleId="95">
    <w:name w:val="flname7"/>
    <w:basedOn w:val="54"/>
    <w:qFormat/>
    <w:uiPriority w:val="0"/>
  </w:style>
  <w:style w:type="character" w:customStyle="1" w:styleId="96">
    <w:name w:val="content"/>
    <w:qFormat/>
    <w:uiPriority w:val="0"/>
  </w:style>
  <w:style w:type="character" w:customStyle="1" w:styleId="97">
    <w:name w:val="正文文本 Char"/>
    <w:link w:val="20"/>
    <w:qFormat/>
    <w:uiPriority w:val="0"/>
    <w:rPr>
      <w:rFonts w:eastAsia="宋体"/>
      <w:kern w:val="2"/>
      <w:sz w:val="21"/>
      <w:szCs w:val="24"/>
      <w:lang w:val="en-US" w:eastAsia="zh-CN" w:bidi="ar-SA"/>
    </w:rPr>
  </w:style>
  <w:style w:type="character" w:customStyle="1" w:styleId="98">
    <w:name w:val="标题 9 Char"/>
    <w:link w:val="11"/>
    <w:qFormat/>
    <w:uiPriority w:val="0"/>
    <w:rPr>
      <w:rFonts w:ascii="Arial" w:hAnsi="Arial" w:eastAsia="黑体"/>
      <w:kern w:val="2"/>
      <w:sz w:val="21"/>
      <w:szCs w:val="21"/>
      <w:lang w:val="en-US" w:eastAsia="zh-CN" w:bidi="ar-SA"/>
    </w:rPr>
  </w:style>
  <w:style w:type="character" w:customStyle="1" w:styleId="99">
    <w:name w:val="c_666"/>
    <w:basedOn w:val="54"/>
    <w:qFormat/>
    <w:uiPriority w:val="0"/>
  </w:style>
  <w:style w:type="character" w:customStyle="1" w:styleId="100">
    <w:name w:val="正文文本 2 Char"/>
    <w:link w:val="44"/>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Id w:val="0"/>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1"/>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标题 6 Char"/>
    <w:link w:val="8"/>
    <w:qFormat/>
    <w:uiPriority w:val="0"/>
    <w:rPr>
      <w:rFonts w:ascii="Arial" w:hAnsi="Arial" w:eastAsia="黑体"/>
      <w:b/>
      <w:bCs/>
      <w:kern w:val="2"/>
      <w:sz w:val="24"/>
      <w:szCs w:val="24"/>
      <w:lang w:val="en-US" w:eastAsia="zh-CN" w:bidi="ar-SA"/>
    </w:rPr>
  </w:style>
  <w:style w:type="character" w:customStyle="1" w:styleId="117">
    <w:name w:val="style71"/>
    <w:qFormat/>
    <w:uiPriority w:val="0"/>
    <w:rPr>
      <w:sz w:val="21"/>
      <w:szCs w:val="21"/>
    </w:rPr>
  </w:style>
  <w:style w:type="character" w:customStyle="1" w:styleId="118">
    <w:name w:val="HTML 地址 Char"/>
    <w:link w:val="23"/>
    <w:qFormat/>
    <w:uiPriority w:val="0"/>
    <w:rPr>
      <w:i/>
      <w:kern w:val="2"/>
      <w:sz w:val="21"/>
      <w:szCs w:val="24"/>
    </w:rPr>
  </w:style>
  <w:style w:type="character" w:customStyle="1" w:styleId="119">
    <w:name w:val="细目1 Char Char"/>
    <w:link w:val="120"/>
    <w:qFormat/>
    <w:uiPriority w:val="0"/>
    <w:rPr>
      <w:b/>
      <w:color w:val="215868"/>
      <w:kern w:val="2"/>
      <w:sz w:val="24"/>
      <w:szCs w:val="24"/>
    </w:rPr>
  </w:style>
  <w:style w:type="paragraph" w:customStyle="1" w:styleId="120">
    <w:name w:val="细目1"/>
    <w:basedOn w:val="1"/>
    <w:link w:val="119"/>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1">
    <w:name w:val="xl25 Char Char"/>
    <w:link w:val="122"/>
    <w:qFormat/>
    <w:uiPriority w:val="0"/>
    <w:rPr>
      <w:rFonts w:ascii="宋体" w:hAnsi="宋体"/>
      <w:sz w:val="21"/>
      <w:szCs w:val="21"/>
    </w:rPr>
  </w:style>
  <w:style w:type="paragraph" w:customStyle="1" w:styleId="122">
    <w:name w:val="xl25"/>
    <w:basedOn w:val="1"/>
    <w:link w:val="12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3"/>
    <w:qFormat/>
    <w:uiPriority w:val="0"/>
    <w:rPr>
      <w:rFonts w:ascii="Arial" w:hAnsi="Arial" w:eastAsia="黑体" w:cs="Arial"/>
      <w:kern w:val="2"/>
    </w:rPr>
  </w:style>
  <w:style w:type="character" w:customStyle="1" w:styleId="124">
    <w:name w:val="标题 8 Char"/>
    <w:link w:val="10"/>
    <w:qFormat/>
    <w:uiPriority w:val="0"/>
    <w:rPr>
      <w:rFonts w:ascii="Arial" w:hAnsi="Arial" w:eastAsia="黑体"/>
      <w:kern w:val="2"/>
      <w:sz w:val="24"/>
      <w:szCs w:val="24"/>
      <w:lang w:val="en-US" w:eastAsia="zh-CN" w:bidi="ar-SA"/>
    </w:rPr>
  </w:style>
  <w:style w:type="character" w:customStyle="1" w:styleId="125">
    <w:name w:val="正文文本缩进 2 Char"/>
    <w:link w:val="30"/>
    <w:qFormat/>
    <w:uiPriority w:val="0"/>
    <w:rPr>
      <w:rFonts w:eastAsia="仿宋_GB2312"/>
      <w:sz w:val="30"/>
      <w:lang w:bidi="ar-SA"/>
    </w:rPr>
  </w:style>
  <w:style w:type="character" w:customStyle="1" w:styleId="126">
    <w:name w:val="ca-11"/>
    <w:basedOn w:val="54"/>
    <w:qFormat/>
    <w:uiPriority w:val="0"/>
  </w:style>
  <w:style w:type="character" w:customStyle="1" w:styleId="127">
    <w:name w:val="正文缩进 Char"/>
    <w:link w:val="5"/>
    <w:qFormat/>
    <w:uiPriority w:val="0"/>
    <w:rPr>
      <w:rFonts w:ascii="宋体" w:eastAsia="宋体"/>
      <w:sz w:val="34"/>
      <w:lang w:val="en-US" w:eastAsia="zh-CN" w:bidi="ar-SA"/>
    </w:rPr>
  </w:style>
  <w:style w:type="character" w:customStyle="1" w:styleId="128">
    <w:name w:val="副标题 Char"/>
    <w:link w:val="38"/>
    <w:qFormat/>
    <w:uiPriority w:val="0"/>
    <w:rPr>
      <w:rFonts w:ascii="Calibri Light" w:hAnsi="Calibri Light"/>
      <w:b/>
      <w:bCs/>
      <w:kern w:val="28"/>
      <w:sz w:val="32"/>
      <w:szCs w:val="32"/>
    </w:rPr>
  </w:style>
  <w:style w:type="character" w:customStyle="1" w:styleId="129">
    <w:name w:val="页眉 Char Char"/>
    <w:qFormat/>
    <w:uiPriority w:val="0"/>
    <w:rPr>
      <w:rFonts w:eastAsia="宋体"/>
      <w:sz w:val="18"/>
      <w:szCs w:val="18"/>
      <w:lang w:bidi="ar-SA"/>
    </w:rPr>
  </w:style>
  <w:style w:type="character" w:customStyle="1" w:styleId="130">
    <w:name w:val="批注主题 Char"/>
    <w:link w:val="49"/>
    <w:qFormat/>
    <w:uiPriority w:val="0"/>
    <w:rPr>
      <w:b/>
      <w:bCs/>
      <w:kern w:val="2"/>
      <w:sz w:val="21"/>
      <w:szCs w:val="24"/>
    </w:rPr>
  </w:style>
  <w:style w:type="character" w:customStyle="1" w:styleId="131">
    <w:name w:val="p12"/>
    <w:basedOn w:val="54"/>
    <w:qFormat/>
    <w:uiPriority w:val="0"/>
  </w:style>
  <w:style w:type="character" w:customStyle="1" w:styleId="132">
    <w:name w:val="表格内容"/>
    <w:qFormat/>
    <w:uiPriority w:val="0"/>
    <w:rPr>
      <w:sz w:val="24"/>
    </w:rPr>
  </w:style>
  <w:style w:type="character" w:customStyle="1" w:styleId="133">
    <w:name w:val="正文文本缩进 Char"/>
    <w:link w:val="21"/>
    <w:qFormat/>
    <w:uiPriority w:val="0"/>
    <w:rPr>
      <w:rFonts w:ascii="仿宋_GB2312" w:eastAsia="仿宋_GB2312"/>
      <w:sz w:val="28"/>
      <w:lang w:val="en-US" w:eastAsia="zh-CN" w:bidi="ar-SA"/>
    </w:rPr>
  </w:style>
  <w:style w:type="character" w:customStyle="1" w:styleId="134">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5">
    <w:name w:val="纯文本 Char1"/>
    <w:qFormat/>
    <w:uiPriority w:val="0"/>
    <w:rPr>
      <w:rFonts w:ascii="宋体" w:hAnsi="Courier New" w:eastAsia="宋体" w:cs="Times New Roman"/>
      <w:kern w:val="0"/>
      <w:sz w:val="20"/>
      <w:szCs w:val="20"/>
    </w:rPr>
  </w:style>
  <w:style w:type="character" w:customStyle="1" w:styleId="136">
    <w:name w:val="正文首行缩进 Char Char"/>
    <w:qFormat/>
    <w:uiPriority w:val="0"/>
    <w:rPr>
      <w:rFonts w:eastAsia="仿宋_GB2312"/>
      <w:kern w:val="2"/>
      <w:sz w:val="28"/>
      <w:szCs w:val="24"/>
      <w:lang w:bidi="ar-SA"/>
    </w:rPr>
  </w:style>
  <w:style w:type="character" w:customStyle="1" w:styleId="137">
    <w:name w:val="页眉 Char"/>
    <w:link w:val="33"/>
    <w:qFormat/>
    <w:uiPriority w:val="0"/>
    <w:rPr>
      <w:rFonts w:eastAsia="宋体"/>
      <w:kern w:val="2"/>
      <w:sz w:val="18"/>
      <w:lang w:val="en-US" w:eastAsia="zh-CN" w:bidi="ar-SA"/>
    </w:rPr>
  </w:style>
  <w:style w:type="character" w:customStyle="1" w:styleId="138">
    <w:name w:val="标题 1 Char Char"/>
    <w:qFormat/>
    <w:uiPriority w:val="0"/>
    <w:rPr>
      <w:rFonts w:eastAsia="宋体"/>
      <w:b/>
      <w:bCs/>
      <w:kern w:val="44"/>
      <w:sz w:val="44"/>
      <w:szCs w:val="44"/>
      <w:lang w:val="en-US" w:eastAsia="zh-CN" w:bidi="ar-SA"/>
    </w:rPr>
  </w:style>
  <w:style w:type="character" w:customStyle="1" w:styleId="139">
    <w:name w:val="Font Style17"/>
    <w:qFormat/>
    <w:uiPriority w:val="0"/>
    <w:rPr>
      <w:rFonts w:ascii="黑体" w:eastAsia="黑体" w:cs="黑体"/>
      <w:sz w:val="28"/>
      <w:szCs w:val="28"/>
    </w:rPr>
  </w:style>
  <w:style w:type="character" w:customStyle="1" w:styleId="140">
    <w:name w:val="Char Char10"/>
    <w:qFormat/>
    <w:uiPriority w:val="0"/>
    <w:rPr>
      <w:rFonts w:eastAsia="宋体"/>
      <w:kern w:val="2"/>
      <w:sz w:val="18"/>
      <w:szCs w:val="18"/>
      <w:lang w:val="en-US" w:eastAsia="zh-CN" w:bidi="ar-SA"/>
    </w:rPr>
  </w:style>
  <w:style w:type="character" w:customStyle="1" w:styleId="141">
    <w:name w:val="正文文本缩进 3 Char Char"/>
    <w:qFormat/>
    <w:uiPriority w:val="0"/>
    <w:rPr>
      <w:kern w:val="2"/>
      <w:sz w:val="16"/>
      <w:szCs w:val="16"/>
      <w:lang w:bidi="ar-SA"/>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nine-11"/>
    <w:qFormat/>
    <w:uiPriority w:val="0"/>
    <w:rPr>
      <w:rFonts w:hint="default"/>
      <w:sz w:val="18"/>
      <w:szCs w:val="18"/>
    </w:rPr>
  </w:style>
  <w:style w:type="character" w:customStyle="1" w:styleId="144">
    <w:name w:val="标题 7 Char"/>
    <w:link w:val="9"/>
    <w:qFormat/>
    <w:uiPriority w:val="0"/>
    <w:rPr>
      <w:rFonts w:eastAsia="宋体"/>
      <w:b/>
      <w:bCs/>
      <w:kern w:val="2"/>
      <w:sz w:val="24"/>
      <w:szCs w:val="24"/>
      <w:lang w:val="en-US" w:eastAsia="zh-CN" w:bidi="ar-SA"/>
    </w:rPr>
  </w:style>
  <w:style w:type="character" w:customStyle="1" w:styleId="145">
    <w:name w:val="题注 Char1"/>
    <w:qFormat/>
    <w:uiPriority w:val="0"/>
    <w:rPr>
      <w:rFonts w:ascii="Arial" w:hAnsi="Arial" w:eastAsia="宋体" w:cs="Arial"/>
      <w:kern w:val="2"/>
      <w:lang w:val="en-US" w:eastAsia="zh-CN" w:bidi="ar-SA"/>
    </w:rPr>
  </w:style>
  <w:style w:type="character" w:customStyle="1" w:styleId="146">
    <w:name w:val="正文缩进 Char2"/>
    <w:link w:val="147"/>
    <w:qFormat/>
    <w:uiPriority w:val="0"/>
    <w:rPr>
      <w:rFonts w:ascii="宋体" w:eastAsia="宋体"/>
      <w:sz w:val="34"/>
      <w:lang w:bidi="ar-SA"/>
    </w:rPr>
  </w:style>
  <w:style w:type="paragraph" w:customStyle="1" w:styleId="147">
    <w:name w:val="Normal Indent1"/>
    <w:basedOn w:val="1"/>
    <w:link w:val="146"/>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qFormat/>
    <w:uiPriority w:val="0"/>
    <w:rPr>
      <w:b/>
    </w:rPr>
  </w:style>
  <w:style w:type="paragraph" w:customStyle="1" w:styleId="149">
    <w:name w:val="表标题"/>
    <w:basedOn w:val="5"/>
    <w:link w:val="148"/>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qFormat/>
    <w:uiPriority w:val="0"/>
    <w:rPr>
      <w:rFonts w:ascii="宋体" w:hAnsi="Courier New" w:eastAsia="宋体"/>
      <w:kern w:val="2"/>
      <w:sz w:val="21"/>
      <w:lang w:val="en-US" w:eastAsia="zh-CN" w:bidi="ar-SA"/>
    </w:rPr>
  </w:style>
  <w:style w:type="character" w:customStyle="1" w:styleId="151">
    <w:name w:val="标题 5 Char"/>
    <w:link w:val="7"/>
    <w:qFormat/>
    <w:uiPriority w:val="0"/>
    <w:rPr>
      <w:rFonts w:eastAsia="宋体"/>
      <w:b/>
      <w:kern w:val="2"/>
      <w:sz w:val="28"/>
      <w:lang w:val="en-US" w:eastAsia="zh-CN" w:bidi="ar-SA"/>
    </w:rPr>
  </w:style>
  <w:style w:type="character" w:customStyle="1" w:styleId="152">
    <w:name w:val="Char Char5"/>
    <w:qFormat/>
    <w:uiPriority w:val="0"/>
    <w:rPr>
      <w:rFonts w:eastAsia="宋体"/>
      <w:kern w:val="2"/>
      <w:sz w:val="18"/>
      <w:lang w:val="en-US" w:eastAsia="zh-CN" w:bidi="ar-SA"/>
    </w:rPr>
  </w:style>
  <w:style w:type="character" w:customStyle="1" w:styleId="153">
    <w:name w:val="style18"/>
    <w:qFormat/>
    <w:uiPriority w:val="0"/>
  </w:style>
  <w:style w:type="character" w:customStyle="1" w:styleId="154">
    <w:name w:val="批注框文本 Char"/>
    <w:link w:val="31"/>
    <w:qFormat/>
    <w:uiPriority w:val="0"/>
    <w:rPr>
      <w:rFonts w:eastAsia="宋体"/>
      <w:kern w:val="2"/>
      <w:sz w:val="18"/>
      <w:szCs w:val="18"/>
      <w:lang w:val="en-US" w:eastAsia="zh-CN" w:bidi="ar-SA"/>
    </w:rPr>
  </w:style>
  <w:style w:type="character" w:customStyle="1" w:styleId="155">
    <w:name w:val="mark"/>
    <w:basedOn w:val="54"/>
    <w:qFormat/>
    <w:uiPriority w:val="0"/>
  </w:style>
  <w:style w:type="character" w:customStyle="1" w:styleId="156">
    <w:name w:val="样式2"/>
    <w:qFormat/>
    <w:uiPriority w:val="0"/>
    <w:rPr>
      <w:rFonts w:eastAsia="华文楷体"/>
      <w:b/>
      <w:sz w:val="32"/>
    </w:rPr>
  </w:style>
  <w:style w:type="character" w:customStyle="1" w:styleId="157">
    <w:name w:val="ALT+Z Char"/>
    <w:qFormat/>
    <w:uiPriority w:val="0"/>
    <w:rPr>
      <w:rFonts w:ascii="宋体"/>
      <w:sz w:val="34"/>
    </w:rPr>
  </w:style>
  <w:style w:type="character" w:customStyle="1" w:styleId="158">
    <w:name w:val="标题 1 Char"/>
    <w:link w:val="2"/>
    <w:qFormat/>
    <w:uiPriority w:val="0"/>
    <w:rPr>
      <w:rFonts w:ascii="黑体" w:eastAsia="黑体"/>
      <w:bCs/>
      <w:kern w:val="44"/>
      <w:sz w:val="24"/>
      <w:szCs w:val="24"/>
    </w:rPr>
  </w:style>
  <w:style w:type="character" w:customStyle="1" w:styleId="159">
    <w:name w:val="正文 A Char Char"/>
    <w:link w:val="160"/>
    <w:qFormat/>
    <w:uiPriority w:val="0"/>
    <w:rPr>
      <w:rFonts w:ascii="仿宋_GB2312" w:hAnsi="Heiti SC Light" w:eastAsia="仿宋_GB2312"/>
      <w:kern w:val="2"/>
      <w:sz w:val="24"/>
      <w:lang w:val="en-US" w:eastAsia="zh-CN" w:bidi="ar-SA"/>
    </w:rPr>
  </w:style>
  <w:style w:type="paragraph" w:customStyle="1" w:styleId="160">
    <w:name w:val="正文 A"/>
    <w:link w:val="1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50"/>
    <w:qFormat/>
    <w:uiPriority w:val="0"/>
    <w:rPr>
      <w:rFonts w:ascii="Calibri" w:hAnsi="Calibri" w:eastAsia="宋体"/>
      <w:kern w:val="2"/>
      <w:sz w:val="21"/>
      <w:szCs w:val="22"/>
      <w:lang w:val="en-US" w:eastAsia="zh-CN" w:bidi="ar-SA"/>
    </w:rPr>
  </w:style>
  <w:style w:type="character" w:customStyle="1" w:styleId="162">
    <w:name w:val="ca-9"/>
    <w:basedOn w:val="54"/>
    <w:qFormat/>
    <w:uiPriority w:val="0"/>
  </w:style>
  <w:style w:type="character" w:customStyle="1" w:styleId="163">
    <w:name w:val="正文（缩进） Char Char"/>
    <w:link w:val="164"/>
    <w:qFormat/>
    <w:uiPriority w:val="0"/>
    <w:rPr>
      <w:rFonts w:eastAsia="宋体"/>
      <w:kern w:val="2"/>
      <w:sz w:val="24"/>
      <w:szCs w:val="24"/>
      <w:lang w:val="en-US" w:eastAsia="zh-CN" w:bidi="ar-SA"/>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paragraph" w:customStyle="1" w:styleId="16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qFormat/>
    <w:uiPriority w:val="0"/>
    <w:pPr>
      <w:spacing w:line="360" w:lineRule="auto"/>
      <w:ind w:firstLine="200" w:firstLineChars="200"/>
    </w:pPr>
    <w:rPr>
      <w:rFonts w:ascii="宋体" w:hAnsi="宋体" w:cs="宋体"/>
      <w:sz w:val="24"/>
    </w:rPr>
  </w:style>
  <w:style w:type="paragraph" w:customStyle="1" w:styleId="168">
    <w:name w:val="列举"/>
    <w:basedOn w:val="1"/>
    <w:qFormat/>
    <w:uiPriority w:val="0"/>
    <w:pPr>
      <w:numPr>
        <w:ilvl w:val="0"/>
        <w:numId w:val="7"/>
      </w:numPr>
      <w:spacing w:line="360" w:lineRule="auto"/>
    </w:pPr>
    <w:rPr>
      <w:rFonts w:ascii="宋体"/>
    </w:rPr>
  </w:style>
  <w:style w:type="paragraph" w:customStyle="1" w:styleId="16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qFormat/>
    <w:uiPriority w:val="0"/>
    <w:pPr>
      <w:widowControl/>
      <w:spacing w:after="40" w:line="360" w:lineRule="auto"/>
      <w:ind w:firstLine="200" w:firstLineChars="200"/>
    </w:pPr>
    <w:rPr>
      <w:kern w:val="0"/>
      <w:sz w:val="24"/>
    </w:rPr>
  </w:style>
  <w:style w:type="paragraph" w:customStyle="1" w:styleId="17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6"/>
    <w:qFormat/>
    <w:uiPriority w:val="0"/>
    <w:pPr>
      <w:numPr>
        <w:ilvl w:val="3"/>
        <w:numId w:val="8"/>
      </w:numPr>
      <w:tabs>
        <w:tab w:val="clear" w:pos="1984"/>
      </w:tabs>
    </w:pPr>
    <w:rPr>
      <w:bCs w:val="0"/>
    </w:rPr>
  </w:style>
  <w:style w:type="paragraph" w:customStyle="1" w:styleId="173">
    <w:name w:val="p0"/>
    <w:basedOn w:val="1"/>
    <w:qFormat/>
    <w:uiPriority w:val="0"/>
    <w:pPr>
      <w:widowControl/>
    </w:pPr>
    <w:rPr>
      <w:kern w:val="0"/>
      <w:szCs w:val="21"/>
    </w:rPr>
  </w:style>
  <w:style w:type="paragraph" w:customStyle="1" w:styleId="174">
    <w:name w:val="正文序号 1"/>
    <w:basedOn w:val="1"/>
    <w:qFormat/>
    <w:uiPriority w:val="0"/>
    <w:pPr>
      <w:numPr>
        <w:ilvl w:val="0"/>
        <w:numId w:val="9"/>
      </w:numPr>
      <w:spacing w:before="60"/>
    </w:pPr>
  </w:style>
  <w:style w:type="paragraph" w:customStyle="1" w:styleId="17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3"/>
    <w:qFormat/>
    <w:uiPriority w:val="0"/>
    <w:pPr>
      <w:ind w:left="-132" w:leftChars="-64" w:right="-105" w:rightChars="-50" w:hanging="2"/>
      <w:jc w:val="center"/>
    </w:pPr>
    <w:rPr>
      <w:b/>
      <w:color w:val="FF0000"/>
      <w:szCs w:val="21"/>
      <w:lang w:val="en-GB"/>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qFormat/>
    <w:uiPriority w:val="0"/>
    <w:pPr>
      <w:numPr>
        <w:ilvl w:val="1"/>
        <w:numId w:val="9"/>
      </w:numPr>
      <w:spacing w:before="60"/>
    </w:pPr>
  </w:style>
  <w:style w:type="paragraph" w:customStyle="1" w:styleId="1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qFormat/>
    <w:uiPriority w:val="0"/>
    <w:pPr>
      <w:tabs>
        <w:tab w:val="left" w:pos="425"/>
      </w:tabs>
      <w:ind w:left="425" w:hanging="425"/>
    </w:pPr>
    <w:rPr>
      <w:sz w:val="24"/>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qFormat/>
    <w:uiPriority w:val="0"/>
    <w:pPr>
      <w:numPr>
        <w:ilvl w:val="0"/>
        <w:numId w:val="11"/>
      </w:numPr>
      <w:spacing w:line="360" w:lineRule="auto"/>
    </w:pPr>
    <w:rPr>
      <w:sz w:val="24"/>
    </w:rPr>
  </w:style>
  <w:style w:type="paragraph" w:customStyle="1" w:styleId="195">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qFormat/>
    <w:uiPriority w:val="0"/>
    <w:rPr>
      <w:rFonts w:ascii="Tahoma" w:hAnsi="Tahoma"/>
      <w:sz w:val="24"/>
      <w:szCs w:val="20"/>
    </w:rPr>
  </w:style>
  <w:style w:type="paragraph" w:customStyle="1" w:styleId="197">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qFormat/>
    <w:uiPriority w:val="0"/>
    <w:pPr>
      <w:spacing w:line="360" w:lineRule="auto"/>
      <w:ind w:firstLine="200" w:firstLineChars="200"/>
    </w:pPr>
    <w:rPr>
      <w:rFonts w:ascii="宋体" w:hAnsi="宋体" w:cs="宋体"/>
      <w:sz w:val="24"/>
    </w:rPr>
  </w:style>
  <w:style w:type="paragraph" w:customStyle="1" w:styleId="20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qFormat/>
    <w:uiPriority w:val="0"/>
    <w:pPr>
      <w:widowControl/>
      <w:spacing w:before="150" w:after="150"/>
      <w:jc w:val="left"/>
    </w:pPr>
    <w:rPr>
      <w:rFonts w:ascii="宋体" w:hAnsi="宋体" w:cs="宋体"/>
      <w:kern w:val="0"/>
      <w:sz w:val="24"/>
    </w:rPr>
  </w:style>
  <w:style w:type="paragraph" w:customStyle="1" w:styleId="208">
    <w:name w:val="MM Topic 5"/>
    <w:basedOn w:val="7"/>
    <w:qFormat/>
    <w:uiPriority w:val="0"/>
    <w:pPr>
      <w:numPr>
        <w:ilvl w:val="4"/>
        <w:numId w:val="8"/>
      </w:numPr>
      <w:tabs>
        <w:tab w:val="clear" w:pos="2551"/>
      </w:tabs>
    </w:pPr>
    <w:rPr>
      <w:bCs/>
      <w:szCs w:val="28"/>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qFormat/>
    <w:uiPriority w:val="0"/>
    <w:pPr>
      <w:widowControl/>
      <w:spacing w:before="100" w:beforeAutospacing="1" w:after="100" w:afterAutospacing="1"/>
      <w:jc w:val="left"/>
    </w:pPr>
    <w:rPr>
      <w:kern w:val="0"/>
      <w:sz w:val="22"/>
      <w:szCs w:val="22"/>
    </w:rPr>
  </w:style>
  <w:style w:type="paragraph" w:customStyle="1" w:styleId="21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3"/>
    <w:qFormat/>
    <w:uiPriority w:val="0"/>
    <w:pPr>
      <w:jc w:val="center"/>
    </w:pPr>
    <w:rPr>
      <w:b/>
      <w:color w:val="000000"/>
      <w:sz w:val="24"/>
      <w:szCs w:val="21"/>
    </w:rPr>
  </w:style>
  <w:style w:type="paragraph" w:customStyle="1" w:styleId="2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qFormat/>
    <w:uiPriority w:val="0"/>
    <w:pPr>
      <w:tabs>
        <w:tab w:val="left" w:pos="425"/>
      </w:tabs>
      <w:ind w:left="425" w:hanging="425"/>
    </w:pPr>
    <w:rPr>
      <w:rFonts w:eastAsia="仿宋_GB2312"/>
      <w:kern w:val="24"/>
      <w:sz w:val="24"/>
    </w:rPr>
  </w:style>
  <w:style w:type="paragraph" w:customStyle="1" w:styleId="218">
    <w:name w:val="Char"/>
    <w:basedOn w:val="1"/>
    <w:qFormat/>
    <w:uiPriority w:val="0"/>
    <w:pPr>
      <w:tabs>
        <w:tab w:val="left" w:pos="1365"/>
      </w:tabs>
      <w:ind w:left="1365" w:hanging="360"/>
    </w:pPr>
    <w:rPr>
      <w:sz w:val="24"/>
    </w:rPr>
  </w:style>
  <w:style w:type="paragraph" w:customStyle="1" w:styleId="219">
    <w:name w:val="font15"/>
    <w:basedOn w:val="1"/>
    <w:qFormat/>
    <w:uiPriority w:val="0"/>
    <w:pPr>
      <w:widowControl/>
      <w:spacing w:before="100" w:beforeAutospacing="1" w:after="100" w:afterAutospacing="1"/>
      <w:jc w:val="left"/>
    </w:pPr>
    <w:rPr>
      <w:kern w:val="0"/>
      <w:sz w:val="20"/>
      <w:szCs w:val="20"/>
    </w:rPr>
  </w:style>
  <w:style w:type="paragraph" w:customStyle="1" w:styleId="2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qFormat/>
    <w:uiPriority w:val="0"/>
    <w:pPr>
      <w:widowControl/>
      <w:spacing w:before="100" w:beforeAutospacing="1" w:after="100" w:afterAutospacing="1"/>
      <w:jc w:val="left"/>
    </w:pPr>
    <w:rPr>
      <w:kern w:val="0"/>
      <w:sz w:val="20"/>
      <w:szCs w:val="20"/>
    </w:rPr>
  </w:style>
  <w:style w:type="paragraph" w:customStyle="1" w:styleId="224">
    <w:name w:val="Char2"/>
    <w:basedOn w:val="1"/>
    <w:qFormat/>
    <w:uiPriority w:val="0"/>
    <w:pPr>
      <w:tabs>
        <w:tab w:val="left" w:pos="425"/>
      </w:tabs>
      <w:ind w:left="425" w:hanging="425"/>
    </w:pPr>
    <w:rPr>
      <w:sz w:val="24"/>
    </w:rPr>
  </w:style>
  <w:style w:type="paragraph" w:customStyle="1" w:styleId="225">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qFormat/>
    <w:uiPriority w:val="0"/>
    <w:pPr>
      <w:numPr>
        <w:ilvl w:val="3"/>
        <w:numId w:val="13"/>
      </w:numPr>
      <w:tabs>
        <w:tab w:val="clear" w:pos="1914"/>
      </w:tabs>
    </w:pPr>
    <w:rPr>
      <w:color w:val="auto"/>
    </w:rPr>
  </w:style>
  <w:style w:type="paragraph" w:customStyle="1" w:styleId="227">
    <w:name w:val="表格"/>
    <w:basedOn w:val="1"/>
    <w:next w:val="1"/>
    <w:qFormat/>
    <w:uiPriority w:val="0"/>
    <w:pPr>
      <w:jc w:val="center"/>
    </w:pPr>
    <w:rPr>
      <w:rFonts w:ascii="宋体"/>
      <w:b/>
      <w:szCs w:val="20"/>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qFormat/>
    <w:uiPriority w:val="0"/>
    <w:pPr>
      <w:spacing w:line="360" w:lineRule="auto"/>
      <w:ind w:firstLine="200" w:firstLineChars="200"/>
    </w:pPr>
    <w:rPr>
      <w:rFonts w:cs="宋体"/>
      <w:sz w:val="24"/>
      <w:szCs w:val="20"/>
    </w:rPr>
  </w:style>
  <w:style w:type="paragraph" w:customStyle="1" w:styleId="23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2">
    <w:name w:val="MM Topic 1"/>
    <w:basedOn w:val="2"/>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3">
    <w:name w:val="列出段落11"/>
    <w:basedOn w:val="1"/>
    <w:qFormat/>
    <w:uiPriority w:val="34"/>
    <w:pPr>
      <w:ind w:firstLine="200" w:firstLineChars="200"/>
    </w:pPr>
    <w:rPr>
      <w:rFonts w:ascii="Calibri" w:hAnsi="Calibri"/>
      <w:szCs w:val="22"/>
    </w:rPr>
  </w:style>
  <w:style w:type="paragraph" w:customStyle="1" w:styleId="244">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6">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正文序号 3"/>
    <w:basedOn w:val="1"/>
    <w:qFormat/>
    <w:uiPriority w:val="0"/>
    <w:pPr>
      <w:numPr>
        <w:ilvl w:val="2"/>
        <w:numId w:val="9"/>
      </w:numPr>
      <w:spacing w:before="60"/>
    </w:pPr>
  </w:style>
  <w:style w:type="paragraph" w:customStyle="1" w:styleId="24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2">
    <w:name w:val="TOC 标题1"/>
    <w:basedOn w:val="2"/>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Char1 Char Char Char1"/>
    <w:basedOn w:val="1"/>
    <w:qFormat/>
    <w:uiPriority w:val="0"/>
    <w:pPr>
      <w:ind w:left="1365" w:hanging="360"/>
    </w:pPr>
    <w:rPr>
      <w:sz w:val="24"/>
    </w:rPr>
  </w:style>
  <w:style w:type="paragraph" w:customStyle="1" w:styleId="257">
    <w:name w:val="MM Topic 2"/>
    <w:basedOn w:val="3"/>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9">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2">
    <w:name w:val="MM Topic 6"/>
    <w:basedOn w:val="8"/>
    <w:qFormat/>
    <w:uiPriority w:val="0"/>
    <w:pPr>
      <w:numPr>
        <w:ilvl w:val="5"/>
        <w:numId w:val="8"/>
      </w:numPr>
      <w:tabs>
        <w:tab w:val="clear" w:pos="3260"/>
      </w:tabs>
      <w:spacing w:line="319" w:lineRule="auto"/>
    </w:pPr>
    <w:rPr>
      <w:bCs w:val="0"/>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8"/>
    <w:qFormat/>
    <w:uiPriority w:val="0"/>
    <w:pPr>
      <w:spacing w:line="560" w:lineRule="atLeast"/>
    </w:pPr>
    <w:rPr>
      <w:rFonts w:ascii="宋体" w:hAnsi="Arial"/>
      <w:bCs w:val="0"/>
      <w:sz w:val="44"/>
      <w:szCs w:val="20"/>
    </w:rPr>
  </w:style>
  <w:style w:type="paragraph" w:customStyle="1" w:styleId="266">
    <w:name w:val="List Paragraph1"/>
    <w:basedOn w:val="1"/>
    <w:qFormat/>
    <w:uiPriority w:val="0"/>
    <w:pPr>
      <w:ind w:firstLine="420" w:firstLineChars="200"/>
    </w:pPr>
    <w:rPr>
      <w:rFonts w:ascii="Calibri" w:hAnsi="Calibri" w:cs="黑体"/>
      <w:szCs w:val="22"/>
    </w:rPr>
  </w:style>
  <w:style w:type="paragraph" w:customStyle="1" w:styleId="26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1"/>
    <w:qFormat/>
    <w:uiPriority w:val="0"/>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qFormat/>
    <w:uiPriority w:val="0"/>
    <w:pPr>
      <w:jc w:val="center"/>
    </w:pPr>
    <w:rPr>
      <w:position w:val="6"/>
      <w:szCs w:val="20"/>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qFormat/>
    <w:uiPriority w:val="0"/>
    <w:pPr>
      <w:widowControl/>
      <w:spacing w:after="160" w:line="240" w:lineRule="exact"/>
      <w:jc w:val="left"/>
    </w:pPr>
  </w:style>
  <w:style w:type="paragraph" w:customStyle="1" w:styleId="3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qFormat/>
    <w:uiPriority w:val="0"/>
    <w:pPr>
      <w:widowControl/>
      <w:spacing w:after="160" w:line="240" w:lineRule="exact"/>
      <w:jc w:val="left"/>
    </w:pPr>
    <w:rPr>
      <w:sz w:val="32"/>
      <w:szCs w:val="20"/>
    </w:rPr>
  </w:style>
  <w:style w:type="paragraph" w:customStyle="1" w:styleId="312">
    <w:name w:val="pa-3"/>
    <w:basedOn w:val="1"/>
    <w:qFormat/>
    <w:uiPriority w:val="0"/>
    <w:pPr>
      <w:widowControl/>
      <w:spacing w:before="150" w:after="150"/>
      <w:jc w:val="left"/>
    </w:pPr>
    <w:rPr>
      <w:rFonts w:ascii="宋体" w:hAnsi="宋体" w:cs="宋体"/>
      <w:kern w:val="0"/>
      <w:sz w:val="24"/>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qFormat/>
    <w:uiPriority w:val="0"/>
    <w:rPr>
      <w:rFonts w:ascii="宋体" w:hAnsi="宋体"/>
      <w:b/>
      <w:sz w:val="28"/>
      <w:szCs w:val="28"/>
    </w:rPr>
  </w:style>
  <w:style w:type="paragraph" w:customStyle="1" w:styleId="316">
    <w:name w:val="_Style 2"/>
    <w:basedOn w:val="1"/>
    <w:qFormat/>
    <w:uiPriority w:val="0"/>
    <w:pPr>
      <w:ind w:firstLine="420" w:firstLineChars="200"/>
    </w:pPr>
  </w:style>
  <w:style w:type="paragraph" w:customStyle="1" w:styleId="31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qFormat/>
    <w:uiPriority w:val="0"/>
    <w:pPr>
      <w:numPr>
        <w:ilvl w:val="3"/>
        <w:numId w:val="9"/>
      </w:numPr>
      <w:spacing w:before="60"/>
    </w:pPr>
  </w:style>
  <w:style w:type="paragraph" w:customStyle="1" w:styleId="327">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qFormat/>
    <w:uiPriority w:val="0"/>
    <w:pPr>
      <w:spacing w:line="360" w:lineRule="auto"/>
      <w:ind w:firstLine="482"/>
    </w:pPr>
    <w:rPr>
      <w:rFonts w:cs="宋体"/>
      <w:sz w:val="24"/>
      <w:szCs w:val="20"/>
    </w:rPr>
  </w:style>
  <w:style w:type="paragraph" w:customStyle="1" w:styleId="3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qFormat/>
    <w:uiPriority w:val="0"/>
    <w:pPr>
      <w:spacing w:line="360" w:lineRule="auto"/>
    </w:pPr>
    <w:rPr>
      <w:rFonts w:ascii="宋体" w:hAnsi="宋体"/>
      <w:sz w:val="24"/>
    </w:rPr>
  </w:style>
  <w:style w:type="paragraph" w:styleId="3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qFormat/>
    <w:uiPriority w:val="0"/>
    <w:pPr>
      <w:widowControl/>
      <w:spacing w:before="150" w:after="150"/>
      <w:jc w:val="left"/>
    </w:pPr>
    <w:rPr>
      <w:rFonts w:ascii="宋体" w:hAnsi="宋体" w:cs="宋体"/>
      <w:kern w:val="0"/>
      <w:sz w:val="24"/>
    </w:rPr>
  </w:style>
  <w:style w:type="paragraph" w:customStyle="1" w:styleId="34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qFormat/>
    <w:uiPriority w:val="0"/>
    <w:pPr>
      <w:widowControl/>
      <w:spacing w:before="150" w:after="150"/>
      <w:jc w:val="left"/>
    </w:pPr>
    <w:rPr>
      <w:rFonts w:ascii="宋体" w:hAnsi="宋体" w:cs="宋体"/>
      <w:kern w:val="0"/>
      <w:sz w:val="24"/>
    </w:rPr>
  </w:style>
  <w:style w:type="paragraph" w:customStyle="1" w:styleId="344">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qFormat/>
    <w:uiPriority w:val="0"/>
    <w:pPr>
      <w:numPr>
        <w:ilvl w:val="0"/>
        <w:numId w:val="20"/>
      </w:numPr>
      <w:jc w:val="left"/>
    </w:pPr>
  </w:style>
  <w:style w:type="paragraph" w:customStyle="1" w:styleId="3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50"/>
    <w:qFormat/>
    <w:uiPriority w:val="0"/>
    <w:pPr>
      <w:spacing w:after="0" w:line="360" w:lineRule="auto"/>
      <w:ind w:firstLine="200" w:firstLineChars="200"/>
    </w:pPr>
    <w:rPr>
      <w:sz w:val="24"/>
      <w:szCs w:val="24"/>
    </w:rPr>
  </w:style>
  <w:style w:type="paragraph" w:customStyle="1" w:styleId="34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4"/>
    <w:qFormat/>
    <w:uiPriority w:val="99"/>
    <w:rPr>
      <w:color w:val="808080"/>
    </w:rPr>
  </w:style>
  <w:style w:type="paragraph" w:customStyle="1" w:styleId="352">
    <w:name w:val="Table Paragraph"/>
    <w:basedOn w:val="1"/>
    <w:qFormat/>
    <w:uiPriority w:val="1"/>
  </w:style>
  <w:style w:type="paragraph" w:customStyle="1" w:styleId="353">
    <w:name w:val="正文正"/>
    <w:basedOn w:val="1"/>
    <w:qFormat/>
    <w:uiPriority w:val="0"/>
    <w:pPr>
      <w:spacing w:line="560" w:lineRule="exact"/>
      <w:ind w:firstLine="561"/>
    </w:pPr>
    <w:rPr>
      <w:rFonts w:eastAsia="仿宋_GB2312"/>
      <w:sz w:val="28"/>
    </w:rPr>
  </w:style>
  <w:style w:type="paragraph" w:customStyle="1" w:styleId="354">
    <w:name w:val="null3"/>
    <w:qFormat/>
    <w:uiPriority w:val="0"/>
    <w:rPr>
      <w:rFonts w:hint="eastAsia" w:ascii="等线" w:hAnsi="等线" w:eastAsia="等线" w:cs="宋体"/>
      <w:lang w:val="en-US" w:eastAsia="zh-CN" w:bidi="ar-SA"/>
    </w:rPr>
  </w:style>
  <w:style w:type="table" w:customStyle="1" w:styleId="3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49</Pages>
  <Words>19788</Words>
  <Characters>21341</Characters>
  <Lines>267</Lines>
  <Paragraphs>75</Paragraphs>
  <TotalTime>0</TotalTime>
  <ScaleCrop>false</ScaleCrop>
  <LinksUpToDate>false</LinksUpToDate>
  <CharactersWithSpaces>24944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2026-01-05T06:13:49Z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EA4350270A0142A4BEE66FE2D287338E_13</vt:lpwstr>
  </property>
  <property fmtid="{D5CDD505-2E9C-101B-9397-08002B2CF9AE}" pid="4" name="KSOTemplateDocerSaveRecord">
    <vt:lpwstr>eyJoZGlkIjoiNjRhODA0MGJlYjkwYzhjNWY3NDVmZDZhNTM4ODVlZmIiLCJ1c2VySWQiOiI0MzkwMDY1NTEifQ==</vt:lpwstr>
  </property>
</Properties>
</file>