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6"/>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6"/>
        <w:widowControl/>
        <w:adjustRightInd w:val="0"/>
        <w:snapToGrid w:val="0"/>
        <w:spacing w:line="360" w:lineRule="auto"/>
        <w:jc w:val="center"/>
        <w:rPr>
          <w:rFonts w:ascii="黑体" w:eastAsia="黑体"/>
          <w:bCs/>
          <w:color w:val="auto"/>
          <w:sz w:val="52"/>
          <w:szCs w:val="52"/>
          <w:highlight w:val="none"/>
        </w:rPr>
      </w:pPr>
    </w:p>
    <w:p w14:paraId="5CC8E8AC">
      <w:pPr>
        <w:pStyle w:val="6"/>
        <w:widowControl/>
        <w:adjustRightInd w:val="0"/>
        <w:snapToGrid w:val="0"/>
        <w:spacing w:line="360" w:lineRule="auto"/>
        <w:rPr>
          <w:rFonts w:ascii="黑体" w:eastAsia="黑体"/>
          <w:bCs/>
          <w:color w:val="auto"/>
          <w:sz w:val="52"/>
          <w:szCs w:val="52"/>
          <w:highlight w:val="none"/>
        </w:rPr>
      </w:pPr>
    </w:p>
    <w:p w14:paraId="140B4A04">
      <w:pPr>
        <w:pStyle w:val="6"/>
        <w:widowControl/>
        <w:adjustRightInd w:val="0"/>
        <w:snapToGrid w:val="0"/>
        <w:spacing w:line="360" w:lineRule="auto"/>
        <w:rPr>
          <w:rFonts w:ascii="黑体" w:eastAsia="黑体"/>
          <w:bCs/>
          <w:color w:val="auto"/>
          <w:sz w:val="52"/>
          <w:szCs w:val="52"/>
          <w:highlight w:val="none"/>
        </w:rPr>
      </w:pPr>
    </w:p>
    <w:p w14:paraId="6B417CEE">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6"/>
        <w:widowControl/>
        <w:adjustRightInd w:val="0"/>
        <w:snapToGrid w:val="0"/>
        <w:spacing w:line="360" w:lineRule="auto"/>
        <w:jc w:val="both"/>
        <w:rPr>
          <w:rFonts w:ascii="黑体" w:eastAsia="黑体"/>
          <w:bCs/>
          <w:color w:val="auto"/>
          <w:sz w:val="72"/>
          <w:szCs w:val="72"/>
          <w:highlight w:val="none"/>
        </w:rPr>
      </w:pP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5285055D">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bookmarkStart w:id="46" w:name="_GoBack"/>
      <w:bookmarkEnd w:id="46"/>
    </w:p>
    <w:tbl>
      <w:tblPr>
        <w:tblStyle w:val="11"/>
        <w:tblW w:w="8435" w:type="dxa"/>
        <w:jc w:val="center"/>
        <w:tblLayout w:type="fixed"/>
        <w:tblCellMar>
          <w:top w:w="0" w:type="dxa"/>
          <w:left w:w="108" w:type="dxa"/>
          <w:bottom w:w="0" w:type="dxa"/>
          <w:right w:w="108" w:type="dxa"/>
        </w:tblCellMar>
      </w:tblPr>
      <w:tblGrid>
        <w:gridCol w:w="1951"/>
        <w:gridCol w:w="284"/>
        <w:gridCol w:w="6200"/>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00" w:type="dxa"/>
            <w:vAlign w:val="center"/>
          </w:tcPr>
          <w:p w14:paraId="0FA18D73">
            <w:pPr>
              <w:pStyle w:val="6"/>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YX-20250623-04</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6"/>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00" w:type="dxa"/>
            <w:vAlign w:val="center"/>
          </w:tcPr>
          <w:p w14:paraId="5CAA1552">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2025年度阳春市气象局区域自动气象站维护项目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00" w:type="dxa"/>
            <w:vAlign w:val="center"/>
          </w:tcPr>
          <w:p w14:paraId="5DE1B0F9">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广东省阳春市气象局</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6"/>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6"/>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200" w:type="dxa"/>
            <w:vAlign w:val="center"/>
          </w:tcPr>
          <w:p w14:paraId="29644ABF">
            <w:pPr>
              <w:pStyle w:val="6"/>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14:paraId="1E2DC93A">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13E7B95A">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A 商务要求</w:t>
      </w:r>
    </w:p>
    <w:p w14:paraId="1BC27B7C">
      <w:pPr>
        <w:spacing w:line="360" w:lineRule="auto"/>
        <w:jc w:val="left"/>
        <w:rPr>
          <w:rFonts w:hint="eastAsia" w:ascii="宋体" w:hAnsi="宋体" w:cs="宋体"/>
          <w:b/>
          <w:bCs/>
          <w:color w:val="000000" w:themeColor="text1"/>
          <w:sz w:val="24"/>
          <w:szCs w:val="24"/>
          <w14:textFill>
            <w14:solidFill>
              <w14:schemeClr w14:val="tx1"/>
            </w14:solidFill>
          </w14:textFill>
        </w:rPr>
      </w:pPr>
    </w:p>
    <w:p w14:paraId="1F3E3FBD">
      <w:pPr>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供应商</w:t>
      </w:r>
      <w:r>
        <w:rPr>
          <w:rFonts w:hint="eastAsia" w:ascii="宋体" w:hAnsi="宋体" w:cs="宋体"/>
          <w:b/>
          <w:bCs/>
          <w:color w:val="000000" w:themeColor="text1"/>
          <w:sz w:val="24"/>
          <w:szCs w:val="24"/>
          <w14:textFill>
            <w14:solidFill>
              <w14:schemeClr w14:val="tx1"/>
            </w14:solidFill>
          </w14:textFill>
        </w:rPr>
        <w:t>资格要求：</w:t>
      </w:r>
    </w:p>
    <w:p w14:paraId="5EE8637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应具备《中华人民共和国政府采购法》第二十二条规定的条件：</w:t>
      </w:r>
    </w:p>
    <w:p w14:paraId="58587553">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4B843AC">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2）具有良好的商业信誉和健全的财务会计制度：提供《资格文件声明函》，格式见附件。</w:t>
      </w:r>
    </w:p>
    <w:p w14:paraId="485DF065">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3）具有履行合同所必需的设备和专业技术能力：提供《资格文件声明函》，格式见附件。</w:t>
      </w:r>
    </w:p>
    <w:p w14:paraId="0C740D1C">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4）有依法缴纳税收和社会保障资金的良好记录：提供《资格文件声明函》，格式见附件。</w:t>
      </w:r>
    </w:p>
    <w:p w14:paraId="30E67E0C">
      <w:pPr>
        <w:keepNext w:val="0"/>
        <w:keepLines w:val="0"/>
        <w:pageBreakBefore w:val="0"/>
        <w:kinsoku/>
        <w:wordWrap/>
        <w:overflowPunct/>
        <w:topLinePunct w:val="0"/>
        <w:autoSpaceDE/>
        <w:autoSpaceDN/>
        <w:bidi w:val="0"/>
        <w:adjustRightInd/>
        <w:snapToGrid/>
        <w:spacing w:line="360" w:lineRule="auto"/>
        <w:ind w:firstLine="1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5）参加政府采购活动前三年内，在经营活动中没有重大违法记录：提供《资格文件声明函》，格式见附件。</w:t>
      </w:r>
    </w:p>
    <w:p w14:paraId="4729A1E5">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0F27036D">
      <w:pPr>
        <w:tabs>
          <w:tab w:val="left" w:pos="1888"/>
        </w:tabs>
        <w:spacing w:line="360" w:lineRule="auto"/>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、投标报价要求：</w:t>
      </w:r>
      <w:r>
        <w:rPr>
          <w:rFonts w:hint="eastAsia" w:ascii="宋体" w:hAnsi="宋体" w:cs="宋体"/>
          <w:color w:val="000000" w:themeColor="text1"/>
          <w:sz w:val="24"/>
          <w:szCs w:val="24"/>
          <w14:textFill>
            <w14:solidFill>
              <w14:schemeClr w14:val="tx1"/>
            </w14:solidFill>
          </w14:textFill>
        </w:rPr>
        <w:t>项目预算人民币：</w:t>
      </w:r>
      <w:r>
        <w:rPr>
          <w:rFonts w:hint="eastAsia" w:ascii="宋体" w:hAnsi="宋体" w:cs="宋体"/>
          <w:b/>
          <w:bCs/>
          <w:color w:val="000000" w:themeColor="text1"/>
          <w:sz w:val="24"/>
          <w:szCs w:val="24"/>
          <w:u w:val="single"/>
          <w:lang w:val="en-US" w:eastAsia="zh-CN"/>
          <w14:textFill>
            <w14:solidFill>
              <w14:schemeClr w14:val="tx1"/>
            </w14:solidFill>
          </w14:textFill>
        </w:rPr>
        <w:t>260000</w:t>
      </w:r>
      <w:r>
        <w:rPr>
          <w:rFonts w:hint="eastAsia" w:ascii="宋体" w:hAnsi="宋体" w:cs="宋体"/>
          <w:b/>
          <w:bCs/>
          <w:color w:val="000000" w:themeColor="text1"/>
          <w:sz w:val="24"/>
          <w:szCs w:val="24"/>
          <w:u w:val="single"/>
          <w14:textFill>
            <w14:solidFill>
              <w14:schemeClr w14:val="tx1"/>
            </w14:solidFill>
          </w14:textFill>
        </w:rPr>
        <w:t>.00</w:t>
      </w:r>
      <w:r>
        <w:rPr>
          <w:rFonts w:hint="eastAsia" w:ascii="宋体" w:hAnsi="宋体" w:cs="宋体"/>
          <w:color w:val="000000" w:themeColor="text1"/>
          <w:sz w:val="24"/>
          <w:szCs w:val="24"/>
          <w:u w:val="single"/>
          <w14:textFill>
            <w14:solidFill>
              <w14:schemeClr w14:val="tx1"/>
            </w14:solidFill>
          </w14:textFill>
        </w:rPr>
        <w:t>元</w:t>
      </w:r>
      <w:r>
        <w:rPr>
          <w:rFonts w:hint="eastAsia" w:ascii="宋体" w:hAnsi="宋体" w:cs="宋体"/>
          <w:color w:val="000000" w:themeColor="text1"/>
          <w:sz w:val="24"/>
          <w:szCs w:val="24"/>
          <w14:textFill>
            <w14:solidFill>
              <w14:schemeClr w14:val="tx1"/>
            </w14:solidFill>
          </w14:textFill>
        </w:rPr>
        <w:t>。报价包含人工费、车辆费、住宿费、餐饮费、税金、电话费、故障设备邮寄费及其他费用。</w:t>
      </w:r>
    </w:p>
    <w:p w14:paraId="6A05740D">
      <w:pPr>
        <w:tabs>
          <w:tab w:val="left" w:pos="1888"/>
        </w:tabs>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cs="宋体"/>
          <w:b/>
          <w:bCs/>
          <w:color w:val="000000" w:themeColor="text1"/>
          <w:sz w:val="24"/>
          <w:szCs w:val="24"/>
          <w14:textFill>
            <w14:solidFill>
              <w14:schemeClr w14:val="tx1"/>
            </w14:solidFill>
          </w14:textFill>
        </w:rPr>
        <w:t>、合同签订要求：</w:t>
      </w:r>
      <w:r>
        <w:rPr>
          <w:rFonts w:hint="eastAsia" w:ascii="宋体" w:hAnsi="宋体" w:cs="宋体"/>
          <w:color w:val="000000" w:themeColor="text1"/>
          <w:sz w:val="24"/>
          <w:szCs w:val="24"/>
          <w14:textFill>
            <w14:solidFill>
              <w14:schemeClr w14:val="tx1"/>
            </w14:solidFill>
          </w14:textFill>
        </w:rPr>
        <w:t>采购合同由</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凭《</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14:textFill>
            <w14:solidFill>
              <w14:schemeClr w14:val="tx1"/>
            </w14:solidFill>
          </w14:textFill>
        </w:rPr>
        <w:t>通知书》与采购人双方签订，签订时间为《</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14:textFill>
            <w14:solidFill>
              <w14:schemeClr w14:val="tx1"/>
            </w14:solidFill>
          </w14:textFill>
        </w:rPr>
        <w:t>通知书》发出之日起20个日历日内。</w:t>
      </w:r>
    </w:p>
    <w:p w14:paraId="32887DD5">
      <w:pPr>
        <w:tabs>
          <w:tab w:val="left" w:pos="1888"/>
        </w:tabs>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服务</w:t>
      </w:r>
      <w:r>
        <w:rPr>
          <w:rFonts w:hint="eastAsia" w:ascii="宋体" w:hAnsi="宋体" w:cs="宋体"/>
          <w:b/>
          <w:bCs/>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壹年</w:t>
      </w:r>
      <w:r>
        <w:rPr>
          <w:rFonts w:hint="eastAsia" w:ascii="宋体" w:hAnsi="宋体" w:cs="宋体"/>
          <w:color w:val="000000" w:themeColor="text1"/>
          <w:sz w:val="24"/>
          <w:szCs w:val="24"/>
          <w14:textFill>
            <w14:solidFill>
              <w14:schemeClr w14:val="tx1"/>
            </w14:solidFill>
          </w14:textFill>
        </w:rPr>
        <w:t>。</w:t>
      </w:r>
    </w:p>
    <w:p w14:paraId="68C10DD4">
      <w:pPr>
        <w:spacing w:line="360" w:lineRule="auto"/>
        <w:jc w:val="left"/>
        <w:rPr>
          <w:b/>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服务</w:t>
      </w:r>
      <w:r>
        <w:rPr>
          <w:rFonts w:hint="eastAsia" w:ascii="宋体" w:hAnsi="宋体" w:cs="宋体"/>
          <w:b/>
          <w:bCs/>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14:textFill>
            <w14:solidFill>
              <w14:schemeClr w14:val="tx1"/>
            </w14:solidFill>
          </w14:textFill>
        </w:rPr>
        <w:t>采购人指定地点</w:t>
      </w:r>
      <w:r>
        <w:rPr>
          <w:rFonts w:hint="eastAsia" w:ascii="宋体" w:hAnsi="宋体" w:cs="宋体"/>
          <w:bCs/>
          <w:color w:val="000000" w:themeColor="text1"/>
          <w:sz w:val="24"/>
          <w:szCs w:val="24"/>
          <w:shd w:val="clear" w:color="auto" w:fill="FFFFFF"/>
          <w14:textFill>
            <w14:solidFill>
              <w14:schemeClr w14:val="tx1"/>
            </w14:solidFill>
          </w14:textFill>
        </w:rPr>
        <w:t>。</w:t>
      </w:r>
    </w:p>
    <w:p w14:paraId="75E62D5A">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cs="宋体"/>
          <w:b/>
          <w:bCs/>
          <w:color w:val="000000" w:themeColor="text1"/>
          <w:sz w:val="24"/>
          <w:szCs w:val="24"/>
          <w14:textFill>
            <w14:solidFill>
              <w14:schemeClr w14:val="tx1"/>
            </w14:solidFill>
          </w14:textFill>
        </w:rPr>
        <w:t>、付款方式：</w:t>
      </w:r>
      <w:r>
        <w:rPr>
          <w:rFonts w:hint="eastAsia" w:ascii="宋体" w:hAnsi="宋体" w:cs="宋体"/>
          <w:color w:val="000000" w:themeColor="text1"/>
          <w:sz w:val="24"/>
          <w:szCs w:val="24"/>
          <w:lang w:val="en-US" w:eastAsia="zh-CN"/>
          <w14:textFill>
            <w14:solidFill>
              <w14:schemeClr w14:val="tx1"/>
            </w14:solidFill>
          </w14:textFill>
        </w:rPr>
        <w:t>签订合同后分三次支付服务费用。从合同签定之日起 10个工作日内采购人向成交供应商支付合同总额的30%预付款；完成8</w:t>
      </w:r>
      <w:r>
        <w:rPr>
          <w:rFonts w:hint="eastAsia" w:ascii="宋体" w:hAnsi="宋体" w:cs="宋体"/>
          <w:color w:val="000000" w:themeColor="text1"/>
          <w:sz w:val="24"/>
          <w:szCs w:val="24"/>
          <w14:textFill>
            <w14:solidFill>
              <w14:schemeClr w14:val="tx1"/>
            </w14:solidFill>
          </w14:textFill>
        </w:rPr>
        <w:t>个月</w:t>
      </w:r>
      <w:r>
        <w:rPr>
          <w:rFonts w:hint="eastAsia" w:ascii="宋体" w:hAnsi="宋体" w:cs="宋体"/>
          <w:color w:val="000000" w:themeColor="text1"/>
          <w:sz w:val="24"/>
          <w:szCs w:val="24"/>
          <w:lang w:val="en-US" w:eastAsia="zh-CN"/>
          <w14:textFill>
            <w14:solidFill>
              <w14:schemeClr w14:val="tx1"/>
            </w14:solidFill>
          </w14:textFill>
        </w:rPr>
        <w:t>的维护工作，经采购人确认成交供应商没有出现服务质量问题，并按合同要求完成工作，采购人向成交供应商支付合同总金额的40%作为进度款；项目完成后，成交供应商将项目相关材料提交给采购人，经采购人确认成交供应商没有出现服务质量问题且验收合格后，在10个工作日内采购人向成交供应商结清余款，即合同总额的30%尾款。每笔款项支付时，成交供应商同时向采购人提供相应金额的正式发票。</w:t>
      </w:r>
    </w:p>
    <w:p w14:paraId="73A4A438">
      <w:pPr>
        <w:tabs>
          <w:tab w:val="left" w:pos="1888"/>
        </w:tabs>
        <w:spacing w:line="440" w:lineRule="exact"/>
        <w:ind w:left="48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B技术要求</w:t>
      </w:r>
    </w:p>
    <w:p w14:paraId="44A47DB3">
      <w:pPr>
        <w:tabs>
          <w:tab w:val="left" w:pos="1888"/>
        </w:tabs>
        <w:spacing w:line="440" w:lineRule="exact"/>
        <w:ind w:left="480"/>
        <w:jc w:val="center"/>
        <w:rPr>
          <w:rFonts w:ascii="宋体" w:hAnsi="宋体" w:cs="宋体"/>
          <w:b/>
          <w:color w:val="000000" w:themeColor="text1"/>
          <w:sz w:val="32"/>
          <w:szCs w:val="32"/>
          <w14:textFill>
            <w14:solidFill>
              <w14:schemeClr w14:val="tx1"/>
            </w14:solidFill>
          </w14:textFill>
        </w:rPr>
      </w:pPr>
    </w:p>
    <w:p w14:paraId="4FD984C2">
      <w:pPr>
        <w:spacing w:line="360" w:lineRule="auto"/>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一、项目服务内容</w:t>
      </w:r>
    </w:p>
    <w:p w14:paraId="2B436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阳春市</w:t>
      </w:r>
      <w:r>
        <w:rPr>
          <w:rFonts w:hint="eastAsia" w:ascii="宋体" w:hAnsi="宋体" w:eastAsia="宋体" w:cs="宋体"/>
          <w:sz w:val="24"/>
          <w:szCs w:val="24"/>
        </w:rPr>
        <w:t>内</w:t>
      </w:r>
      <w:r>
        <w:rPr>
          <w:rFonts w:hint="eastAsia" w:ascii="宋体" w:hAnsi="宋体" w:cs="宋体"/>
          <w:sz w:val="24"/>
          <w:szCs w:val="24"/>
          <w:lang w:val="en-US" w:eastAsia="zh-CN"/>
        </w:rPr>
        <w:t>60</w:t>
      </w:r>
      <w:r>
        <w:rPr>
          <w:rFonts w:hint="eastAsia" w:ascii="宋体" w:hAnsi="宋体" w:eastAsia="宋体" w:cs="宋体"/>
          <w:sz w:val="24"/>
          <w:szCs w:val="24"/>
        </w:rPr>
        <w:t>个区域自动气象站</w:t>
      </w:r>
      <w:r>
        <w:rPr>
          <w:rFonts w:hint="eastAsia" w:ascii="宋体" w:hAnsi="宋体" w:eastAsia="宋体" w:cs="宋体"/>
          <w:color w:val="auto"/>
          <w:sz w:val="24"/>
          <w:szCs w:val="24"/>
          <w:lang w:eastAsia="zh-CN"/>
        </w:rPr>
        <w:t>（附件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lang w:eastAsia="zh-CN"/>
        </w:rPr>
        <w:t>阳春市气象局区域自动气象站情况表）</w:t>
      </w:r>
      <w:r>
        <w:rPr>
          <w:rFonts w:hint="eastAsia" w:ascii="宋体" w:hAnsi="宋体" w:eastAsia="宋体" w:cs="宋体"/>
          <w:color w:val="auto"/>
          <w:sz w:val="24"/>
          <w:szCs w:val="24"/>
        </w:rPr>
        <w:t>维护。委托维护内容要求：</w:t>
      </w:r>
    </w:p>
    <w:p w14:paraId="7FB85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定期常规维护：</w:t>
      </w:r>
      <w:r>
        <w:rPr>
          <w:rFonts w:hint="eastAsia" w:ascii="宋体" w:hAnsi="宋体" w:eastAsia="宋体" w:cs="宋体"/>
          <w:color w:val="auto"/>
          <w:sz w:val="24"/>
          <w:szCs w:val="24"/>
          <w:lang w:eastAsia="zh-CN"/>
        </w:rPr>
        <w:t>成交供应商在汛前、汛中及汛后</w:t>
      </w:r>
      <w:r>
        <w:rPr>
          <w:rFonts w:hint="eastAsia" w:ascii="宋体" w:hAnsi="宋体" w:eastAsia="宋体" w:cs="宋体"/>
          <w:color w:val="auto"/>
          <w:sz w:val="24"/>
          <w:szCs w:val="24"/>
        </w:rPr>
        <w:t>须对</w:t>
      </w: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个区域自动站</w:t>
      </w:r>
      <w:r>
        <w:rPr>
          <w:rFonts w:hint="eastAsia" w:ascii="宋体" w:hAnsi="宋体" w:eastAsia="宋体" w:cs="宋体"/>
          <w:color w:val="auto"/>
          <w:sz w:val="24"/>
          <w:szCs w:val="24"/>
          <w:lang w:eastAsia="zh-CN"/>
        </w:rPr>
        <w:t>各</w:t>
      </w:r>
      <w:r>
        <w:rPr>
          <w:rFonts w:hint="eastAsia" w:ascii="宋体" w:hAnsi="宋体" w:eastAsia="宋体" w:cs="宋体"/>
          <w:color w:val="auto"/>
          <w:sz w:val="24"/>
          <w:szCs w:val="24"/>
        </w:rPr>
        <w:t>进行一次巡查维护。维护内容：检查各传感器的性能，如风仪器的转动情况，风向是否有缺测，风速是否偏大或偏小；雨量传感器漏斗是否堵塞；</w:t>
      </w:r>
      <w:r>
        <w:rPr>
          <w:rFonts w:hint="eastAsia" w:ascii="宋体" w:hAnsi="宋体" w:eastAsia="宋体" w:cs="宋体"/>
          <w:color w:val="auto"/>
          <w:sz w:val="24"/>
          <w:szCs w:val="24"/>
          <w:lang w:eastAsia="zh-CN"/>
        </w:rPr>
        <w:t>清洁湿度传感器保护罩；确保气压传感器通气孔正常；</w:t>
      </w:r>
      <w:r>
        <w:rPr>
          <w:rFonts w:hint="eastAsia" w:ascii="宋体" w:hAnsi="宋体" w:eastAsia="宋体" w:cs="宋体"/>
          <w:color w:val="auto"/>
          <w:sz w:val="24"/>
          <w:szCs w:val="24"/>
        </w:rPr>
        <w:t>温度1分钟内跳变幅度是否正常；清洁各传感器、采集器、蓄电池等；检查各电缆、插件的连接情况；清理自动站场地里的杂草、荆棘及其它有关事项。</w:t>
      </w:r>
      <w:r>
        <w:rPr>
          <w:rFonts w:hint="eastAsia" w:ascii="宋体" w:hAnsi="宋体" w:cs="宋体"/>
          <w:color w:val="auto"/>
          <w:sz w:val="24"/>
          <w:szCs w:val="24"/>
          <w:lang w:val="en-US" w:eastAsia="zh-CN"/>
        </w:rPr>
        <w:t>按要求协助配合甲方对气象站的气象仪器开展现场核查、校准。</w:t>
      </w:r>
    </w:p>
    <w:p w14:paraId="73447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不定期故障修复：</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在接到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自动站故障(电话)通知时，</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按维护任务要求进行修复故障。属于考核站的（见附件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sz w:val="24"/>
          <w:szCs w:val="24"/>
          <w:lang w:eastAsia="zh-CN"/>
        </w:rPr>
        <w:t>成交供应商</w:t>
      </w:r>
      <w:r>
        <w:rPr>
          <w:rFonts w:hint="eastAsia" w:ascii="宋体" w:hAnsi="宋体" w:eastAsia="宋体" w:cs="宋体"/>
          <w:sz w:val="24"/>
          <w:szCs w:val="24"/>
        </w:rPr>
        <w:t>须在故障出现的24小时内修复（台风、暴雨等不可抗拒的客观因素除外）；除此以外的故障自动站，须在故障出现的48小时内修复（台风、暴雨等不可抗拒的客观因素除外）。修复要及时报告</w:t>
      </w:r>
      <w:r>
        <w:rPr>
          <w:rFonts w:hint="eastAsia" w:ascii="宋体" w:hAnsi="宋体" w:eastAsia="宋体" w:cs="宋体"/>
          <w:sz w:val="24"/>
          <w:szCs w:val="24"/>
          <w:lang w:eastAsia="zh-CN"/>
        </w:rPr>
        <w:t>采购人</w:t>
      </w:r>
      <w:r>
        <w:rPr>
          <w:rFonts w:hint="eastAsia" w:ascii="宋体" w:hAnsi="宋体" w:cs="宋体"/>
          <w:sz w:val="24"/>
          <w:szCs w:val="24"/>
          <w:lang w:val="en-US" w:eastAsia="zh-CN"/>
        </w:rPr>
        <w:t>气象台</w:t>
      </w:r>
      <w:r>
        <w:rPr>
          <w:rFonts w:hint="eastAsia" w:ascii="宋体" w:hAnsi="宋体" w:eastAsia="宋体" w:cs="宋体"/>
          <w:sz w:val="24"/>
          <w:szCs w:val="24"/>
        </w:rPr>
        <w:t>；无法及时修复时，须立即报告</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val="en-US" w:eastAsia="zh-CN"/>
        </w:rPr>
        <w:t>成交供应商应满足区域自动气象站每季度和全年业务可用性和数据传输率达到国家、省局</w:t>
      </w:r>
      <w:r>
        <w:rPr>
          <w:rFonts w:hint="eastAsia" w:ascii="宋体" w:hAnsi="宋体" w:cs="宋体"/>
          <w:sz w:val="24"/>
          <w:szCs w:val="24"/>
          <w:lang w:val="en-US" w:eastAsia="zh-CN"/>
        </w:rPr>
        <w:t>考核</w:t>
      </w:r>
      <w:r>
        <w:rPr>
          <w:rFonts w:hint="eastAsia" w:ascii="宋体" w:hAnsi="宋体" w:eastAsia="宋体" w:cs="宋体"/>
          <w:sz w:val="24"/>
          <w:szCs w:val="24"/>
          <w:lang w:val="en-US" w:eastAsia="zh-CN"/>
        </w:rPr>
        <w:t>要求</w:t>
      </w:r>
      <w:r>
        <w:rPr>
          <w:rFonts w:hint="eastAsia" w:ascii="宋体" w:hAnsi="宋体" w:cs="宋体"/>
          <w:sz w:val="24"/>
          <w:szCs w:val="24"/>
          <w:lang w:val="en-US" w:eastAsia="zh-CN"/>
        </w:rPr>
        <w:t>的“国家天气站业务可用性98.5%以上，</w:t>
      </w:r>
      <w:r>
        <w:rPr>
          <w:rFonts w:hint="eastAsia" w:ascii="宋体" w:hAnsi="宋体" w:cs="宋体"/>
          <w:sz w:val="24"/>
          <w:szCs w:val="24"/>
        </w:rPr>
        <w:t>省级自动站业务可用性90%以上</w:t>
      </w:r>
      <w:r>
        <w:rPr>
          <w:rFonts w:hint="eastAsia" w:ascii="宋体" w:hAnsi="宋体" w:cs="宋体"/>
          <w:sz w:val="24"/>
          <w:szCs w:val="24"/>
          <w:lang w:val="en-US" w:eastAsia="zh-CN"/>
        </w:rPr>
        <w:t>，</w:t>
      </w:r>
      <w:r>
        <w:rPr>
          <w:rFonts w:hint="eastAsia" w:ascii="宋体" w:hAnsi="宋体" w:cs="宋体"/>
          <w:b w:val="0"/>
          <w:bCs w:val="0"/>
          <w:sz w:val="24"/>
          <w:szCs w:val="24"/>
          <w:lang w:val="en-US" w:eastAsia="zh-CN"/>
        </w:rPr>
        <w:t>国家、省级自动站</w:t>
      </w:r>
      <w:r>
        <w:rPr>
          <w:rFonts w:hint="eastAsia" w:ascii="宋体" w:hAnsi="宋体" w:cs="宋体"/>
          <w:sz w:val="24"/>
          <w:szCs w:val="24"/>
          <w:lang w:val="en-US" w:eastAsia="zh-CN"/>
        </w:rPr>
        <w:t>数据传输率不低于96%）</w:t>
      </w:r>
      <w:r>
        <w:rPr>
          <w:rFonts w:hint="eastAsia" w:ascii="宋体" w:hAnsi="宋体" w:eastAsia="宋体" w:cs="宋体"/>
          <w:sz w:val="24"/>
          <w:szCs w:val="24"/>
          <w:lang w:val="en-US" w:eastAsia="zh-CN"/>
        </w:rPr>
        <w:t>，优先保障</w:t>
      </w:r>
      <w:r>
        <w:rPr>
          <w:rFonts w:hint="eastAsia" w:ascii="宋体" w:hAnsi="宋体" w:eastAsia="宋体" w:cs="宋体"/>
          <w:sz w:val="24"/>
          <w:szCs w:val="24"/>
          <w:highlight w:val="none"/>
          <w:lang w:val="en-US" w:eastAsia="zh-CN"/>
        </w:rPr>
        <w:t>考核站业</w:t>
      </w:r>
      <w:r>
        <w:rPr>
          <w:rFonts w:hint="eastAsia" w:ascii="宋体" w:hAnsi="宋体" w:eastAsia="宋体" w:cs="宋体"/>
          <w:sz w:val="24"/>
          <w:szCs w:val="24"/>
          <w:lang w:val="en-US" w:eastAsia="zh-CN"/>
        </w:rPr>
        <w:t>务质量。如遇特殊情况应及时向采购人说明，经采购人审核同意后可适当降低要求。</w:t>
      </w:r>
    </w:p>
    <w:p w14:paraId="52C05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落地自动站铁塔定期巡检：乙方应依据规范、制度要求定期开展综合观测装备日常维护工作。对于未达到使用寿命的、运行情况良好的气象观测铁塔，应至少每季度巡检1次铁塔。巡检内容：场地是否完整、塔体垂直度是否在允许范围、拉线是否正常、地锚是否有松动迹象、连接件是否紧固、铁塔平台锁是否正常、防雷设备是否正常、仪器安装横臂是否正常、各种传感器等是否正常等。</w:t>
      </w:r>
    </w:p>
    <w:p w14:paraId="1F2C0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维修办法：</w:t>
      </w:r>
      <w:r>
        <w:rPr>
          <w:rFonts w:hint="eastAsia" w:ascii="宋体" w:hAnsi="宋体" w:eastAsia="宋体" w:cs="宋体"/>
          <w:sz w:val="24"/>
          <w:szCs w:val="24"/>
          <w:lang w:eastAsia="zh-CN"/>
        </w:rPr>
        <w:t>成交供应商</w:t>
      </w:r>
      <w:r>
        <w:rPr>
          <w:rFonts w:hint="eastAsia" w:ascii="宋体" w:hAnsi="宋体" w:eastAsia="宋体" w:cs="宋体"/>
          <w:sz w:val="24"/>
          <w:szCs w:val="24"/>
        </w:rPr>
        <w:t>每次巡查维护和不定期故障修复均需带1-2套易损设备做备用替换设备。对轻微的、明显的故障能现场处理的则现场处理解决；对一时难于判断或修复时间较长的故障一般采用更换设备的方法解决。</w:t>
      </w:r>
    </w:p>
    <w:p w14:paraId="2F3D7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维护设备及工具：</w:t>
      </w:r>
      <w:r>
        <w:rPr>
          <w:rFonts w:hint="eastAsia" w:ascii="宋体" w:hAnsi="宋体" w:eastAsia="宋体" w:cs="宋体"/>
          <w:sz w:val="24"/>
          <w:szCs w:val="24"/>
          <w:lang w:eastAsia="zh-CN"/>
        </w:rPr>
        <w:t>采购人</w:t>
      </w:r>
      <w:r>
        <w:rPr>
          <w:rFonts w:hint="eastAsia" w:ascii="宋体" w:hAnsi="宋体" w:eastAsia="宋体" w:cs="宋体"/>
          <w:sz w:val="24"/>
          <w:szCs w:val="24"/>
        </w:rPr>
        <w:t>为</w:t>
      </w:r>
      <w:r>
        <w:rPr>
          <w:rFonts w:hint="eastAsia" w:ascii="宋体" w:hAnsi="宋体" w:eastAsia="宋体" w:cs="宋体"/>
          <w:sz w:val="24"/>
          <w:szCs w:val="24"/>
          <w:lang w:eastAsia="zh-CN"/>
        </w:rPr>
        <w:t>成交供应商</w:t>
      </w:r>
      <w:r>
        <w:rPr>
          <w:rFonts w:hint="eastAsia" w:ascii="宋体" w:hAnsi="宋体" w:eastAsia="宋体" w:cs="宋体"/>
          <w:sz w:val="24"/>
          <w:szCs w:val="24"/>
        </w:rPr>
        <w:t>提供自动站备用设备</w:t>
      </w:r>
      <w:r>
        <w:rPr>
          <w:rFonts w:hint="eastAsia" w:ascii="宋体" w:hAnsi="宋体" w:eastAsia="宋体" w:cs="宋体"/>
          <w:sz w:val="24"/>
          <w:szCs w:val="24"/>
          <w:lang w:val="en-US" w:eastAsia="zh-CN"/>
        </w:rPr>
        <w:t>3套</w:t>
      </w:r>
      <w:r>
        <w:rPr>
          <w:rFonts w:hint="eastAsia" w:ascii="宋体" w:hAnsi="宋体" w:eastAsia="宋体" w:cs="宋体"/>
          <w:sz w:val="24"/>
          <w:szCs w:val="24"/>
        </w:rPr>
        <w:t>，包括：DTU</w:t>
      </w:r>
      <w:r>
        <w:rPr>
          <w:rFonts w:hint="eastAsia" w:ascii="宋体" w:hAnsi="宋体" w:eastAsia="宋体" w:cs="宋体"/>
          <w:sz w:val="24"/>
          <w:szCs w:val="24"/>
          <w:lang w:val="en-US" w:eastAsia="zh-CN"/>
        </w:rPr>
        <w:t>3</w:t>
      </w:r>
      <w:r>
        <w:rPr>
          <w:rFonts w:hint="eastAsia" w:ascii="宋体" w:hAnsi="宋体" w:eastAsia="宋体" w:cs="宋体"/>
          <w:sz w:val="24"/>
          <w:szCs w:val="24"/>
        </w:rPr>
        <w:t>个、室内采集器</w:t>
      </w:r>
      <w:r>
        <w:rPr>
          <w:rFonts w:hint="eastAsia" w:ascii="宋体" w:hAnsi="宋体" w:eastAsia="宋体" w:cs="宋体"/>
          <w:sz w:val="24"/>
          <w:szCs w:val="24"/>
          <w:lang w:val="en-US" w:eastAsia="zh-CN"/>
        </w:rPr>
        <w:t>3</w:t>
      </w:r>
      <w:r>
        <w:rPr>
          <w:rFonts w:hint="eastAsia" w:ascii="宋体" w:hAnsi="宋体" w:eastAsia="宋体" w:cs="宋体"/>
          <w:sz w:val="24"/>
          <w:szCs w:val="24"/>
        </w:rPr>
        <w:t>个、温度传感器</w:t>
      </w:r>
      <w:r>
        <w:rPr>
          <w:rFonts w:hint="eastAsia" w:ascii="宋体" w:hAnsi="宋体" w:eastAsia="宋体" w:cs="宋体"/>
          <w:sz w:val="24"/>
          <w:szCs w:val="24"/>
          <w:lang w:val="en-US" w:eastAsia="zh-CN"/>
        </w:rPr>
        <w:t>3</w:t>
      </w:r>
      <w:r>
        <w:rPr>
          <w:rFonts w:hint="eastAsia" w:ascii="宋体" w:hAnsi="宋体" w:eastAsia="宋体" w:cs="宋体"/>
          <w:sz w:val="24"/>
          <w:szCs w:val="24"/>
        </w:rPr>
        <w:t>个、天津风</w:t>
      </w:r>
      <w:r>
        <w:rPr>
          <w:rFonts w:hint="eastAsia" w:ascii="宋体" w:hAnsi="宋体" w:eastAsia="宋体" w:cs="宋体"/>
          <w:sz w:val="24"/>
          <w:szCs w:val="24"/>
          <w:lang w:eastAsia="zh-CN"/>
        </w:rPr>
        <w:t>传感器</w:t>
      </w:r>
      <w:r>
        <w:rPr>
          <w:rFonts w:hint="eastAsia" w:ascii="宋体" w:hAnsi="宋体" w:eastAsia="宋体" w:cs="宋体"/>
          <w:sz w:val="24"/>
          <w:szCs w:val="24"/>
          <w:lang w:val="en-US" w:eastAsia="zh-CN"/>
        </w:rPr>
        <w:t>3</w:t>
      </w:r>
      <w:r>
        <w:rPr>
          <w:rFonts w:hint="eastAsia" w:ascii="宋体" w:hAnsi="宋体" w:eastAsia="宋体" w:cs="宋体"/>
          <w:sz w:val="24"/>
          <w:szCs w:val="24"/>
        </w:rPr>
        <w:t>套、电源板</w:t>
      </w:r>
      <w:r>
        <w:rPr>
          <w:rFonts w:hint="eastAsia" w:ascii="宋体" w:hAnsi="宋体" w:eastAsia="宋体" w:cs="宋体"/>
          <w:sz w:val="24"/>
          <w:szCs w:val="24"/>
          <w:lang w:val="en-US" w:eastAsia="zh-CN"/>
        </w:rPr>
        <w:t>4</w:t>
      </w:r>
      <w:r>
        <w:rPr>
          <w:rFonts w:hint="eastAsia" w:ascii="宋体" w:hAnsi="宋体" w:eastAsia="宋体" w:cs="宋体"/>
          <w:sz w:val="24"/>
          <w:szCs w:val="24"/>
        </w:rPr>
        <w:t>块、DTU数据线，</w:t>
      </w:r>
      <w:r>
        <w:rPr>
          <w:rFonts w:hint="eastAsia" w:ascii="宋体" w:hAnsi="宋体" w:eastAsia="宋体" w:cs="宋体"/>
          <w:sz w:val="24"/>
          <w:szCs w:val="24"/>
          <w:lang w:eastAsia="zh-CN"/>
        </w:rPr>
        <w:t>成交供应商</w:t>
      </w:r>
      <w:r>
        <w:rPr>
          <w:rFonts w:hint="eastAsia" w:ascii="宋体" w:hAnsi="宋体" w:eastAsia="宋体" w:cs="宋体"/>
          <w:sz w:val="24"/>
          <w:szCs w:val="24"/>
        </w:rPr>
        <w:t>维护时根据需要联系</w:t>
      </w:r>
      <w:r>
        <w:rPr>
          <w:rFonts w:hint="eastAsia" w:ascii="宋体" w:hAnsi="宋体" w:eastAsia="宋体" w:cs="宋体"/>
          <w:sz w:val="24"/>
          <w:szCs w:val="24"/>
          <w:lang w:eastAsia="zh-CN"/>
        </w:rPr>
        <w:t>采购人</w:t>
      </w:r>
      <w:r>
        <w:rPr>
          <w:rFonts w:hint="eastAsia" w:ascii="宋体" w:hAnsi="宋体" w:eastAsia="宋体" w:cs="宋体"/>
          <w:sz w:val="24"/>
          <w:szCs w:val="24"/>
        </w:rPr>
        <w:t>提交使用；除此以外的维护工具，如电脑、数码相机、胶钳、螺丝刀、扳手、电烙铁、万用表等由</w:t>
      </w:r>
      <w:r>
        <w:rPr>
          <w:rFonts w:hint="eastAsia" w:ascii="宋体" w:hAnsi="宋体" w:eastAsia="宋体" w:cs="宋体"/>
          <w:sz w:val="24"/>
          <w:szCs w:val="24"/>
          <w:lang w:eastAsia="zh-CN"/>
        </w:rPr>
        <w:t>成交供应商</w:t>
      </w:r>
      <w:r>
        <w:rPr>
          <w:rFonts w:hint="eastAsia" w:ascii="宋体" w:hAnsi="宋体" w:eastAsia="宋体" w:cs="宋体"/>
          <w:sz w:val="24"/>
          <w:szCs w:val="24"/>
        </w:rPr>
        <w:t>自备。</w:t>
      </w:r>
    </w:p>
    <w:p w14:paraId="23535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联系要求：</w:t>
      </w:r>
      <w:r>
        <w:rPr>
          <w:rFonts w:hint="eastAsia" w:ascii="宋体" w:hAnsi="宋体" w:eastAsia="宋体" w:cs="宋体"/>
          <w:sz w:val="24"/>
          <w:szCs w:val="24"/>
          <w:lang w:val="en-US" w:eastAsia="zh-CN"/>
        </w:rPr>
        <w:t>采购人可以在任何时间通知成交供应商专职维护人员处理设备故障，成交供应商应保证技术支持电话24小时开通。</w:t>
      </w:r>
    </w:p>
    <w:p w14:paraId="56F60A10">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3DE8A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附件1：</w:t>
      </w:r>
    </w:p>
    <w:p w14:paraId="366E626D">
      <w:pPr>
        <w:spacing w:line="360" w:lineRule="auto"/>
        <w:jc w:val="center"/>
        <w:rPr>
          <w:rFonts w:hint="default"/>
          <w:lang w:val="en-US" w:eastAsia="zh-CN"/>
        </w:rPr>
      </w:pPr>
      <w:r>
        <w:rPr>
          <w:rFonts w:hint="eastAsia" w:ascii="黑体" w:hAnsi="黑体" w:eastAsia="黑体" w:cs="宋体"/>
          <w:sz w:val="36"/>
          <w:szCs w:val="36"/>
          <w:lang w:val="en-US" w:eastAsia="zh-CN"/>
        </w:rPr>
        <w:t>2025</w:t>
      </w:r>
      <w:r>
        <w:rPr>
          <w:rFonts w:hint="eastAsia" w:ascii="黑体" w:hAnsi="黑体" w:eastAsia="黑体" w:cs="宋体"/>
          <w:sz w:val="36"/>
          <w:szCs w:val="36"/>
        </w:rPr>
        <w:t>阳春市气象局区域自动气象站情况表</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336"/>
        <w:gridCol w:w="913"/>
        <w:gridCol w:w="1812"/>
        <w:gridCol w:w="991"/>
        <w:gridCol w:w="1487"/>
        <w:gridCol w:w="1212"/>
        <w:gridCol w:w="957"/>
      </w:tblGrid>
      <w:tr w14:paraId="4971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216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序号</w:t>
            </w:r>
          </w:p>
        </w:tc>
        <w:tc>
          <w:tcPr>
            <w:tcW w:w="7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D956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地址</w:t>
            </w:r>
          </w:p>
        </w:tc>
        <w:tc>
          <w:tcPr>
            <w:tcW w:w="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3DB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站号</w:t>
            </w:r>
          </w:p>
        </w:tc>
        <w:tc>
          <w:tcPr>
            <w:tcW w:w="9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0CBA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自动站位置</w:t>
            </w:r>
          </w:p>
        </w:tc>
        <w:tc>
          <w:tcPr>
            <w:tcW w:w="5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C3CD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供电</w:t>
            </w:r>
          </w:p>
        </w:tc>
        <w:tc>
          <w:tcPr>
            <w:tcW w:w="8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B16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风塔</w:t>
            </w:r>
          </w:p>
        </w:tc>
        <w:tc>
          <w:tcPr>
            <w:tcW w:w="6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4072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考核标准</w:t>
            </w:r>
          </w:p>
        </w:tc>
        <w:tc>
          <w:tcPr>
            <w:tcW w:w="5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162C9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备注</w:t>
            </w:r>
          </w:p>
        </w:tc>
      </w:tr>
      <w:tr w14:paraId="7519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D114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1B2A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河口镇政府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DB716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629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镇政府大院山坡上</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CD25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4739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8B19C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国考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E05D330">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C19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215B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2C7821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八甲镇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074F3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1FC4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上马山文化广场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09EA4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1BE110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1BA0C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国考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20E2FC2">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1267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83027C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DD58B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F021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0C30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圭岗河桥头</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A8943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A3B46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74E4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国考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5AEC387">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48EE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B6B8D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33FF0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河朗镇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225AE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8EA8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河朗高速出口左侧</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85555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889D1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57EC64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国考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41CD7F2">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2207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571AFEA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25697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河西崆峒岩</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BF650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AB10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河西崆峒岩风景区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1646A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E43C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4CB7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BB6616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296C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613CC0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17F02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河西莲花仔</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74DE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9C3F4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莲花仔</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0FCD3C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7EC98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55ED8A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03FE2EA">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5F6D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835DE9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8B529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春城头堡</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0BC9D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3E30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头堡小学</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60301E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BBCE6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C145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2A7496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37C2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C1F9B0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D071C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陂面潭潦</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C3E8C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19D7D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潭潦小学</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08C3E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7556B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74B1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61C0555">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12F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A70D36A">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3A79F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石望潭必塘</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08698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8043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潭必塘水库</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D81C6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AB9C9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270DF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C85E114">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B91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B5919F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243416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圭岗大河</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837AD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8FE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大河水库</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5773FF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74A7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291C8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4080B84E">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1E5E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441AB5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676F1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圭岗大朗</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67A69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31C0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大朗村旱坪</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6BD014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0B61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F978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9F776C1">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4286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B92A5A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6431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圭岗花滩林场</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775F3F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6B62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花滩林场检查站东</w:t>
            </w:r>
            <w:r>
              <w:rPr>
                <w:rStyle w:val="20"/>
                <w:rFonts w:hint="eastAsia" w:asciiTheme="minorEastAsia" w:hAnsiTheme="minorEastAsia" w:eastAsiaTheme="minorEastAsia" w:cstheme="minorEastAsia"/>
                <w:b w:val="0"/>
                <w:bCs w:val="0"/>
                <w:color w:val="auto"/>
                <w:sz w:val="21"/>
                <w:szCs w:val="21"/>
                <w:highlight w:val="none"/>
                <w:lang w:val="en-US" w:eastAsia="zh-CN" w:bidi="ar"/>
              </w:rPr>
              <w:t>500</w:t>
            </w:r>
            <w:r>
              <w:rPr>
                <w:rStyle w:val="21"/>
                <w:rFonts w:hint="eastAsia" w:asciiTheme="minorEastAsia" w:hAnsiTheme="minorEastAsia" w:eastAsiaTheme="minorEastAsia" w:cstheme="minorEastAsia"/>
                <w:b w:val="0"/>
                <w:bCs w:val="0"/>
                <w:color w:val="auto"/>
                <w:sz w:val="21"/>
                <w:szCs w:val="21"/>
                <w:highlight w:val="none"/>
                <w:lang w:val="en-US" w:eastAsia="zh-CN" w:bidi="ar"/>
              </w:rPr>
              <w:t>米</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6C5C6C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BD855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1EF5E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18A98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4B8C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681E80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FB444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圭岗羊笪水库</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1A9F1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A5D48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羊笪水库旁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5A1986EA">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17C585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9A9C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65AE9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40DC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B1DF17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88BD6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河朗凌霄岩</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3DE2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D0822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凌霄岩景区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46A8C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1539E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BB712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D5B67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2007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79CDFA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04EFA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河朗白岭仔</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9A74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E8B4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白岭仔茶厂</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DFF56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BA17D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3D72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645380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3341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DB5683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C2EB4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马水砂底坑</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0C715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A7C32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砂底坑水库</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C723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D2B2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89C3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09769A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295B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847938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7AF7C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马水黄九垌</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25AC5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1817E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石菉村黄九垌</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30DC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90A8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1FE5B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2FD991D">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B45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CDB71F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8E55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马水新风</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B59EC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GQ059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1B114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新兴铸管与东风水库旁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9C415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486DED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1D4F9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1DC5D8E">
            <w:pPr>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r>
      <w:tr w14:paraId="729E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C15917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9AB62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永宁新沙</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B2F9E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652C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新沙村</w:t>
            </w:r>
            <w:r>
              <w:rPr>
                <w:rStyle w:val="20"/>
                <w:rFonts w:hint="eastAsia" w:asciiTheme="minorEastAsia" w:hAnsiTheme="minorEastAsia" w:eastAsiaTheme="minorEastAsia" w:cstheme="minorEastAsia"/>
                <w:b w:val="0"/>
                <w:bCs w:val="0"/>
                <w:color w:val="auto"/>
                <w:sz w:val="21"/>
                <w:szCs w:val="21"/>
                <w:highlight w:val="none"/>
                <w:lang w:val="en-US" w:eastAsia="zh-CN" w:bidi="ar"/>
              </w:rPr>
              <w:t>591</w:t>
            </w:r>
            <w:r>
              <w:rPr>
                <w:rStyle w:val="21"/>
                <w:rFonts w:hint="eastAsia" w:asciiTheme="minorEastAsia" w:hAnsiTheme="minorEastAsia" w:eastAsiaTheme="minorEastAsia" w:cstheme="minorEastAsia"/>
                <w:b w:val="0"/>
                <w:bCs w:val="0"/>
                <w:color w:val="auto"/>
                <w:sz w:val="21"/>
                <w:szCs w:val="21"/>
                <w:highlight w:val="none"/>
                <w:lang w:val="en-US" w:eastAsia="zh-CN" w:bidi="ar"/>
              </w:rPr>
              <w:t>县道旁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6DCAF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4F5A9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29506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AEC2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32A2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BAA20B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B83D8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永宁棠梨</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73F3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CD90E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棠梨村卫生站旁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42C74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57773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640EF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D5D0B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0C29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052ECD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28A16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永宁信蓬</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92455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GQ060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60B5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信蓬村乌石古</w:t>
            </w:r>
            <w:r>
              <w:rPr>
                <w:rStyle w:val="20"/>
                <w:rFonts w:hint="eastAsia" w:asciiTheme="minorEastAsia" w:hAnsiTheme="minorEastAsia" w:eastAsiaTheme="minorEastAsia" w:cstheme="minorEastAsia"/>
                <w:b w:val="0"/>
                <w:bCs w:val="0"/>
                <w:color w:val="auto"/>
                <w:sz w:val="21"/>
                <w:szCs w:val="21"/>
                <w:highlight w:val="none"/>
                <w:lang w:val="en-US" w:eastAsia="zh-CN" w:bidi="ar"/>
              </w:rPr>
              <w:t>X591</w:t>
            </w:r>
            <w:r>
              <w:rPr>
                <w:rStyle w:val="21"/>
                <w:rFonts w:hint="eastAsia" w:asciiTheme="minorEastAsia" w:hAnsiTheme="minorEastAsia" w:eastAsiaTheme="minorEastAsia" w:cstheme="minorEastAsia"/>
                <w:b w:val="0"/>
                <w:bCs w:val="0"/>
                <w:color w:val="auto"/>
                <w:sz w:val="21"/>
                <w:szCs w:val="21"/>
                <w:highlight w:val="none"/>
                <w:lang w:val="en-US" w:eastAsia="zh-CN" w:bidi="ar"/>
              </w:rPr>
              <w:t>国道旁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3FDE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D6566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91392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414A6BC">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7A15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17A48C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33FB0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潭水镇政府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52E7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C257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9EA2B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75ED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5C329F8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85D4F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503D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6386B45">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2BE4A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潭水盘新</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F713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C3AC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盘新村鳜鱼苗养殖场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828AA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123AEB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23662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A1A0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0B0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526E7A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569BE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三甲大新</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BB6FF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50F2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大新村石湾</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5785AA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1BC64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65EC2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95449B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1936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4D7F6B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3A7DF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八甲抽水蓄能</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02B74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987B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抽水蓄能</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F8016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415851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5408B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231C1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034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38A58C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2BECB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双滘永水</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15FD2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GQ057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19383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永水桥旁</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3B7F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4AC3F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148B8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E2102CE">
            <w:pPr>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r>
      <w:tr w14:paraId="5B7F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D99596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5A310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9560D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G2306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8D50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岗美镇政府前面管委办公楼顶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48B6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49AB6A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8DFA1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666F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243D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FE09E9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C11DF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岗美灵山</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C915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E2C3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灵山固体废弃站门口</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E7C10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436C8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4B11E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FAE7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9A0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31F2065">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271258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岗美黄塘</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686F2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81B74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黄塘华侨办事处社区西南</w:t>
            </w:r>
            <w:r>
              <w:rPr>
                <w:rStyle w:val="20"/>
                <w:rFonts w:hint="eastAsia" w:asciiTheme="minorEastAsia" w:hAnsiTheme="minorEastAsia" w:eastAsiaTheme="minorEastAsia" w:cstheme="minorEastAsia"/>
                <w:b w:val="0"/>
                <w:bCs w:val="0"/>
                <w:color w:val="auto"/>
                <w:sz w:val="21"/>
                <w:szCs w:val="21"/>
                <w:highlight w:val="none"/>
                <w:lang w:val="en-US" w:eastAsia="zh-CN" w:bidi="ar"/>
              </w:rPr>
              <w:t>391</w:t>
            </w:r>
            <w:r>
              <w:rPr>
                <w:rStyle w:val="21"/>
                <w:rFonts w:hint="eastAsia" w:asciiTheme="minorEastAsia" w:hAnsiTheme="minorEastAsia" w:eastAsiaTheme="minorEastAsia" w:cstheme="minorEastAsia"/>
                <w:b w:val="0"/>
                <w:bCs w:val="0"/>
                <w:color w:val="auto"/>
                <w:sz w:val="21"/>
                <w:szCs w:val="21"/>
                <w:highlight w:val="none"/>
                <w:lang w:val="en-US" w:eastAsia="zh-CN" w:bidi="ar"/>
              </w:rPr>
              <w:t>米</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01049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F7034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D975F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F018F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3C45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D7004F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1C919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岗美屋面塘</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6AD60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DFB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轮塘村屋面塘</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62B924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D5288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05124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9E4DAAA">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1AD1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5A9363A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C18E4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岗美黄村</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0688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GQ058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953D5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黄村村御泉湾</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0B901E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4CB4B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267BE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89815A7">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D1D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CF4500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B5AC2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河口石龙岭</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62AD9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GQ038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795DB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石龙岭水库</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C27AB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2BF2E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AFE74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1D3B2C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7F8B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389849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7BAF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河口响水仔</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AD2CD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GQ047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986B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响水仔水库</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7EE5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74FB2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AB8AE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C4DBC8B">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2F93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7D13D2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9F8A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春湾镇政府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CDD5A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62D8B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37C30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26DB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0D63F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省考</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23AFCC3">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7112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5E1C5E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B2F7F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陂面镇政府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729418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708FC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C96FE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C1C0A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C8400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D0DC493">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6BF6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A3CE4E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B0C3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石望镇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875EB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6B65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石望文化楼顶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4DD4C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50034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D40D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D147A3A">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75CE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F79432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3760B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石录春都温泉</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A70B5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G7144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1FF6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春都温泉风景区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28755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8734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090AA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F4FEA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3701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3E6E27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6BB29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655FA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7CAA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E2D5C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22E5D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0350C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DCE0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093D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3BC723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F00F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永宁镇新合小学</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69AC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B16F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教学楼楼顶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D15DB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D9496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E1539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57EA0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F71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11B32FC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7B0DE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勾髻顶</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054F5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95D32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永宁勾髻顶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475B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B919D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B40B2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CA9150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22EF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B304DB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244BD8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马水镇政府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17CC9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75E99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6B379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4831D7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DAE63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43410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0FFE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CAFBA5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771F3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三甲镇政府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B7644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75F71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513DD1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349B63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90407F8">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1089CFB">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61B2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FA90E9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6F233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三甲山坪</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BF49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518B8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旧村委会楼顶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3663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954E4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5DFBB061">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F8F8B77">
            <w:pPr>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r>
      <w:tr w14:paraId="5477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F76912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7EBC6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三甲三叶农场</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859BB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CD685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三叶农场代月队</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0CC978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B4F2E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536AE4F">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C07AA15">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2AFE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F1B082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55646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圭岗镇那柳村委会</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9D01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C7D93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0E8AB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市电</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1605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AFA4F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43AE0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BBC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70A57F0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B36A9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八甲三叶农场</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9C487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747B8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乔连18队茶亭坳</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661E8F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5814D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8AA135F">
            <w:pPr>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89142E6">
            <w:pPr>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r>
      <w:tr w14:paraId="5910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C1993A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FA5A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双滘镇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044BAC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FD71C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双滘中学教学楼楼顶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01B8F1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0BB80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B0FD627">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D4910F7">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6B7E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20D661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4FF17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双滘三叶农场</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5DEDD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AD8A8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卫星五队西150米</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0A8521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5F7002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B2B17FD">
            <w:pP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005C409">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6159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5C97CD6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E928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岗美镇轮源村委会</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86D34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4E31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EDDC3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3814D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58674E0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8149A54">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2E67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E1C644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EF62B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河口镇上双村委会</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318CC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4A19C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401C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F356F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85A452A">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F313265">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r w14:paraId="120D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43B534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51</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F95AF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春湾镇卫国村委会</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85715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G2365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ECE9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797E022">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C8023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92100AE">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FAF2306">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2B82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2DF0C1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52</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EB573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春湾石林</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4D030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G7143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3B84A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春湾石林风景区</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25028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1F706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66D26CE">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4F18E0E">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53DE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29EF2A1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53</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1B993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松柏镇</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14295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90DA4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大塘岗村委会楼顶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1B760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6ECA2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6290474E">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04643A14">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6E96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380F26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54</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E8A5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松柏镇云容村委会</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A2DA5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G2372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9015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村委会楼顶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32363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1E3930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7F64FEC">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80F16C2">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51BF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3B7251EA">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55</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054645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春城松木岗</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3AE3C5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G7353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531B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气象局松木岗</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4DA790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1F0F7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9033E7C">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2728A1A3">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0405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6E999B3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56</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3FA009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春城第一中学</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64746E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G7141 </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A984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饭堂旁山坡半山腰处</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B4DC8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201264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164C4C3B">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A36F431">
            <w:pPr>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14:paraId="70DD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5B22958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57</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637AC5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金花坑</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AB981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G7142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EFFE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春城蟠龙金花坑</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3C861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096B1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4785BB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9967A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76F0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357487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58</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0CE89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合水镇政府</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24F0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75A96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办公楼楼顶</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7CD75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0D059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7D39D2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FD42D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1D22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0D90955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59</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76551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春城舒适度</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59CC3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G7145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02CCD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气象局大院内</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1FD694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太阳能</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7C53C2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319FEA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7A4CD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p>
        </w:tc>
      </w:tr>
      <w:tr w14:paraId="068B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09" w:type="pct"/>
            <w:tcBorders>
              <w:top w:val="nil"/>
              <w:left w:val="single" w:color="000000" w:sz="8" w:space="0"/>
              <w:bottom w:val="single" w:color="000000" w:sz="8" w:space="0"/>
              <w:right w:val="single" w:color="000000" w:sz="8" w:space="0"/>
            </w:tcBorders>
            <w:shd w:val="clear" w:color="auto" w:fill="auto"/>
            <w:vAlign w:val="center"/>
          </w:tcPr>
          <w:p w14:paraId="495D32B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60</w:t>
            </w:r>
          </w:p>
        </w:tc>
        <w:tc>
          <w:tcPr>
            <w:tcW w:w="719" w:type="pct"/>
            <w:tcBorders>
              <w:top w:val="nil"/>
              <w:left w:val="single" w:color="000000" w:sz="8" w:space="0"/>
              <w:bottom w:val="single" w:color="000000" w:sz="8" w:space="0"/>
              <w:right w:val="single" w:color="000000" w:sz="8" w:space="0"/>
            </w:tcBorders>
            <w:shd w:val="clear" w:color="auto" w:fill="auto"/>
            <w:vAlign w:val="center"/>
          </w:tcPr>
          <w:p w14:paraId="4FEED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春城回南天</w:t>
            </w:r>
          </w:p>
        </w:tc>
        <w:tc>
          <w:tcPr>
            <w:tcW w:w="491" w:type="pct"/>
            <w:tcBorders>
              <w:top w:val="nil"/>
              <w:left w:val="single" w:color="000000" w:sz="8" w:space="0"/>
              <w:bottom w:val="single" w:color="000000" w:sz="8" w:space="0"/>
              <w:right w:val="single" w:color="000000" w:sz="8" w:space="0"/>
            </w:tcBorders>
            <w:shd w:val="clear" w:color="auto" w:fill="auto"/>
            <w:vAlign w:val="center"/>
          </w:tcPr>
          <w:p w14:paraId="4E13E1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G2371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40F6CA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气象局一楼</w:t>
            </w:r>
          </w:p>
        </w:tc>
        <w:tc>
          <w:tcPr>
            <w:tcW w:w="533" w:type="pct"/>
            <w:tcBorders>
              <w:top w:val="nil"/>
              <w:left w:val="single" w:color="000000" w:sz="8" w:space="0"/>
              <w:bottom w:val="single" w:color="000000" w:sz="8" w:space="0"/>
              <w:right w:val="single" w:color="000000" w:sz="8" w:space="0"/>
            </w:tcBorders>
            <w:shd w:val="clear" w:color="auto" w:fill="auto"/>
            <w:vAlign w:val="center"/>
          </w:tcPr>
          <w:p w14:paraId="2AAB6F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220V</w:t>
            </w:r>
          </w:p>
        </w:tc>
        <w:tc>
          <w:tcPr>
            <w:tcW w:w="800" w:type="pct"/>
            <w:tcBorders>
              <w:top w:val="nil"/>
              <w:left w:val="single" w:color="000000" w:sz="8" w:space="0"/>
              <w:bottom w:val="single" w:color="000000" w:sz="8" w:space="0"/>
              <w:right w:val="single" w:color="000000" w:sz="8" w:space="0"/>
            </w:tcBorders>
            <w:shd w:val="clear" w:color="auto" w:fill="auto"/>
            <w:vAlign w:val="center"/>
          </w:tcPr>
          <w:p w14:paraId="69754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3米</w:t>
            </w:r>
          </w:p>
        </w:tc>
        <w:tc>
          <w:tcPr>
            <w:tcW w:w="653" w:type="pct"/>
            <w:tcBorders>
              <w:top w:val="nil"/>
              <w:left w:val="single" w:color="000000" w:sz="8" w:space="0"/>
              <w:bottom w:val="single" w:color="000000" w:sz="8" w:space="0"/>
              <w:right w:val="single" w:color="000000" w:sz="8" w:space="0"/>
            </w:tcBorders>
            <w:shd w:val="clear" w:color="auto" w:fill="auto"/>
            <w:vAlign w:val="center"/>
          </w:tcPr>
          <w:p w14:paraId="0957919B">
            <w:pPr>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515" w:type="pct"/>
            <w:tcBorders>
              <w:top w:val="nil"/>
              <w:left w:val="single" w:color="000000" w:sz="8" w:space="0"/>
              <w:bottom w:val="single" w:color="000000" w:sz="8" w:space="0"/>
              <w:right w:val="single" w:color="000000" w:sz="8" w:space="0"/>
            </w:tcBorders>
            <w:shd w:val="clear" w:color="auto" w:fill="auto"/>
            <w:vAlign w:val="center"/>
          </w:tcPr>
          <w:p w14:paraId="14682BB6">
            <w:pPr>
              <w:jc w:val="center"/>
              <w:rPr>
                <w:rFonts w:hint="default" w:asciiTheme="minorEastAsia" w:hAnsiTheme="minorEastAsia" w:eastAsiaTheme="minorEastAsia" w:cstheme="minorEastAsia"/>
                <w:b w:val="0"/>
                <w:bCs w:val="0"/>
                <w:i w:val="0"/>
                <w:iCs w:val="0"/>
                <w:color w:val="auto"/>
                <w:sz w:val="21"/>
                <w:szCs w:val="21"/>
                <w:highlight w:val="none"/>
                <w:u w:val="none"/>
                <w:lang w:val="en-US" w:eastAsia="zh-CN"/>
              </w:rPr>
            </w:pPr>
          </w:p>
        </w:tc>
      </w:tr>
    </w:tbl>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3"/>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3"/>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3"/>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3"/>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一</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1"/>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094"/>
        <w:gridCol w:w="1266"/>
        <w:gridCol w:w="2367"/>
        <w:gridCol w:w="1802"/>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3094" w:type="dxa"/>
            <w:vAlign w:val="center"/>
          </w:tcPr>
          <w:p w14:paraId="2D48FB8E">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1266" w:type="dxa"/>
            <w:vAlign w:val="center"/>
          </w:tcPr>
          <w:p w14:paraId="15F6BEBA">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2367" w:type="dxa"/>
            <w:vAlign w:val="center"/>
          </w:tcPr>
          <w:p w14:paraId="53A947A5">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lang w:val="en-US" w:eastAsia="zh-CN"/>
                <w14:textFill>
                  <w14:solidFill>
                    <w14:schemeClr w14:val="tx1"/>
                  </w14:solidFill>
                </w14:textFill>
              </w:rPr>
              <w:t>报价金额（元）</w:t>
            </w:r>
          </w:p>
        </w:tc>
        <w:tc>
          <w:tcPr>
            <w:tcW w:w="1802" w:type="dxa"/>
            <w:vAlign w:val="center"/>
          </w:tcPr>
          <w:p w14:paraId="0A3AF1A5">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服务期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3094" w:type="dxa"/>
            <w:vAlign w:val="center"/>
          </w:tcPr>
          <w:p w14:paraId="17C66877">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lang w:eastAsia="zh-CN"/>
                <w14:textFill>
                  <w14:solidFill>
                    <w14:schemeClr w14:val="tx1"/>
                  </w14:solidFill>
                </w14:textFill>
              </w:rPr>
              <w:t>2025年度阳春市气象局区域自动气象站维护项目</w:t>
            </w:r>
          </w:p>
        </w:tc>
        <w:tc>
          <w:tcPr>
            <w:tcW w:w="1266" w:type="dxa"/>
            <w:vAlign w:val="center"/>
          </w:tcPr>
          <w:p w14:paraId="39596B01">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367" w:type="dxa"/>
            <w:vAlign w:val="center"/>
          </w:tcPr>
          <w:p w14:paraId="138B5131">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802" w:type="dxa"/>
            <w:vAlign w:val="center"/>
          </w:tcPr>
          <w:p w14:paraId="5FA8EB77">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t>壹年</w:t>
            </w: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09FD8895">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0"/>
        <w:numPr>
          <w:ilvl w:val="0"/>
          <w:numId w:val="3"/>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AFCA8D0">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0" w:name="_Toc353522418"/>
      <w:bookmarkStart w:id="1" w:name="_Toc383439879"/>
      <w:bookmarkStart w:id="2" w:name="_Toc357151201"/>
      <w:bookmarkStart w:id="3" w:name="_Toc369180072"/>
      <w:bookmarkStart w:id="4" w:name="_Toc21018"/>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0"/>
      <w:bookmarkEnd w:id="1"/>
      <w:bookmarkEnd w:id="2"/>
      <w:bookmarkEnd w:id="3"/>
      <w:bookmarkEnd w:id="4"/>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26E4FE55">
      <w:pPr>
        <w:snapToGrid w:val="0"/>
        <w:spacing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致</w:t>
      </w:r>
      <w:r>
        <w:rPr>
          <w:rFonts w:hint="eastAsia"/>
          <w:b/>
          <w:color w:val="000000" w:themeColor="text1"/>
          <w:sz w:val="24"/>
          <w:highlight w:val="none"/>
          <w:u w:val="single"/>
          <w:lang w:val="en-US" w:eastAsia="zh-CN"/>
          <w14:textFill>
            <w14:solidFill>
              <w14:schemeClr w14:val="tx1"/>
            </w14:solidFill>
          </w14:textFill>
        </w:rPr>
        <w:t>（采购代理机构）                   </w:t>
      </w:r>
      <w:r>
        <w:rPr>
          <w:rFonts w:hint="eastAsia"/>
          <w:b/>
          <w:color w:val="000000" w:themeColor="text1"/>
          <w:sz w:val="24"/>
          <w:highlight w:val="none"/>
          <w:lang w:val="en-US" w:eastAsia="zh-CN"/>
          <w14:textFill>
            <w14:solidFill>
              <w14:schemeClr w14:val="tx1"/>
            </w14:solidFill>
          </w14:textFill>
        </w:rPr>
        <w:t xml:space="preserve">： </w:t>
      </w:r>
    </w:p>
    <w:p w14:paraId="189A22BC">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日发布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公告，本单位愿意参加</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，并声明：</w:t>
      </w:r>
    </w:p>
    <w:p w14:paraId="4C01A9E3">
      <w:pPr>
        <w:pStyle w:val="19"/>
        <w:numPr>
          <w:ilvl w:val="0"/>
          <w:numId w:val="0"/>
        </w:numPr>
        <w:tabs>
          <w:tab w:val="left" w:pos="851"/>
          <w:tab w:val="left" w:pos="993"/>
        </w:tabs>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具备</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《政府采购法》第二十二条规定的</w:t>
      </w:r>
      <w:r>
        <w:rPr>
          <w:rFonts w:hint="eastAsia" w:ascii="宋体" w:hAnsi="宋体"/>
          <w:bCs/>
          <w:color w:val="000000" w:themeColor="text1"/>
          <w:sz w:val="24"/>
          <w:highlight w:val="none"/>
          <w14:textFill>
            <w14:solidFill>
              <w14:schemeClr w14:val="tx1"/>
            </w14:solidFill>
          </w14:textFill>
        </w:rPr>
        <w:t>以下条件：</w:t>
      </w:r>
    </w:p>
    <w:p w14:paraId="3542A6CA">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lang w:eastAsia="zh-CN"/>
          <w14:textFill>
            <w14:solidFill>
              <w14:schemeClr w14:val="tx1"/>
            </w14:solidFill>
          </w14:textFill>
        </w:rPr>
        <w:t>；</w:t>
      </w:r>
    </w:p>
    <w:p w14:paraId="150E29C1">
      <w:pPr>
        <w:pStyle w:val="19"/>
        <w:widowControl/>
        <w:numPr>
          <w:ilvl w:val="0"/>
          <w:numId w:val="0"/>
        </w:numPr>
        <w:snapToGrid w:val="0"/>
        <w:spacing w:line="360" w:lineRule="auto"/>
        <w:ind w:firstLine="480" w:firstLineChars="200"/>
        <w:rPr>
          <w:rFonts w:hint="eastAsia" w:ascii="宋体" w:hAnsi="宋体"/>
          <w:color w:val="000000" w:themeColor="text1"/>
          <w:kern w:val="2"/>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2.</w:t>
      </w:r>
      <w:r>
        <w:rPr>
          <w:rFonts w:hint="eastAsia" w:ascii="宋体" w:hAnsi="宋体"/>
          <w:color w:val="000000" w:themeColor="text1"/>
          <w:kern w:val="2"/>
          <w:sz w:val="24"/>
          <w:highlight w:val="none"/>
          <w14:textFill>
            <w14:solidFill>
              <w14:schemeClr w14:val="tx1"/>
            </w14:solidFill>
          </w14:textFill>
        </w:rPr>
        <w:t>具有良好的商业信誉和健全的财务会计制度；</w:t>
      </w:r>
    </w:p>
    <w:p w14:paraId="61570DFD">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具有履行合同所必需的设备和专业技术能力；</w:t>
      </w:r>
    </w:p>
    <w:p w14:paraId="37E8BE28">
      <w:pPr>
        <w:pStyle w:val="19"/>
        <w:widowControl/>
        <w:numPr>
          <w:ilvl w:val="0"/>
          <w:numId w:val="0"/>
        </w:num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本单位参加政府采购活动前三年内，在经营活动中没有重大违法记录</w:t>
      </w:r>
      <w:r>
        <w:rPr>
          <w:rFonts w:hint="eastAsia" w:ascii="宋体" w:hAnsi="宋体" w:cs="宋体"/>
          <w:color w:val="000000" w:themeColor="text1"/>
          <w:sz w:val="24"/>
          <w:highlight w:val="none"/>
          <w14:textFill>
            <w14:solidFill>
              <w14:schemeClr w14:val="tx1"/>
            </w14:solidFill>
          </w14:textFill>
        </w:rPr>
        <w:t>；</w:t>
      </w:r>
    </w:p>
    <w:p w14:paraId="77A8E8AC">
      <w:pPr>
        <w:pStyle w:val="19"/>
        <w:widowControl/>
        <w:numPr>
          <w:ilvl w:val="0"/>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法律、行政法规规定的其他条件。</w:t>
      </w:r>
    </w:p>
    <w:p w14:paraId="07400100">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本单位承诺在本次采购活动中，如有违法、违规、弄虚作假行为，所造成的损失、不良后果及法律责任，一律由我单位承担。</w:t>
      </w:r>
    </w:p>
    <w:p w14:paraId="4975B410">
      <w:pPr>
        <w:snapToGrid w:val="0"/>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06E133A2">
      <w:pPr>
        <w:autoSpaceDE w:val="0"/>
        <w:autoSpaceDN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2E90B772">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本声明函必须提供且内容不得擅自删改，否则视为无效投标。</w:t>
      </w:r>
    </w:p>
    <w:p w14:paraId="23AB84FD">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本声明函如有虚假或与事实不符的，作</w:t>
      </w:r>
      <w:r>
        <w:rPr>
          <w:rFonts w:hint="eastAsia" w:ascii="宋体" w:hAnsi="宋体"/>
          <w:b/>
          <w:color w:val="000000" w:themeColor="text1"/>
          <w:sz w:val="24"/>
          <w:highlight w:val="none"/>
          <w14:textFill>
            <w14:solidFill>
              <w14:schemeClr w14:val="tx1"/>
            </w14:solidFill>
          </w14:textFill>
        </w:rPr>
        <w:t>无效</w:t>
      </w:r>
      <w:r>
        <w:rPr>
          <w:rFonts w:hint="eastAsia" w:ascii="宋体" w:hAnsi="宋体"/>
          <w:b/>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处理。</w:t>
      </w:r>
    </w:p>
    <w:p w14:paraId="51894384">
      <w:pPr>
        <w:tabs>
          <w:tab w:val="left" w:pos="426"/>
        </w:tabs>
        <w:snapToGrid w:val="0"/>
        <w:spacing w:line="360" w:lineRule="auto"/>
        <w:rPr>
          <w:rFonts w:ascii="宋体" w:hAnsi="宋体"/>
          <w:bCs/>
          <w:color w:val="000000" w:themeColor="text1"/>
          <w:sz w:val="24"/>
          <w:highlight w:val="none"/>
          <w14:textFill>
            <w14:solidFill>
              <w14:schemeClr w14:val="tx1"/>
            </w14:solidFill>
          </w14:textFill>
        </w:rPr>
      </w:pPr>
    </w:p>
    <w:p w14:paraId="0B2C2183">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报价供应商</w:t>
      </w:r>
      <w:r>
        <w:rPr>
          <w:rFonts w:hint="eastAsia"/>
          <w:b/>
          <w:bCs/>
          <w:color w:val="000000" w:themeColor="text1"/>
          <w:sz w:val="24"/>
          <w:highlight w:val="none"/>
          <w14:textFill>
            <w14:solidFill>
              <w14:schemeClr w14:val="tx1"/>
            </w14:solidFill>
          </w14:textFill>
        </w:rPr>
        <w:t>名称（单位盖公章）：</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p>
    <w:p w14:paraId="50F24EDB">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单位地址：</w:t>
      </w:r>
      <w:r>
        <w:rPr>
          <w:b/>
          <w:bCs/>
          <w:color w:val="000000" w:themeColor="text1"/>
          <w:sz w:val="24"/>
          <w:highlight w:val="none"/>
          <w14:textFill>
            <w14:solidFill>
              <w14:schemeClr w14:val="tx1"/>
            </w14:solidFill>
          </w14:textFill>
        </w:rPr>
        <w:t xml:space="preserve"> </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03CEAE68">
      <w:pPr>
        <w:snapToGrid w:val="0"/>
        <w:spacing w:line="360" w:lineRule="auto"/>
        <w:ind w:firstLine="420"/>
        <w:jc w:val="left"/>
        <w:rPr>
          <w:rFonts w:ascii="黑体" w:hAnsi="黑体" w:eastAsia="黑体"/>
          <w:b/>
          <w:bCs/>
          <w:color w:val="000000" w:themeColor="text1"/>
          <w:sz w:val="32"/>
          <w:szCs w:val="3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日期：</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A103897">
      <w:pPr>
        <w:keepNext/>
        <w:keepLines/>
        <w:pageBreakBefore w:val="0"/>
        <w:widowControl w:val="0"/>
        <w:numPr>
          <w:ilvl w:val="0"/>
          <w:numId w:val="5"/>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5" w:name="_Toc22374"/>
      <w:bookmarkStart w:id="6" w:name="_Toc382404103"/>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四</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5"/>
      <w:bookmarkEnd w:id="6"/>
    </w:p>
    <w:p w14:paraId="3265B40E">
      <w:pPr>
        <w:pStyle w:val="3"/>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3"/>
        <w:rPr>
          <w:rFonts w:hAnsi="宋体"/>
          <w:color w:val="000000" w:themeColor="text1"/>
          <w:sz w:val="21"/>
          <w:highlight w:val="none"/>
          <w14:textFill>
            <w14:solidFill>
              <w14:schemeClr w14:val="tx1"/>
            </w14:solidFill>
          </w14:textFill>
        </w:rPr>
      </w:pPr>
    </w:p>
    <w:p w14:paraId="422B76A1">
      <w:pPr>
        <w:pStyle w:val="3"/>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7" w:name="_Toc341348354"/>
      <w:bookmarkStart w:id="8" w:name="_Toc342312457"/>
      <w:bookmarkStart w:id="9" w:name="_Toc336681594"/>
      <w:bookmarkStart w:id="10" w:name="_Toc343247114"/>
      <w:bookmarkStart w:id="11" w:name="_Toc330460000"/>
      <w:bookmarkStart w:id="12" w:name="_Toc333237692"/>
      <w:bookmarkStart w:id="13" w:name="_Toc332270361"/>
      <w:bookmarkStart w:id="14" w:name="_Toc350756464"/>
      <w:bookmarkStart w:id="15" w:name="_Toc343612934"/>
      <w:bookmarkStart w:id="16" w:name="_Toc331512915"/>
      <w:bookmarkStart w:id="17" w:name="_Toc29726"/>
      <w:bookmarkStart w:id="18" w:name="_Toc333935701"/>
      <w:bookmarkStart w:id="19" w:name="_Toc333935360"/>
      <w:bookmarkStart w:id="20" w:name="_Toc342060389"/>
      <w:bookmarkStart w:id="21" w:name="_Toc342296775"/>
      <w:bookmarkStart w:id="22" w:name="_Toc339020247"/>
      <w:bookmarkStart w:id="23" w:name="_Toc365985192"/>
      <w:bookmarkStart w:id="24" w:name="_Toc336681949"/>
      <w:bookmarkStart w:id="25" w:name="_Toc337632372"/>
      <w:bookmarkStart w:id="26" w:name="_Toc340677084"/>
      <w:bookmarkStart w:id="27" w:name="_Toc343248432"/>
      <w:bookmarkStart w:id="28" w:name="_Toc342398144"/>
      <w:bookmarkStart w:id="29" w:name="_Toc382404104"/>
      <w:bookmarkStart w:id="30" w:name="_Toc366072543"/>
      <w:bookmarkStart w:id="31" w:name="_Toc340672883"/>
      <w:bookmarkStart w:id="32" w:name="_Toc339020029"/>
      <w:bookmarkStart w:id="33" w:name="_Toc339020109"/>
      <w:bookmarkStart w:id="34" w:name="_Toc333238648"/>
      <w:bookmarkStart w:id="35" w:name="_Toc339362314"/>
      <w:bookmarkStart w:id="36" w:name="_Toc331684056"/>
      <w:bookmarkStart w:id="37" w:name="_Toc339019903"/>
      <w:bookmarkStart w:id="38" w:name="_Toc350438763"/>
      <w:bookmarkStart w:id="39" w:name="_Toc333237803"/>
      <w:bookmarkStart w:id="40" w:name="_Toc345312611"/>
      <w:bookmarkStart w:id="41" w:name="_Toc332206723"/>
      <w:bookmarkStart w:id="42" w:name="_Toc365967086"/>
      <w:bookmarkStart w:id="43" w:name="_Toc340507456"/>
      <w:bookmarkStart w:id="44" w:name="_Toc339441101"/>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5"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5"/>
    </w:p>
    <w:p w14:paraId="12E80EA0">
      <w:pPr>
        <w:pStyle w:val="3"/>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4"/>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4"/>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4"/>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3"/>
        <w:spacing w:line="360" w:lineRule="auto"/>
        <w:ind w:left="420" w:firstLine="0"/>
        <w:rPr>
          <w:color w:val="000000" w:themeColor="text1"/>
          <w14:textFill>
            <w14:solidFill>
              <w14:schemeClr w14:val="tx1"/>
            </w14:solidFill>
          </w14:textFill>
        </w:rPr>
      </w:pPr>
    </w:p>
    <w:p w14:paraId="301651AC">
      <w:pPr>
        <w:pStyle w:val="5"/>
        <w:spacing w:line="360" w:lineRule="auto"/>
        <w:rPr>
          <w:rFonts w:hint="default"/>
          <w:lang w:val="en-US" w:eastAsia="zh-CN"/>
        </w:rPr>
      </w:pPr>
      <w:r>
        <w:rPr>
          <w:rFonts w:hint="default"/>
          <w:lang w:val="en-US" w:eastAsia="zh-CN"/>
        </w:rPr>
        <w:t>一、...</w:t>
      </w:r>
    </w:p>
    <w:p w14:paraId="18779960">
      <w:pPr>
        <w:pStyle w:val="5"/>
        <w:spacing w:line="360" w:lineRule="auto"/>
        <w:rPr>
          <w:rFonts w:hint="default"/>
          <w:lang w:val="en-US" w:eastAsia="zh-CN"/>
        </w:rPr>
      </w:pPr>
      <w:r>
        <w:rPr>
          <w:rFonts w:hint="default"/>
          <w:lang w:val="en-US" w:eastAsia="zh-CN"/>
        </w:rPr>
        <w:t>二、...</w:t>
      </w:r>
    </w:p>
    <w:p w14:paraId="418C044A">
      <w:pPr>
        <w:pStyle w:val="5"/>
        <w:spacing w:line="360" w:lineRule="auto"/>
        <w:rPr>
          <w:rFonts w:hint="default"/>
          <w:lang w:val="en-US" w:eastAsia="zh-CN"/>
        </w:rPr>
      </w:pPr>
      <w:r>
        <w:rPr>
          <w:rFonts w:hint="default"/>
          <w:lang w:val="en-US" w:eastAsia="zh-CN"/>
        </w:rPr>
        <w:t>.</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5"/>
        <w:rPr>
          <w:rFonts w:hint="default"/>
          <w:lang w:val="en-US" w:eastAsia="zh-CN"/>
        </w:rPr>
      </w:pPr>
    </w:p>
    <w:sectPr>
      <w:footerReference r:id="rId6"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CAAD"/>
    <w:multiLevelType w:val="singleLevel"/>
    <w:tmpl w:val="DF8DCAAD"/>
    <w:lvl w:ilvl="0" w:tentative="0">
      <w:start w:val="3"/>
      <w:numFmt w:val="chineseCounting"/>
      <w:suff w:val="nothing"/>
      <w:lvlText w:val="（%1）"/>
      <w:lvlJc w:val="left"/>
      <w:rPr>
        <w:rFonts w:hint="eastAsia"/>
      </w:rPr>
    </w:lvl>
  </w:abstractNum>
  <w:abstractNum w:abstractNumId="1">
    <w:nsid w:val="00000026"/>
    <w:multiLevelType w:val="singleLevel"/>
    <w:tmpl w:val="00000026"/>
    <w:lvl w:ilvl="0" w:tentative="0">
      <w:start w:val="1"/>
      <w:numFmt w:val="decimal"/>
      <w:pStyle w:val="16"/>
      <w:lvlText w:val="%1."/>
      <w:lvlJc w:val="left"/>
      <w:pPr>
        <w:tabs>
          <w:tab w:val="left" w:pos="360"/>
        </w:tabs>
        <w:ind w:left="360" w:hanging="36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A359C4"/>
    <w:rsid w:val="19D11E91"/>
    <w:rsid w:val="1B766B5E"/>
    <w:rsid w:val="1C250EB3"/>
    <w:rsid w:val="1FEC7F6D"/>
    <w:rsid w:val="226C6F28"/>
    <w:rsid w:val="22D339DC"/>
    <w:rsid w:val="22D64075"/>
    <w:rsid w:val="28D12DAB"/>
    <w:rsid w:val="2B8463AE"/>
    <w:rsid w:val="2E62580C"/>
    <w:rsid w:val="2EBA5D51"/>
    <w:rsid w:val="34030012"/>
    <w:rsid w:val="37912B85"/>
    <w:rsid w:val="390B667F"/>
    <w:rsid w:val="3F8739BA"/>
    <w:rsid w:val="3FE45E31"/>
    <w:rsid w:val="431A7100"/>
    <w:rsid w:val="454B3FF6"/>
    <w:rsid w:val="458657E5"/>
    <w:rsid w:val="45F24DC1"/>
    <w:rsid w:val="49B605D8"/>
    <w:rsid w:val="4EC730B5"/>
    <w:rsid w:val="52FF37A8"/>
    <w:rsid w:val="56250D86"/>
    <w:rsid w:val="58353010"/>
    <w:rsid w:val="58C23D0D"/>
    <w:rsid w:val="5E7E4D7C"/>
    <w:rsid w:val="6524531B"/>
    <w:rsid w:val="66501C54"/>
    <w:rsid w:val="666B336B"/>
    <w:rsid w:val="6D1014FE"/>
    <w:rsid w:val="6D2B0572"/>
    <w:rsid w:val="73E01F9C"/>
    <w:rsid w:val="7496371F"/>
    <w:rsid w:val="756B2ACF"/>
    <w:rsid w:val="76623B4A"/>
    <w:rsid w:val="7788127B"/>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index 5"/>
    <w:basedOn w:val="1"/>
    <w:next w:val="1"/>
    <w:unhideWhenUsed/>
    <w:qFormat/>
    <w:uiPriority w:val="99"/>
    <w:pPr>
      <w:ind w:left="1680"/>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next w:val="4"/>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paragraph" w:customStyle="1" w:styleId="16">
    <w:name w:val="表格文字"/>
    <w:basedOn w:val="1"/>
    <w:autoRedefine/>
    <w:qFormat/>
    <w:uiPriority w:val="0"/>
    <w:pPr>
      <w:numPr>
        <w:ilvl w:val="0"/>
        <w:numId w:val="2"/>
      </w:numPr>
      <w:tabs>
        <w:tab w:val="clear" w:pos="360"/>
      </w:tabs>
      <w:ind w:left="0" w:firstLine="0"/>
      <w:jc w:val="left"/>
    </w:pPr>
    <w:rPr>
      <w:rFonts w:ascii="Arial" w:hAnsi="Arial" w:eastAsia="仿宋_GB2312" w:cs="Arial"/>
      <w:sz w:val="18"/>
      <w:szCs w:val="18"/>
    </w:rPr>
  </w:style>
  <w:style w:type="paragraph" w:customStyle="1" w:styleId="17">
    <w:name w:val="标题 36"/>
    <w:basedOn w:val="1"/>
    <w:autoRedefine/>
    <w:qFormat/>
    <w:uiPriority w:val="0"/>
    <w:pPr>
      <w:spacing w:before="100" w:beforeAutospacing="1" w:line="288" w:lineRule="auto"/>
    </w:pPr>
    <w:rPr>
      <w:sz w:val="24"/>
    </w:rPr>
  </w:style>
  <w:style w:type="paragraph" w:customStyle="1" w:styleId="1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9">
    <w:name w:val="List Paragraph"/>
    <w:basedOn w:val="1"/>
    <w:qFormat/>
    <w:uiPriority w:val="99"/>
    <w:pPr>
      <w:ind w:firstLine="420" w:firstLineChars="200"/>
    </w:pPr>
  </w:style>
  <w:style w:type="character" w:customStyle="1" w:styleId="20">
    <w:name w:val="font01"/>
    <w:basedOn w:val="13"/>
    <w:qFormat/>
    <w:uiPriority w:val="0"/>
    <w:rPr>
      <w:rFonts w:ascii="Calibri" w:hAnsi="Calibri" w:cs="Calibri"/>
      <w:color w:val="000000"/>
      <w:sz w:val="20"/>
      <w:szCs w:val="20"/>
      <w:u w:val="none"/>
    </w:rPr>
  </w:style>
  <w:style w:type="character" w:customStyle="1" w:styleId="21">
    <w:name w:val="font61"/>
    <w:basedOn w:val="1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15</Pages>
  <Words>3599</Words>
  <Characters>3966</Characters>
  <Lines>29</Lines>
  <Paragraphs>8</Paragraphs>
  <TotalTime>0</TotalTime>
  <ScaleCrop>false</ScaleCrop>
  <LinksUpToDate>false</LinksUpToDate>
  <CharactersWithSpaces>4804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123</cp:lastModifiedBy>
  <cp:lastPrinted>2023-03-10T14:55:00Z</cp:lastPrinted>
  <dcterms:modified xsi:type="dcterms:W3CDTF">2025-06-23T09:22:28Z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