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CA64">
      <w:pPr>
        <w:pStyle w:val="23"/>
        <w:widowControl/>
        <w:adjustRightInd w:val="0"/>
        <w:snapToGrid w:val="0"/>
        <w:spacing w:line="360" w:lineRule="auto"/>
        <w:rPr>
          <w:rFonts w:ascii="黑体" w:eastAsia="黑体"/>
          <w:bCs/>
          <w:color w:val="auto"/>
          <w:sz w:val="32"/>
          <w:highlight w:val="none"/>
        </w:rPr>
      </w:pPr>
      <w:bookmarkStart w:id="0" w:name="_Toc491658631"/>
    </w:p>
    <w:p w14:paraId="39CFB879">
      <w:pPr>
        <w:pStyle w:val="23"/>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A8E624C">
      <w:pPr>
        <w:pStyle w:val="23"/>
        <w:widowControl/>
        <w:adjustRightInd w:val="0"/>
        <w:snapToGrid w:val="0"/>
        <w:spacing w:line="360" w:lineRule="auto"/>
        <w:jc w:val="center"/>
        <w:rPr>
          <w:rFonts w:ascii="黑体" w:eastAsia="黑体"/>
          <w:bCs/>
          <w:color w:val="auto"/>
          <w:sz w:val="52"/>
          <w:szCs w:val="52"/>
          <w:highlight w:val="none"/>
        </w:rPr>
      </w:pPr>
    </w:p>
    <w:p w14:paraId="50C812C6">
      <w:pPr>
        <w:pStyle w:val="23"/>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公开招标</w:t>
      </w:r>
    </w:p>
    <w:p w14:paraId="24922C5E">
      <w:pPr>
        <w:pStyle w:val="23"/>
        <w:widowControl/>
        <w:adjustRightInd w:val="0"/>
        <w:snapToGrid w:val="0"/>
        <w:spacing w:line="360" w:lineRule="auto"/>
        <w:jc w:val="center"/>
        <w:rPr>
          <w:rFonts w:ascii="黑体" w:eastAsia="黑体"/>
          <w:bCs/>
          <w:color w:val="auto"/>
          <w:sz w:val="72"/>
          <w:szCs w:val="72"/>
          <w:highlight w:val="none"/>
        </w:rPr>
      </w:pPr>
    </w:p>
    <w:p w14:paraId="57C43380">
      <w:pPr>
        <w:pStyle w:val="23"/>
        <w:widowControl/>
        <w:adjustRightInd w:val="0"/>
        <w:snapToGrid w:val="0"/>
        <w:spacing w:line="360" w:lineRule="auto"/>
        <w:jc w:val="center"/>
        <w:rPr>
          <w:rFonts w:hint="eastAsia" w:ascii="黑体" w:eastAsia="黑体"/>
          <w:bCs/>
          <w:color w:val="auto"/>
          <w:sz w:val="72"/>
          <w:highlight w:val="none"/>
        </w:rPr>
      </w:pPr>
      <w:r>
        <w:rPr>
          <w:rFonts w:hint="eastAsia" w:ascii="黑体" w:eastAsia="黑体"/>
          <w:bCs/>
          <w:color w:val="auto"/>
          <w:sz w:val="72"/>
          <w:highlight w:val="none"/>
        </w:rPr>
        <w:t>招  标  文  件</w:t>
      </w:r>
    </w:p>
    <w:p w14:paraId="4581874F">
      <w:pPr>
        <w:pStyle w:val="23"/>
        <w:widowControl/>
        <w:adjustRightInd w:val="0"/>
        <w:snapToGrid w:val="0"/>
        <w:spacing w:line="360" w:lineRule="auto"/>
        <w:jc w:val="center"/>
        <w:rPr>
          <w:rFonts w:hint="eastAsia" w:ascii="黑体" w:eastAsia="黑体"/>
          <w:bCs/>
          <w:color w:val="auto"/>
          <w:sz w:val="48"/>
          <w:szCs w:val="48"/>
          <w:highlight w:val="none"/>
          <w:lang w:eastAsia="zh-CN"/>
        </w:rPr>
      </w:pPr>
    </w:p>
    <w:p w14:paraId="4D7A6C37">
      <w:pPr>
        <w:pStyle w:val="23"/>
        <w:widowControl/>
        <w:adjustRightInd w:val="0"/>
        <w:snapToGrid w:val="0"/>
        <w:spacing w:line="360" w:lineRule="auto"/>
        <w:jc w:val="center"/>
        <w:rPr>
          <w:rFonts w:hint="eastAsia" w:ascii="黑体" w:eastAsia="黑体"/>
          <w:bCs/>
          <w:color w:val="auto"/>
          <w:sz w:val="32"/>
          <w:szCs w:val="32"/>
          <w:highlight w:val="none"/>
          <w:lang w:eastAsia="zh-CN"/>
        </w:rPr>
      </w:pPr>
    </w:p>
    <w:p w14:paraId="61A17971">
      <w:pPr>
        <w:pStyle w:val="23"/>
        <w:widowControl/>
        <w:adjustRightInd w:val="0"/>
        <w:snapToGrid w:val="0"/>
        <w:spacing w:line="360" w:lineRule="auto"/>
        <w:rPr>
          <w:rFonts w:ascii="黑体" w:eastAsia="黑体"/>
          <w:bCs/>
          <w:color w:val="auto"/>
          <w:sz w:val="52"/>
          <w:szCs w:val="52"/>
          <w:highlight w:val="none"/>
        </w:rPr>
      </w:pPr>
    </w:p>
    <w:p w14:paraId="2259EC89">
      <w:pPr>
        <w:pStyle w:val="23"/>
        <w:widowControl/>
        <w:adjustRightInd w:val="0"/>
        <w:snapToGrid w:val="0"/>
        <w:spacing w:line="360" w:lineRule="auto"/>
        <w:rPr>
          <w:rFonts w:ascii="黑体" w:eastAsia="黑体"/>
          <w:bCs/>
          <w:color w:val="auto"/>
          <w:sz w:val="52"/>
          <w:szCs w:val="52"/>
          <w:highlight w:val="none"/>
        </w:rPr>
      </w:pPr>
    </w:p>
    <w:p w14:paraId="024F4F8B">
      <w:pPr>
        <w:pStyle w:val="23"/>
        <w:widowControl/>
        <w:adjustRightInd w:val="0"/>
        <w:snapToGrid w:val="0"/>
        <w:spacing w:line="360" w:lineRule="auto"/>
        <w:rPr>
          <w:rFonts w:ascii="黑体" w:eastAsia="黑体"/>
          <w:bCs/>
          <w:color w:val="auto"/>
          <w:sz w:val="52"/>
          <w:szCs w:val="52"/>
          <w:highlight w:val="none"/>
        </w:rPr>
      </w:pPr>
    </w:p>
    <w:tbl>
      <w:tblPr>
        <w:tblStyle w:val="46"/>
        <w:tblW w:w="6882" w:type="dxa"/>
        <w:jc w:val="center"/>
        <w:tblLayout w:type="fixed"/>
        <w:tblCellMar>
          <w:top w:w="0" w:type="dxa"/>
          <w:left w:w="108" w:type="dxa"/>
          <w:bottom w:w="0" w:type="dxa"/>
          <w:right w:w="108" w:type="dxa"/>
        </w:tblCellMar>
      </w:tblPr>
      <w:tblGrid>
        <w:gridCol w:w="1951"/>
        <w:gridCol w:w="284"/>
        <w:gridCol w:w="4647"/>
      </w:tblGrid>
      <w:tr w14:paraId="27868AC7">
        <w:tblPrEx>
          <w:tblCellMar>
            <w:top w:w="0" w:type="dxa"/>
            <w:left w:w="108" w:type="dxa"/>
            <w:bottom w:w="0" w:type="dxa"/>
            <w:right w:w="108" w:type="dxa"/>
          </w:tblCellMar>
        </w:tblPrEx>
        <w:trPr>
          <w:trHeight w:val="77" w:hRule="atLeast"/>
          <w:jc w:val="center"/>
        </w:trPr>
        <w:tc>
          <w:tcPr>
            <w:tcW w:w="1951" w:type="dxa"/>
            <w:vAlign w:val="center"/>
          </w:tcPr>
          <w:p w14:paraId="2033B886">
            <w:pPr>
              <w:pStyle w:val="23"/>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502D3F0F">
            <w:pPr>
              <w:pStyle w:val="23"/>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4647" w:type="dxa"/>
            <w:vAlign w:val="center"/>
          </w:tcPr>
          <w:p w14:paraId="2A9762C7">
            <w:pPr>
              <w:pStyle w:val="23"/>
              <w:widowControl/>
              <w:adjustRightInd w:val="0"/>
              <w:snapToGrid w:val="0"/>
              <w:spacing w:line="360" w:lineRule="auto"/>
              <w:jc w:val="left"/>
              <w:rPr>
                <w:rFonts w:hint="eastAsia" w:hAnsi="宋体" w:eastAsia="宋体"/>
                <w:b/>
                <w:color w:val="auto"/>
                <w:sz w:val="28"/>
                <w:szCs w:val="28"/>
                <w:highlight w:val="none"/>
                <w:lang w:eastAsia="zh-CN"/>
              </w:rPr>
            </w:pPr>
            <w:r>
              <w:rPr>
                <w:rFonts w:hint="eastAsia" w:hAnsi="宋体"/>
                <w:b/>
                <w:color w:val="auto"/>
                <w:sz w:val="28"/>
                <w:szCs w:val="28"/>
                <w:highlight w:val="none"/>
                <w:lang w:eastAsia="zh-CN"/>
              </w:rPr>
              <w:t>YXCG-20250117</w:t>
            </w:r>
          </w:p>
        </w:tc>
      </w:tr>
      <w:tr w14:paraId="40BA8222">
        <w:tblPrEx>
          <w:tblCellMar>
            <w:top w:w="0" w:type="dxa"/>
            <w:left w:w="108" w:type="dxa"/>
            <w:bottom w:w="0" w:type="dxa"/>
            <w:right w:w="108" w:type="dxa"/>
          </w:tblCellMar>
        </w:tblPrEx>
        <w:trPr>
          <w:trHeight w:val="77" w:hRule="atLeast"/>
          <w:jc w:val="center"/>
        </w:trPr>
        <w:tc>
          <w:tcPr>
            <w:tcW w:w="1951" w:type="dxa"/>
          </w:tcPr>
          <w:p w14:paraId="500FE218">
            <w:pPr>
              <w:pStyle w:val="23"/>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项目名称</w:t>
            </w:r>
          </w:p>
        </w:tc>
        <w:tc>
          <w:tcPr>
            <w:tcW w:w="284" w:type="dxa"/>
          </w:tcPr>
          <w:p w14:paraId="4878AABB">
            <w:pPr>
              <w:pStyle w:val="23"/>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4647" w:type="dxa"/>
            <w:vAlign w:val="center"/>
          </w:tcPr>
          <w:p w14:paraId="227AE074">
            <w:pPr>
              <w:pStyle w:val="23"/>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阳江市同心中学食堂食材采购项目</w:t>
            </w:r>
          </w:p>
        </w:tc>
      </w:tr>
      <w:tr w14:paraId="4CC839C9">
        <w:tblPrEx>
          <w:tblCellMar>
            <w:top w:w="0" w:type="dxa"/>
            <w:left w:w="108" w:type="dxa"/>
            <w:bottom w:w="0" w:type="dxa"/>
            <w:right w:w="108" w:type="dxa"/>
          </w:tblCellMar>
        </w:tblPrEx>
        <w:trPr>
          <w:trHeight w:val="77" w:hRule="atLeast"/>
          <w:jc w:val="center"/>
        </w:trPr>
        <w:tc>
          <w:tcPr>
            <w:tcW w:w="1951" w:type="dxa"/>
            <w:vAlign w:val="center"/>
          </w:tcPr>
          <w:p w14:paraId="5119328C">
            <w:pPr>
              <w:pStyle w:val="23"/>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58EA6B12">
            <w:pPr>
              <w:pStyle w:val="23"/>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4647" w:type="dxa"/>
            <w:vAlign w:val="center"/>
          </w:tcPr>
          <w:p w14:paraId="497D2129">
            <w:pPr>
              <w:pStyle w:val="23"/>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阳江市同心中学</w:t>
            </w:r>
          </w:p>
        </w:tc>
      </w:tr>
      <w:tr w14:paraId="1EEE91A8">
        <w:tblPrEx>
          <w:tblCellMar>
            <w:top w:w="0" w:type="dxa"/>
            <w:left w:w="108" w:type="dxa"/>
            <w:bottom w:w="0" w:type="dxa"/>
            <w:right w:w="108" w:type="dxa"/>
          </w:tblCellMar>
        </w:tblPrEx>
        <w:trPr>
          <w:trHeight w:val="77" w:hRule="atLeast"/>
          <w:jc w:val="center"/>
        </w:trPr>
        <w:tc>
          <w:tcPr>
            <w:tcW w:w="1951" w:type="dxa"/>
            <w:vAlign w:val="center"/>
          </w:tcPr>
          <w:p w14:paraId="6225F618">
            <w:pPr>
              <w:pStyle w:val="23"/>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38933EDE">
            <w:pPr>
              <w:pStyle w:val="23"/>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4647" w:type="dxa"/>
            <w:vAlign w:val="center"/>
          </w:tcPr>
          <w:p w14:paraId="44DE62DF">
            <w:pPr>
              <w:pStyle w:val="23"/>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14:paraId="38E34AF6">
      <w:pPr>
        <w:pStyle w:val="23"/>
        <w:widowControl/>
        <w:adjustRightInd w:val="0"/>
        <w:snapToGrid w:val="0"/>
        <w:spacing w:line="360" w:lineRule="auto"/>
        <w:jc w:val="center"/>
        <w:rPr>
          <w:rFonts w:ascii="黑体" w:eastAsia="黑体"/>
          <w:bCs/>
          <w:color w:val="auto"/>
          <w:sz w:val="24"/>
          <w:highlight w:val="none"/>
        </w:rPr>
      </w:pPr>
      <w:r>
        <w:rPr>
          <w:rFonts w:hint="eastAsia" w:ascii="黑体" w:eastAsia="黑体"/>
          <w:bCs/>
          <w:color w:val="auto"/>
          <w:sz w:val="24"/>
          <w:highlight w:val="none"/>
        </w:rPr>
        <w:t>二○</w:t>
      </w:r>
      <w:r>
        <w:rPr>
          <w:rFonts w:hint="eastAsia" w:ascii="黑体" w:eastAsia="黑体"/>
          <w:bCs/>
          <w:color w:val="auto"/>
          <w:sz w:val="24"/>
          <w:highlight w:val="none"/>
          <w:lang w:val="en-US" w:eastAsia="zh-CN"/>
        </w:rPr>
        <w:t>二五</w:t>
      </w:r>
      <w:r>
        <w:rPr>
          <w:rFonts w:hint="eastAsia" w:ascii="黑体" w:eastAsia="黑体"/>
          <w:bCs/>
          <w:color w:val="auto"/>
          <w:sz w:val="24"/>
          <w:highlight w:val="none"/>
        </w:rPr>
        <w:t>年</w:t>
      </w:r>
      <w:r>
        <w:rPr>
          <w:rFonts w:hint="eastAsia" w:ascii="黑体" w:eastAsia="黑体"/>
          <w:bCs/>
          <w:color w:val="auto"/>
          <w:sz w:val="24"/>
          <w:highlight w:val="none"/>
          <w:lang w:val="en-US" w:eastAsia="zh-CN"/>
        </w:rPr>
        <w:t>一</w:t>
      </w:r>
      <w:r>
        <w:rPr>
          <w:rFonts w:hint="eastAsia" w:ascii="黑体" w:eastAsia="黑体"/>
          <w:bCs/>
          <w:color w:val="auto"/>
          <w:sz w:val="24"/>
          <w:highlight w:val="none"/>
        </w:rPr>
        <w:t>月</w:t>
      </w:r>
    </w:p>
    <w:p w14:paraId="479B379A">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14:paraId="1F3140CA">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请供应商特别留意招标文件上注明的投标截止和开标时间，逾期送达或邮寄送达的投标文件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14:paraId="7A5C7A43">
      <w:pPr>
        <w:numPr>
          <w:ilvl w:val="0"/>
          <w:numId w:val="21"/>
        </w:numPr>
        <w:spacing w:line="440" w:lineRule="exact"/>
        <w:ind w:left="454" w:hanging="454"/>
        <w:rPr>
          <w:rFonts w:ascii="宋体" w:hAnsi="宋体"/>
          <w:color w:val="auto"/>
          <w:szCs w:val="21"/>
          <w:highlight w:val="none"/>
        </w:rPr>
      </w:pPr>
      <w:r>
        <w:rPr>
          <w:rFonts w:ascii="宋体" w:hAnsi="宋体"/>
          <w:b/>
          <w:color w:val="auto"/>
          <w:szCs w:val="21"/>
          <w:highlight w:val="none"/>
          <w:u w:val="single"/>
        </w:rPr>
        <w:t>招标文件中标有“★”的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14:paraId="5B60E1DB">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请正确填写《开标一览表》，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的投标项目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报价要求详见招标文件《开标一览表》</w:t>
      </w:r>
      <w:r>
        <w:rPr>
          <w:rFonts w:ascii="宋体" w:hAnsi="宋体"/>
          <w:color w:val="auto"/>
          <w:szCs w:val="21"/>
          <w:highlight w:val="none"/>
        </w:rPr>
        <w:t>。</w:t>
      </w:r>
    </w:p>
    <w:p w14:paraId="158A7CD5">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请仔细检查《投标函》、《开标一览表》、</w:t>
      </w:r>
      <w:r>
        <w:rPr>
          <w:rFonts w:hint="eastAsia" w:ascii="宋体" w:hAnsi="宋体"/>
          <w:color w:val="auto"/>
          <w:szCs w:val="21"/>
          <w:highlight w:val="none"/>
        </w:rPr>
        <w:t>《法定代表人（负责人）证明书》、</w:t>
      </w:r>
      <w:r>
        <w:rPr>
          <w:rFonts w:ascii="宋体" w:hAnsi="宋体"/>
          <w:color w:val="auto"/>
          <w:szCs w:val="21"/>
          <w:highlight w:val="none"/>
        </w:rPr>
        <w:t>《</w:t>
      </w:r>
      <w:r>
        <w:rPr>
          <w:rFonts w:hint="eastAsia" w:ascii="宋体" w:hAnsi="宋体"/>
          <w:color w:val="auto"/>
          <w:szCs w:val="21"/>
          <w:highlight w:val="none"/>
        </w:rPr>
        <w:t>法定代表人（负责人）</w:t>
      </w:r>
      <w:r>
        <w:rPr>
          <w:rFonts w:ascii="宋体" w:hAnsi="宋体"/>
          <w:color w:val="auto"/>
          <w:szCs w:val="21"/>
          <w:highlight w:val="none"/>
        </w:rPr>
        <w:t>授权书》等重要格式文件是否有按要求盖公章或签名</w:t>
      </w:r>
      <w:r>
        <w:rPr>
          <w:rFonts w:hint="eastAsia" w:ascii="宋体" w:hAnsi="宋体" w:cs="Tahoma"/>
          <w:b/>
          <w:bCs/>
          <w:color w:val="auto"/>
          <w:szCs w:val="21"/>
          <w:highlight w:val="none"/>
        </w:rPr>
        <w:t>。</w:t>
      </w:r>
    </w:p>
    <w:p w14:paraId="6A4E1550">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14:paraId="6A46DF98">
      <w:pPr>
        <w:numPr>
          <w:ilvl w:val="0"/>
          <w:numId w:val="21"/>
        </w:numPr>
        <w:spacing w:line="440" w:lineRule="exact"/>
        <w:ind w:left="454" w:hanging="454"/>
        <w:rPr>
          <w:rFonts w:ascii="宋体" w:hAnsi="宋体"/>
          <w:color w:val="auto"/>
          <w:szCs w:val="21"/>
          <w:highlight w:val="none"/>
        </w:rPr>
      </w:pPr>
      <w:r>
        <w:rPr>
          <w:rFonts w:ascii="宋体" w:hAnsi="宋体"/>
          <w:color w:val="auto"/>
          <w:szCs w:val="21"/>
          <w:highlight w:val="none"/>
        </w:rPr>
        <w:t>建议将投标文件按</w:t>
      </w:r>
      <w:r>
        <w:rPr>
          <w:rFonts w:hint="eastAsia" w:ascii="宋体" w:hAnsi="宋体"/>
          <w:color w:val="auto"/>
          <w:szCs w:val="21"/>
          <w:highlight w:val="none"/>
        </w:rPr>
        <w:t>目录格式</w:t>
      </w:r>
      <w:r>
        <w:rPr>
          <w:rFonts w:ascii="宋体" w:hAnsi="宋体"/>
          <w:color w:val="auto"/>
          <w:szCs w:val="21"/>
          <w:highlight w:val="none"/>
        </w:rPr>
        <w:t>顺序编制页码。</w:t>
      </w:r>
    </w:p>
    <w:p w14:paraId="2D51D508">
      <w:pPr>
        <w:numPr>
          <w:ilvl w:val="0"/>
          <w:numId w:val="21"/>
        </w:numPr>
        <w:spacing w:line="440" w:lineRule="exact"/>
        <w:ind w:left="454" w:hanging="454"/>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14:paraId="295426AD">
      <w:pPr>
        <w:numPr>
          <w:ilvl w:val="0"/>
          <w:numId w:val="21"/>
        </w:numPr>
        <w:spacing w:line="440" w:lineRule="exact"/>
        <w:ind w:left="454" w:hanging="454"/>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，务必将保证金按招标文件的要求缴纳，招标代理服务费存入招标文件指定的服务费账户。切勿将款项转错账户，以免影响采购活动。</w:t>
      </w:r>
    </w:p>
    <w:p w14:paraId="3E962422">
      <w:pPr>
        <w:numPr>
          <w:ilvl w:val="0"/>
          <w:numId w:val="21"/>
        </w:numPr>
        <w:spacing w:line="440" w:lineRule="exact"/>
        <w:ind w:left="454" w:hanging="454"/>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评标委员会</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14:paraId="5E0E8AD1">
      <w:pPr>
        <w:pStyle w:val="23"/>
        <w:widowControl/>
        <w:adjustRightInd w:val="0"/>
        <w:snapToGrid w:val="0"/>
        <w:spacing w:line="440" w:lineRule="exact"/>
        <w:ind w:firstLine="413" w:firstLineChars="196"/>
        <w:rPr>
          <w:rFonts w:ascii="黑体" w:eastAsia="黑体"/>
          <w:bCs/>
          <w:color w:val="auto"/>
          <w:sz w:val="30"/>
          <w:szCs w:val="30"/>
          <w:highlight w:val="none"/>
        </w:rPr>
      </w:pPr>
      <w:r>
        <w:rPr>
          <w:rFonts w:hint="eastAsia" w:hAnsi="宋体" w:cs="仿宋_GB2312"/>
          <w:b/>
          <w:bCs/>
          <w:color w:val="auto"/>
          <w:highlight w:val="none"/>
          <w:lang w:val="zh-CN"/>
        </w:rPr>
        <w:t>（本提示内容非招标文件的组成部分，仅为善意提醒。如有不一致，以招标文件为准）</w:t>
      </w:r>
    </w:p>
    <w:p w14:paraId="78897C6C">
      <w:pPr>
        <w:pStyle w:val="23"/>
        <w:widowControl/>
        <w:adjustRightInd w:val="0"/>
        <w:snapToGrid w:val="0"/>
        <w:spacing w:line="360" w:lineRule="auto"/>
        <w:jc w:val="center"/>
        <w:rPr>
          <w:rFonts w:ascii="黑体" w:eastAsia="黑体"/>
          <w:bCs/>
          <w:color w:val="auto"/>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1824C0DB">
      <w:pPr>
        <w:tabs>
          <w:tab w:val="left" w:pos="2400"/>
          <w:tab w:val="center" w:pos="4479"/>
        </w:tabs>
        <w:jc w:val="left"/>
        <w:rPr>
          <w:rFonts w:ascii="宋体" w:hAnsi="宋体"/>
          <w:bCs/>
          <w:color w:val="auto"/>
          <w:szCs w:val="21"/>
          <w:highlight w:val="none"/>
        </w:rPr>
      </w:pPr>
      <w:r>
        <w:rPr>
          <w:rFonts w:ascii="宋体" w:hAnsi="宋体"/>
          <w:bCs/>
          <w:color w:val="auto"/>
          <w:szCs w:val="21"/>
          <w:highlight w:val="none"/>
        </w:rPr>
        <w:tab/>
      </w:r>
      <w:r>
        <w:rPr>
          <w:rFonts w:ascii="宋体" w:hAnsi="宋体"/>
          <w:bCs/>
          <w:color w:val="auto"/>
          <w:szCs w:val="21"/>
          <w:highlight w:val="none"/>
        </w:rPr>
        <w:tab/>
      </w:r>
    </w:p>
    <w:p w14:paraId="29B36833">
      <w:pPr>
        <w:tabs>
          <w:tab w:val="left" w:pos="2400"/>
          <w:tab w:val="center" w:pos="4479"/>
        </w:tabs>
        <w:jc w:val="left"/>
        <w:rPr>
          <w:rFonts w:ascii="宋体" w:hAnsi="宋体"/>
          <w:bCs/>
          <w:color w:val="auto"/>
          <w:szCs w:val="21"/>
          <w:highlight w:val="none"/>
        </w:rPr>
      </w:pPr>
    </w:p>
    <w:p w14:paraId="2B23B5F3">
      <w:pPr>
        <w:tabs>
          <w:tab w:val="left" w:pos="2400"/>
          <w:tab w:val="center" w:pos="4479"/>
        </w:tabs>
        <w:jc w:val="left"/>
        <w:rPr>
          <w:rFonts w:ascii="宋体" w:hAnsi="宋体"/>
          <w:bCs/>
          <w:color w:val="auto"/>
          <w:szCs w:val="21"/>
          <w:highlight w:val="none"/>
        </w:rPr>
      </w:pPr>
    </w:p>
    <w:p w14:paraId="57FA9E72">
      <w:pPr>
        <w:tabs>
          <w:tab w:val="left" w:pos="2400"/>
          <w:tab w:val="center" w:pos="4479"/>
        </w:tabs>
        <w:jc w:val="left"/>
        <w:rPr>
          <w:rFonts w:ascii="宋体" w:hAnsi="宋体"/>
          <w:bCs/>
          <w:color w:val="auto"/>
          <w:szCs w:val="21"/>
          <w:highlight w:val="none"/>
        </w:rPr>
      </w:pPr>
    </w:p>
    <w:p w14:paraId="199DA6B2">
      <w:pPr>
        <w:tabs>
          <w:tab w:val="left" w:pos="2400"/>
          <w:tab w:val="center" w:pos="4479"/>
        </w:tabs>
        <w:jc w:val="left"/>
        <w:rPr>
          <w:rFonts w:ascii="宋体" w:hAnsi="宋体"/>
          <w:bCs/>
          <w:color w:val="auto"/>
          <w:szCs w:val="21"/>
          <w:highlight w:val="none"/>
        </w:rPr>
      </w:pPr>
    </w:p>
    <w:p w14:paraId="332C268D">
      <w:pPr>
        <w:tabs>
          <w:tab w:val="left" w:pos="2400"/>
          <w:tab w:val="center" w:pos="4479"/>
        </w:tabs>
        <w:jc w:val="left"/>
        <w:rPr>
          <w:rFonts w:ascii="宋体" w:hAnsi="宋体"/>
          <w:bCs/>
          <w:color w:val="auto"/>
          <w:szCs w:val="21"/>
          <w:highlight w:val="none"/>
        </w:rPr>
      </w:pPr>
    </w:p>
    <w:p w14:paraId="7AE98936">
      <w:pPr>
        <w:tabs>
          <w:tab w:val="center" w:pos="4479"/>
          <w:tab w:val="left" w:pos="6183"/>
        </w:tabs>
        <w:jc w:val="left"/>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ab/>
      </w:r>
    </w:p>
    <w:p w14:paraId="5F34C522">
      <w:pPr>
        <w:tabs>
          <w:tab w:val="left" w:pos="2400"/>
          <w:tab w:val="center" w:pos="4479"/>
        </w:tabs>
        <w:jc w:val="left"/>
        <w:rPr>
          <w:rFonts w:ascii="宋体" w:hAnsi="宋体"/>
          <w:bCs/>
          <w:color w:val="auto"/>
          <w:szCs w:val="21"/>
          <w:highlight w:val="none"/>
        </w:rPr>
      </w:pPr>
    </w:p>
    <w:p w14:paraId="5EFB87D6">
      <w:pPr>
        <w:tabs>
          <w:tab w:val="left" w:pos="2400"/>
          <w:tab w:val="center" w:pos="4479"/>
        </w:tabs>
        <w:jc w:val="left"/>
        <w:rPr>
          <w:rFonts w:ascii="宋体" w:hAnsi="宋体"/>
          <w:bCs/>
          <w:color w:val="auto"/>
          <w:szCs w:val="21"/>
          <w:highlight w:val="none"/>
        </w:rPr>
      </w:pPr>
    </w:p>
    <w:p w14:paraId="47BEAEDC">
      <w:pPr>
        <w:tabs>
          <w:tab w:val="left" w:pos="2400"/>
          <w:tab w:val="center" w:pos="4479"/>
        </w:tabs>
        <w:jc w:val="left"/>
        <w:rPr>
          <w:rFonts w:ascii="宋体" w:hAnsi="宋体"/>
          <w:bCs/>
          <w:color w:val="auto"/>
          <w:szCs w:val="21"/>
          <w:highlight w:val="none"/>
        </w:rPr>
      </w:pPr>
    </w:p>
    <w:p w14:paraId="73763446">
      <w:pPr>
        <w:tabs>
          <w:tab w:val="left" w:pos="2400"/>
          <w:tab w:val="center" w:pos="4479"/>
        </w:tabs>
        <w:jc w:val="left"/>
        <w:rPr>
          <w:rFonts w:ascii="宋体" w:hAnsi="宋体"/>
          <w:bCs/>
          <w:color w:val="auto"/>
          <w:szCs w:val="21"/>
          <w:highlight w:val="none"/>
        </w:rPr>
      </w:pPr>
    </w:p>
    <w:p w14:paraId="10F31161">
      <w:pPr>
        <w:tabs>
          <w:tab w:val="left" w:pos="2400"/>
          <w:tab w:val="center" w:pos="4479"/>
        </w:tabs>
        <w:jc w:val="left"/>
        <w:rPr>
          <w:rFonts w:ascii="宋体" w:hAnsi="宋体"/>
          <w:bCs/>
          <w:color w:val="auto"/>
          <w:szCs w:val="21"/>
          <w:highlight w:val="none"/>
        </w:rPr>
      </w:pPr>
    </w:p>
    <w:p w14:paraId="68F061E7">
      <w:pPr>
        <w:tabs>
          <w:tab w:val="left" w:pos="2400"/>
          <w:tab w:val="center" w:pos="4479"/>
        </w:tabs>
        <w:jc w:val="left"/>
        <w:rPr>
          <w:rFonts w:ascii="宋体" w:hAnsi="宋体"/>
          <w:bCs/>
          <w:color w:val="auto"/>
          <w:szCs w:val="21"/>
          <w:highlight w:val="none"/>
        </w:rPr>
      </w:pPr>
    </w:p>
    <w:p w14:paraId="3D2AF0AC">
      <w:pPr>
        <w:tabs>
          <w:tab w:val="left" w:pos="2400"/>
          <w:tab w:val="center" w:pos="4479"/>
        </w:tabs>
        <w:jc w:val="left"/>
        <w:rPr>
          <w:rFonts w:ascii="宋体" w:hAnsi="宋体"/>
          <w:bCs/>
          <w:color w:val="auto"/>
          <w:szCs w:val="21"/>
          <w:highlight w:val="none"/>
        </w:rPr>
      </w:pPr>
    </w:p>
    <w:p w14:paraId="14E15F2B">
      <w:pPr>
        <w:tabs>
          <w:tab w:val="left" w:pos="2400"/>
          <w:tab w:val="center" w:pos="4479"/>
        </w:tabs>
        <w:jc w:val="left"/>
        <w:rPr>
          <w:rFonts w:ascii="宋体" w:hAnsi="宋体"/>
          <w:bCs/>
          <w:color w:val="auto"/>
          <w:szCs w:val="21"/>
          <w:highlight w:val="none"/>
        </w:rPr>
      </w:pPr>
    </w:p>
    <w:p w14:paraId="6D05BFE6">
      <w:pPr>
        <w:tabs>
          <w:tab w:val="left" w:pos="2400"/>
          <w:tab w:val="center" w:pos="4479"/>
        </w:tabs>
        <w:jc w:val="left"/>
        <w:rPr>
          <w:rFonts w:ascii="宋体" w:hAnsi="宋体"/>
          <w:bCs/>
          <w:color w:val="auto"/>
          <w:szCs w:val="21"/>
          <w:highlight w:val="none"/>
        </w:rPr>
      </w:pPr>
    </w:p>
    <w:p w14:paraId="2243CCFF">
      <w:pPr>
        <w:tabs>
          <w:tab w:val="left" w:pos="2400"/>
          <w:tab w:val="center" w:pos="4479"/>
        </w:tabs>
        <w:jc w:val="left"/>
        <w:rPr>
          <w:rFonts w:ascii="宋体" w:hAnsi="宋体"/>
          <w:bCs/>
          <w:color w:val="auto"/>
          <w:szCs w:val="21"/>
          <w:highlight w:val="none"/>
        </w:rPr>
      </w:pPr>
    </w:p>
    <w:p w14:paraId="098938A3">
      <w:pPr>
        <w:tabs>
          <w:tab w:val="left" w:pos="2400"/>
          <w:tab w:val="center" w:pos="4479"/>
        </w:tabs>
        <w:jc w:val="left"/>
        <w:rPr>
          <w:rFonts w:ascii="宋体" w:hAnsi="宋体"/>
          <w:bCs/>
          <w:color w:val="auto"/>
          <w:szCs w:val="21"/>
          <w:highlight w:val="none"/>
        </w:rPr>
      </w:pPr>
    </w:p>
    <w:p w14:paraId="3C66C34C">
      <w:pPr>
        <w:tabs>
          <w:tab w:val="left" w:pos="2400"/>
          <w:tab w:val="center" w:pos="4479"/>
        </w:tabs>
        <w:jc w:val="center"/>
        <w:rPr>
          <w:rFonts w:ascii="宋体" w:hAnsi="宋体"/>
          <w:b/>
          <w:bCs/>
          <w:color w:val="auto"/>
          <w:sz w:val="32"/>
          <w:szCs w:val="32"/>
          <w:highlight w:val="none"/>
        </w:rPr>
      </w:pPr>
      <w:r>
        <w:rPr>
          <w:rFonts w:hint="eastAsia" w:ascii="宋体" w:hAnsi="宋体"/>
          <w:b/>
          <w:bCs/>
          <w:color w:val="auto"/>
          <w:sz w:val="32"/>
          <w:szCs w:val="32"/>
          <w:highlight w:val="none"/>
        </w:rPr>
        <w:t>目   录</w:t>
      </w:r>
    </w:p>
    <w:p w14:paraId="10D22027">
      <w:pPr>
        <w:pStyle w:val="2"/>
        <w:numPr>
          <w:ilvl w:val="0"/>
          <w:numId w:val="0"/>
        </w:numPr>
        <w:spacing w:beforeLines="0" w:line="240" w:lineRule="auto"/>
        <w:rPr>
          <w:color w:val="auto"/>
          <w:highlight w:val="none"/>
        </w:rPr>
      </w:pPr>
    </w:p>
    <w:p w14:paraId="33C43825">
      <w:pPr>
        <w:pStyle w:val="30"/>
        <w:tabs>
          <w:tab w:val="right" w:leader="dot" w:pos="8959"/>
          <w:tab w:val="clear" w:pos="8949"/>
        </w:tabs>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bCs w:val="0"/>
          <w:caps w:val="0"/>
          <w:color w:val="auto"/>
          <w:highlight w:val="none"/>
        </w:rPr>
        <w:fldChar w:fldCharType="begin"/>
      </w:r>
      <w:r>
        <w:rPr>
          <w:bCs w:val="0"/>
          <w:caps w:val="0"/>
          <w:highlight w:val="none"/>
        </w:rPr>
        <w:instrText xml:space="preserve"> HYPERLINK \l _Toc22138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_Toc22138 \h </w:instrText>
      </w:r>
      <w:r>
        <w:fldChar w:fldCharType="separate"/>
      </w:r>
      <w:r>
        <w:t>5</w:t>
      </w:r>
      <w:r>
        <w:fldChar w:fldCharType="end"/>
      </w:r>
      <w:r>
        <w:rPr>
          <w:bCs w:val="0"/>
          <w:caps w:val="0"/>
          <w:color w:val="auto"/>
          <w:highlight w:val="none"/>
        </w:rPr>
        <w:fldChar w:fldCharType="end"/>
      </w:r>
    </w:p>
    <w:p w14:paraId="573AA197">
      <w:pPr>
        <w:pStyle w:val="30"/>
        <w:tabs>
          <w:tab w:val="right" w:leader="dot" w:pos="8959"/>
          <w:tab w:val="clear" w:pos="8949"/>
        </w:tabs>
      </w:pPr>
      <w:r>
        <w:rPr>
          <w:bCs/>
          <w:caps/>
          <w:color w:val="auto"/>
          <w:szCs w:val="21"/>
          <w:highlight w:val="none"/>
        </w:rPr>
        <w:fldChar w:fldCharType="begin"/>
      </w:r>
      <w:r>
        <w:rPr>
          <w:bCs/>
          <w:caps/>
          <w:szCs w:val="21"/>
          <w:highlight w:val="none"/>
        </w:rPr>
        <w:instrText xml:space="preserve"> HYPERLINK \l _Toc14803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_Toc14803 \h </w:instrText>
      </w:r>
      <w:r>
        <w:fldChar w:fldCharType="separate"/>
      </w:r>
      <w:r>
        <w:t>9</w:t>
      </w:r>
      <w:r>
        <w:fldChar w:fldCharType="end"/>
      </w:r>
      <w:r>
        <w:rPr>
          <w:bCs/>
          <w:caps/>
          <w:color w:val="auto"/>
          <w:szCs w:val="21"/>
          <w:highlight w:val="none"/>
        </w:rPr>
        <w:fldChar w:fldCharType="end"/>
      </w:r>
    </w:p>
    <w:p w14:paraId="01707DF7">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_Toc16732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_Toc16732 \h </w:instrText>
      </w:r>
      <w:r>
        <w:fldChar w:fldCharType="separate"/>
      </w:r>
      <w:r>
        <w:t>9</w:t>
      </w:r>
      <w:r>
        <w:fldChar w:fldCharType="end"/>
      </w:r>
      <w:r>
        <w:rPr>
          <w:bCs/>
          <w:caps/>
          <w:color w:val="auto"/>
          <w:szCs w:val="21"/>
          <w:highlight w:val="none"/>
        </w:rPr>
        <w:fldChar w:fldCharType="end"/>
      </w:r>
    </w:p>
    <w:p w14:paraId="31458CA0">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_Toc8698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_Toc8698 \h </w:instrText>
      </w:r>
      <w:r>
        <w:fldChar w:fldCharType="separate"/>
      </w:r>
      <w:r>
        <w:t>13</w:t>
      </w:r>
      <w:r>
        <w:fldChar w:fldCharType="end"/>
      </w:r>
      <w:r>
        <w:rPr>
          <w:bCs/>
          <w:caps/>
          <w:color w:val="auto"/>
          <w:szCs w:val="21"/>
          <w:highlight w:val="none"/>
        </w:rPr>
        <w:fldChar w:fldCharType="end"/>
      </w:r>
    </w:p>
    <w:p w14:paraId="0BA114DD">
      <w:pPr>
        <w:pStyle w:val="30"/>
        <w:tabs>
          <w:tab w:val="right" w:leader="dot" w:pos="8959"/>
          <w:tab w:val="clear" w:pos="8949"/>
        </w:tabs>
      </w:pPr>
      <w:r>
        <w:rPr>
          <w:bCs/>
          <w:caps/>
          <w:color w:val="auto"/>
          <w:szCs w:val="21"/>
          <w:highlight w:val="none"/>
        </w:rPr>
        <w:fldChar w:fldCharType="begin"/>
      </w:r>
      <w:r>
        <w:rPr>
          <w:bCs/>
          <w:caps/>
          <w:szCs w:val="21"/>
          <w:highlight w:val="none"/>
        </w:rPr>
        <w:instrText xml:space="preserve"> HYPERLINK \l _Toc13987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_Toc13987 \h </w:instrText>
      </w:r>
      <w:r>
        <w:fldChar w:fldCharType="separate"/>
      </w:r>
      <w:r>
        <w:t>33</w:t>
      </w:r>
      <w:r>
        <w:fldChar w:fldCharType="end"/>
      </w:r>
      <w:r>
        <w:rPr>
          <w:bCs/>
          <w:caps/>
          <w:color w:val="auto"/>
          <w:szCs w:val="21"/>
          <w:highlight w:val="none"/>
        </w:rPr>
        <w:fldChar w:fldCharType="end"/>
      </w:r>
    </w:p>
    <w:p w14:paraId="5D85BE04">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_Toc16523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_Toc16523 \h </w:instrText>
      </w:r>
      <w:r>
        <w:fldChar w:fldCharType="separate"/>
      </w:r>
      <w:r>
        <w:t>33</w:t>
      </w:r>
      <w:r>
        <w:fldChar w:fldCharType="end"/>
      </w:r>
      <w:r>
        <w:rPr>
          <w:bCs/>
          <w:caps/>
          <w:color w:val="auto"/>
          <w:szCs w:val="21"/>
          <w:highlight w:val="none"/>
        </w:rPr>
        <w:fldChar w:fldCharType="end"/>
      </w:r>
    </w:p>
    <w:p w14:paraId="4B403006">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_Toc18649 </w:instrText>
      </w:r>
      <w:r>
        <w:rPr>
          <w:bCs/>
          <w:caps/>
          <w:szCs w:val="21"/>
          <w:highlight w:val="none"/>
        </w:rPr>
        <w:fldChar w:fldCharType="separate"/>
      </w:r>
      <w:r>
        <w:rPr>
          <w:rFonts w:hint="eastAsia"/>
          <w:highlight w:val="none"/>
        </w:rPr>
        <w:t>Ａ说明</w:t>
      </w:r>
      <w:r>
        <w:tab/>
      </w:r>
      <w:r>
        <w:fldChar w:fldCharType="begin"/>
      </w:r>
      <w:r>
        <w:instrText xml:space="preserve"> PAGEREF _Toc18649 \h </w:instrText>
      </w:r>
      <w:r>
        <w:fldChar w:fldCharType="separate"/>
      </w:r>
      <w:r>
        <w:t>34</w:t>
      </w:r>
      <w:r>
        <w:fldChar w:fldCharType="end"/>
      </w:r>
      <w:r>
        <w:rPr>
          <w:bCs/>
          <w:caps/>
          <w:color w:val="auto"/>
          <w:szCs w:val="21"/>
          <w:highlight w:val="none"/>
        </w:rPr>
        <w:fldChar w:fldCharType="end"/>
      </w:r>
    </w:p>
    <w:p w14:paraId="2834EA83">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_Toc1230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_Toc1230 \h </w:instrText>
      </w:r>
      <w:r>
        <w:fldChar w:fldCharType="separate"/>
      </w:r>
      <w:r>
        <w:t>34</w:t>
      </w:r>
      <w:r>
        <w:fldChar w:fldCharType="end"/>
      </w:r>
      <w:r>
        <w:rPr>
          <w:bCs/>
          <w:caps/>
          <w:color w:val="auto"/>
          <w:szCs w:val="21"/>
          <w:highlight w:val="none"/>
        </w:rPr>
        <w:fldChar w:fldCharType="end"/>
      </w:r>
    </w:p>
    <w:p w14:paraId="2A433CA7">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_Toc15741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_Toc15741 \h </w:instrText>
      </w:r>
      <w:r>
        <w:fldChar w:fldCharType="separate"/>
      </w:r>
      <w:r>
        <w:t>34</w:t>
      </w:r>
      <w:r>
        <w:fldChar w:fldCharType="end"/>
      </w:r>
      <w:r>
        <w:rPr>
          <w:bCs/>
          <w:caps/>
          <w:color w:val="auto"/>
          <w:szCs w:val="21"/>
          <w:highlight w:val="none"/>
        </w:rPr>
        <w:fldChar w:fldCharType="end"/>
      </w:r>
    </w:p>
    <w:p w14:paraId="41940247">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_Toc19514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_Toc19514 \h </w:instrText>
      </w:r>
      <w:r>
        <w:fldChar w:fldCharType="separate"/>
      </w:r>
      <w:r>
        <w:t>34</w:t>
      </w:r>
      <w:r>
        <w:fldChar w:fldCharType="end"/>
      </w:r>
      <w:r>
        <w:rPr>
          <w:bCs/>
          <w:caps/>
          <w:color w:val="auto"/>
          <w:szCs w:val="21"/>
          <w:highlight w:val="none"/>
        </w:rPr>
        <w:fldChar w:fldCharType="end"/>
      </w:r>
    </w:p>
    <w:p w14:paraId="66C12C14">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_Toc14935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_Toc14935 \h </w:instrText>
      </w:r>
      <w:r>
        <w:fldChar w:fldCharType="separate"/>
      </w:r>
      <w:r>
        <w:t>35</w:t>
      </w:r>
      <w:r>
        <w:fldChar w:fldCharType="end"/>
      </w:r>
      <w:r>
        <w:rPr>
          <w:bCs/>
          <w:caps/>
          <w:color w:val="auto"/>
          <w:szCs w:val="21"/>
          <w:highlight w:val="none"/>
        </w:rPr>
        <w:fldChar w:fldCharType="end"/>
      </w:r>
    </w:p>
    <w:p w14:paraId="4694FCE6">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_Toc4851 </w:instrText>
      </w:r>
      <w:r>
        <w:rPr>
          <w:bCs/>
          <w:caps/>
          <w:szCs w:val="21"/>
          <w:highlight w:val="none"/>
        </w:rPr>
        <w:fldChar w:fldCharType="separate"/>
      </w:r>
      <w:r>
        <w:rPr>
          <w:rFonts w:hint="eastAsia"/>
          <w:highlight w:val="none"/>
        </w:rPr>
        <w:t>Ｂ招标文件说明</w:t>
      </w:r>
      <w:r>
        <w:tab/>
      </w:r>
      <w:r>
        <w:fldChar w:fldCharType="begin"/>
      </w:r>
      <w:r>
        <w:instrText xml:space="preserve"> PAGEREF _Toc4851 \h </w:instrText>
      </w:r>
      <w:r>
        <w:fldChar w:fldCharType="separate"/>
      </w:r>
      <w:r>
        <w:t>35</w:t>
      </w:r>
      <w:r>
        <w:fldChar w:fldCharType="end"/>
      </w:r>
      <w:r>
        <w:rPr>
          <w:bCs/>
          <w:caps/>
          <w:color w:val="auto"/>
          <w:szCs w:val="21"/>
          <w:highlight w:val="none"/>
        </w:rPr>
        <w:fldChar w:fldCharType="end"/>
      </w:r>
    </w:p>
    <w:p w14:paraId="26325C7F">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_Toc2674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_Toc2674 \h </w:instrText>
      </w:r>
      <w:r>
        <w:fldChar w:fldCharType="separate"/>
      </w:r>
      <w:r>
        <w:t>35</w:t>
      </w:r>
      <w:r>
        <w:fldChar w:fldCharType="end"/>
      </w:r>
      <w:r>
        <w:rPr>
          <w:bCs/>
          <w:caps/>
          <w:color w:val="auto"/>
          <w:szCs w:val="21"/>
          <w:highlight w:val="none"/>
        </w:rPr>
        <w:fldChar w:fldCharType="end"/>
      </w:r>
    </w:p>
    <w:p w14:paraId="4BE528D3">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_Toc8560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_Toc8560 \h </w:instrText>
      </w:r>
      <w:r>
        <w:fldChar w:fldCharType="separate"/>
      </w:r>
      <w:r>
        <w:t>35</w:t>
      </w:r>
      <w:r>
        <w:fldChar w:fldCharType="end"/>
      </w:r>
      <w:r>
        <w:rPr>
          <w:bCs/>
          <w:caps/>
          <w:color w:val="auto"/>
          <w:szCs w:val="21"/>
          <w:highlight w:val="none"/>
        </w:rPr>
        <w:fldChar w:fldCharType="end"/>
      </w:r>
    </w:p>
    <w:p w14:paraId="1403CE5B">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_Toc8116 </w:instrText>
      </w:r>
      <w:r>
        <w:rPr>
          <w:bCs/>
          <w:caps/>
          <w:szCs w:val="21"/>
          <w:highlight w:val="none"/>
        </w:rPr>
        <w:fldChar w:fldCharType="separate"/>
      </w:r>
      <w:r>
        <w:rPr>
          <w:rFonts w:hint="eastAsia"/>
          <w:highlight w:val="none"/>
        </w:rPr>
        <w:t>Ｃ投标文件的编制</w:t>
      </w:r>
      <w:r>
        <w:tab/>
      </w:r>
      <w:r>
        <w:fldChar w:fldCharType="begin"/>
      </w:r>
      <w:r>
        <w:instrText xml:space="preserve"> PAGEREF _Toc8116 \h </w:instrText>
      </w:r>
      <w:r>
        <w:fldChar w:fldCharType="separate"/>
      </w:r>
      <w:r>
        <w:t>36</w:t>
      </w:r>
      <w:r>
        <w:fldChar w:fldCharType="end"/>
      </w:r>
      <w:r>
        <w:rPr>
          <w:bCs/>
          <w:caps/>
          <w:color w:val="auto"/>
          <w:szCs w:val="21"/>
          <w:highlight w:val="none"/>
        </w:rPr>
        <w:fldChar w:fldCharType="end"/>
      </w:r>
    </w:p>
    <w:p w14:paraId="1BB4515B">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_Toc26654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_Toc26654 \h </w:instrText>
      </w:r>
      <w:r>
        <w:fldChar w:fldCharType="separate"/>
      </w:r>
      <w:r>
        <w:t>36</w:t>
      </w:r>
      <w:r>
        <w:fldChar w:fldCharType="end"/>
      </w:r>
      <w:r>
        <w:rPr>
          <w:bCs/>
          <w:caps/>
          <w:color w:val="auto"/>
          <w:szCs w:val="21"/>
          <w:highlight w:val="none"/>
        </w:rPr>
        <w:fldChar w:fldCharType="end"/>
      </w:r>
    </w:p>
    <w:p w14:paraId="5F543FBB">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_Toc24177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_Toc24177 \h </w:instrText>
      </w:r>
      <w:r>
        <w:fldChar w:fldCharType="separate"/>
      </w:r>
      <w:r>
        <w:t>36</w:t>
      </w:r>
      <w:r>
        <w:fldChar w:fldCharType="end"/>
      </w:r>
      <w:r>
        <w:rPr>
          <w:bCs/>
          <w:caps/>
          <w:color w:val="auto"/>
          <w:szCs w:val="21"/>
          <w:highlight w:val="none"/>
        </w:rPr>
        <w:fldChar w:fldCharType="end"/>
      </w:r>
    </w:p>
    <w:p w14:paraId="075F0D85">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_Toc306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_Toc306 \h </w:instrText>
      </w:r>
      <w:r>
        <w:fldChar w:fldCharType="separate"/>
      </w:r>
      <w:r>
        <w:t>36</w:t>
      </w:r>
      <w:r>
        <w:fldChar w:fldCharType="end"/>
      </w:r>
      <w:r>
        <w:rPr>
          <w:bCs/>
          <w:caps/>
          <w:color w:val="auto"/>
          <w:szCs w:val="21"/>
          <w:highlight w:val="none"/>
        </w:rPr>
        <w:fldChar w:fldCharType="end"/>
      </w:r>
    </w:p>
    <w:p w14:paraId="5DE33370">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_Toc27250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_Toc27250 \h </w:instrText>
      </w:r>
      <w:r>
        <w:fldChar w:fldCharType="separate"/>
      </w:r>
      <w:r>
        <w:t>36</w:t>
      </w:r>
      <w:r>
        <w:fldChar w:fldCharType="end"/>
      </w:r>
      <w:r>
        <w:rPr>
          <w:bCs/>
          <w:caps/>
          <w:color w:val="auto"/>
          <w:szCs w:val="21"/>
          <w:highlight w:val="none"/>
        </w:rPr>
        <w:fldChar w:fldCharType="end"/>
      </w:r>
    </w:p>
    <w:p w14:paraId="0943B273">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_Toc21011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_Toc21011 \h </w:instrText>
      </w:r>
      <w:r>
        <w:fldChar w:fldCharType="separate"/>
      </w:r>
      <w:r>
        <w:t>36</w:t>
      </w:r>
      <w:r>
        <w:fldChar w:fldCharType="end"/>
      </w:r>
      <w:r>
        <w:rPr>
          <w:bCs/>
          <w:caps/>
          <w:color w:val="auto"/>
          <w:szCs w:val="21"/>
          <w:highlight w:val="none"/>
        </w:rPr>
        <w:fldChar w:fldCharType="end"/>
      </w:r>
    </w:p>
    <w:p w14:paraId="6992D315">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_Toc10560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_Toc10560 \h </w:instrText>
      </w:r>
      <w:r>
        <w:fldChar w:fldCharType="separate"/>
      </w:r>
      <w:r>
        <w:t>37</w:t>
      </w:r>
      <w:r>
        <w:fldChar w:fldCharType="end"/>
      </w:r>
      <w:r>
        <w:rPr>
          <w:bCs/>
          <w:caps/>
          <w:color w:val="auto"/>
          <w:szCs w:val="21"/>
          <w:highlight w:val="none"/>
        </w:rPr>
        <w:fldChar w:fldCharType="end"/>
      </w:r>
    </w:p>
    <w:p w14:paraId="7C8B1FED">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_Toc20731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_Toc20731 \h </w:instrText>
      </w:r>
      <w:r>
        <w:fldChar w:fldCharType="separate"/>
      </w:r>
      <w:r>
        <w:t>37</w:t>
      </w:r>
      <w:r>
        <w:fldChar w:fldCharType="end"/>
      </w:r>
      <w:r>
        <w:rPr>
          <w:bCs/>
          <w:caps/>
          <w:color w:val="auto"/>
          <w:szCs w:val="21"/>
          <w:highlight w:val="none"/>
        </w:rPr>
        <w:fldChar w:fldCharType="end"/>
      </w:r>
    </w:p>
    <w:p w14:paraId="7806F8AA">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_Toc2994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_Toc2994 \h </w:instrText>
      </w:r>
      <w:r>
        <w:fldChar w:fldCharType="separate"/>
      </w:r>
      <w:r>
        <w:t>38</w:t>
      </w:r>
      <w:r>
        <w:fldChar w:fldCharType="end"/>
      </w:r>
      <w:r>
        <w:rPr>
          <w:bCs/>
          <w:caps/>
          <w:color w:val="auto"/>
          <w:szCs w:val="21"/>
          <w:highlight w:val="none"/>
        </w:rPr>
        <w:fldChar w:fldCharType="end"/>
      </w:r>
    </w:p>
    <w:p w14:paraId="610FC362">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_Toc22725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_Toc22725 \h </w:instrText>
      </w:r>
      <w:r>
        <w:fldChar w:fldCharType="separate"/>
      </w:r>
      <w:r>
        <w:t>38</w:t>
      </w:r>
      <w:r>
        <w:fldChar w:fldCharType="end"/>
      </w:r>
      <w:r>
        <w:rPr>
          <w:bCs/>
          <w:caps/>
          <w:color w:val="auto"/>
          <w:szCs w:val="21"/>
          <w:highlight w:val="none"/>
        </w:rPr>
        <w:fldChar w:fldCharType="end"/>
      </w:r>
    </w:p>
    <w:p w14:paraId="35A05487">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_Toc276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_Toc276 \h </w:instrText>
      </w:r>
      <w:r>
        <w:fldChar w:fldCharType="separate"/>
      </w:r>
      <w:r>
        <w:t>38</w:t>
      </w:r>
      <w:r>
        <w:fldChar w:fldCharType="end"/>
      </w:r>
      <w:r>
        <w:rPr>
          <w:bCs/>
          <w:caps/>
          <w:color w:val="auto"/>
          <w:szCs w:val="21"/>
          <w:highlight w:val="none"/>
        </w:rPr>
        <w:fldChar w:fldCharType="end"/>
      </w:r>
    </w:p>
    <w:p w14:paraId="331F82CD">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_Toc1025 </w:instrText>
      </w:r>
      <w:r>
        <w:rPr>
          <w:bCs/>
          <w:caps/>
          <w:szCs w:val="21"/>
          <w:highlight w:val="none"/>
        </w:rPr>
        <w:fldChar w:fldCharType="separate"/>
      </w:r>
      <w:r>
        <w:rPr>
          <w:rFonts w:hint="eastAsia"/>
          <w:highlight w:val="none"/>
        </w:rPr>
        <w:t>Ｄ投标文件的递交</w:t>
      </w:r>
      <w:r>
        <w:tab/>
      </w:r>
      <w:r>
        <w:fldChar w:fldCharType="begin"/>
      </w:r>
      <w:r>
        <w:instrText xml:space="preserve"> PAGEREF _Toc1025 \h </w:instrText>
      </w:r>
      <w:r>
        <w:fldChar w:fldCharType="separate"/>
      </w:r>
      <w:r>
        <w:t>39</w:t>
      </w:r>
      <w:r>
        <w:fldChar w:fldCharType="end"/>
      </w:r>
      <w:r>
        <w:rPr>
          <w:bCs/>
          <w:caps/>
          <w:color w:val="auto"/>
          <w:szCs w:val="21"/>
          <w:highlight w:val="none"/>
        </w:rPr>
        <w:fldChar w:fldCharType="end"/>
      </w:r>
    </w:p>
    <w:p w14:paraId="7FFAB404">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_Toc18528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_Toc18528 \h </w:instrText>
      </w:r>
      <w:r>
        <w:fldChar w:fldCharType="separate"/>
      </w:r>
      <w:r>
        <w:t>39</w:t>
      </w:r>
      <w:r>
        <w:fldChar w:fldCharType="end"/>
      </w:r>
      <w:r>
        <w:rPr>
          <w:bCs/>
          <w:caps/>
          <w:color w:val="auto"/>
          <w:szCs w:val="21"/>
          <w:highlight w:val="none"/>
        </w:rPr>
        <w:fldChar w:fldCharType="end"/>
      </w:r>
    </w:p>
    <w:p w14:paraId="5A3C7FE7">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_Toc4543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_Toc4543 \h </w:instrText>
      </w:r>
      <w:r>
        <w:fldChar w:fldCharType="separate"/>
      </w:r>
      <w:r>
        <w:t>39</w:t>
      </w:r>
      <w:r>
        <w:fldChar w:fldCharType="end"/>
      </w:r>
      <w:r>
        <w:rPr>
          <w:bCs/>
          <w:caps/>
          <w:color w:val="auto"/>
          <w:szCs w:val="21"/>
          <w:highlight w:val="none"/>
        </w:rPr>
        <w:fldChar w:fldCharType="end"/>
      </w:r>
    </w:p>
    <w:p w14:paraId="602731E0">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_Toc14431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_Toc14431 \h </w:instrText>
      </w:r>
      <w:r>
        <w:fldChar w:fldCharType="separate"/>
      </w:r>
      <w:r>
        <w:t>39</w:t>
      </w:r>
      <w:r>
        <w:fldChar w:fldCharType="end"/>
      </w:r>
      <w:r>
        <w:rPr>
          <w:bCs/>
          <w:caps/>
          <w:color w:val="auto"/>
          <w:szCs w:val="21"/>
          <w:highlight w:val="none"/>
        </w:rPr>
        <w:fldChar w:fldCharType="end"/>
      </w:r>
    </w:p>
    <w:p w14:paraId="5DD06983">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_Toc10681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_Toc10681 \h </w:instrText>
      </w:r>
      <w:r>
        <w:fldChar w:fldCharType="separate"/>
      </w:r>
      <w:r>
        <w:t>39</w:t>
      </w:r>
      <w:r>
        <w:fldChar w:fldCharType="end"/>
      </w:r>
      <w:r>
        <w:rPr>
          <w:bCs/>
          <w:caps/>
          <w:color w:val="auto"/>
          <w:szCs w:val="21"/>
          <w:highlight w:val="none"/>
        </w:rPr>
        <w:fldChar w:fldCharType="end"/>
      </w:r>
    </w:p>
    <w:p w14:paraId="611B1D06">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_Toc7595 </w:instrText>
      </w:r>
      <w:r>
        <w:rPr>
          <w:bCs/>
          <w:caps/>
          <w:szCs w:val="21"/>
          <w:highlight w:val="none"/>
        </w:rPr>
        <w:fldChar w:fldCharType="separate"/>
      </w:r>
      <w:r>
        <w:rPr>
          <w:rFonts w:hint="eastAsia"/>
          <w:highlight w:val="none"/>
        </w:rPr>
        <w:t>Ｅ开标和评标</w:t>
      </w:r>
      <w:r>
        <w:tab/>
      </w:r>
      <w:r>
        <w:fldChar w:fldCharType="begin"/>
      </w:r>
      <w:r>
        <w:instrText xml:space="preserve"> PAGEREF _Toc7595 \h </w:instrText>
      </w:r>
      <w:r>
        <w:fldChar w:fldCharType="separate"/>
      </w:r>
      <w:r>
        <w:t>40</w:t>
      </w:r>
      <w:r>
        <w:fldChar w:fldCharType="end"/>
      </w:r>
      <w:r>
        <w:rPr>
          <w:bCs/>
          <w:caps/>
          <w:color w:val="auto"/>
          <w:szCs w:val="21"/>
          <w:highlight w:val="none"/>
        </w:rPr>
        <w:fldChar w:fldCharType="end"/>
      </w:r>
    </w:p>
    <w:p w14:paraId="76904224">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_Toc17090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_Toc17090 \h </w:instrText>
      </w:r>
      <w:r>
        <w:fldChar w:fldCharType="separate"/>
      </w:r>
      <w:r>
        <w:t>40</w:t>
      </w:r>
      <w:r>
        <w:fldChar w:fldCharType="end"/>
      </w:r>
      <w:r>
        <w:rPr>
          <w:bCs/>
          <w:caps/>
          <w:color w:val="auto"/>
          <w:szCs w:val="21"/>
          <w:highlight w:val="none"/>
        </w:rPr>
        <w:fldChar w:fldCharType="end"/>
      </w:r>
    </w:p>
    <w:p w14:paraId="49484B13">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_Toc1513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_Toc1513 \h </w:instrText>
      </w:r>
      <w:r>
        <w:fldChar w:fldCharType="separate"/>
      </w:r>
      <w:r>
        <w:t>40</w:t>
      </w:r>
      <w:r>
        <w:fldChar w:fldCharType="end"/>
      </w:r>
      <w:r>
        <w:rPr>
          <w:bCs/>
          <w:caps/>
          <w:color w:val="auto"/>
          <w:szCs w:val="21"/>
          <w:highlight w:val="none"/>
        </w:rPr>
        <w:fldChar w:fldCharType="end"/>
      </w:r>
    </w:p>
    <w:p w14:paraId="39DD2577">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_Toc17821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_Toc17821 \h </w:instrText>
      </w:r>
      <w:r>
        <w:fldChar w:fldCharType="separate"/>
      </w:r>
      <w:r>
        <w:t>40</w:t>
      </w:r>
      <w:r>
        <w:fldChar w:fldCharType="end"/>
      </w:r>
      <w:r>
        <w:rPr>
          <w:bCs/>
          <w:caps/>
          <w:color w:val="auto"/>
          <w:szCs w:val="21"/>
          <w:highlight w:val="none"/>
        </w:rPr>
        <w:fldChar w:fldCharType="end"/>
      </w:r>
    </w:p>
    <w:p w14:paraId="349374D9">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_Toc18872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_Toc18872 \h </w:instrText>
      </w:r>
      <w:r>
        <w:fldChar w:fldCharType="separate"/>
      </w:r>
      <w:r>
        <w:t>41</w:t>
      </w:r>
      <w:r>
        <w:fldChar w:fldCharType="end"/>
      </w:r>
      <w:r>
        <w:rPr>
          <w:bCs/>
          <w:caps/>
          <w:color w:val="auto"/>
          <w:szCs w:val="21"/>
          <w:highlight w:val="none"/>
        </w:rPr>
        <w:fldChar w:fldCharType="end"/>
      </w:r>
    </w:p>
    <w:p w14:paraId="220B0C45">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_Toc6064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_Toc6064 \h </w:instrText>
      </w:r>
      <w:r>
        <w:fldChar w:fldCharType="separate"/>
      </w:r>
      <w:r>
        <w:t>41</w:t>
      </w:r>
      <w:r>
        <w:fldChar w:fldCharType="end"/>
      </w:r>
      <w:r>
        <w:rPr>
          <w:bCs/>
          <w:caps/>
          <w:color w:val="auto"/>
          <w:szCs w:val="21"/>
          <w:highlight w:val="none"/>
        </w:rPr>
        <w:fldChar w:fldCharType="end"/>
      </w:r>
    </w:p>
    <w:p w14:paraId="4D20F090">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_Toc29474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_Toc29474 \h </w:instrText>
      </w:r>
      <w:r>
        <w:fldChar w:fldCharType="separate"/>
      </w:r>
      <w:r>
        <w:t>41</w:t>
      </w:r>
      <w:r>
        <w:fldChar w:fldCharType="end"/>
      </w:r>
      <w:r>
        <w:rPr>
          <w:bCs/>
          <w:caps/>
          <w:color w:val="auto"/>
          <w:szCs w:val="21"/>
          <w:highlight w:val="none"/>
        </w:rPr>
        <w:fldChar w:fldCharType="end"/>
      </w:r>
    </w:p>
    <w:p w14:paraId="12E7AD29">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_Toc21549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_Toc21549 \h </w:instrText>
      </w:r>
      <w:r>
        <w:fldChar w:fldCharType="separate"/>
      </w:r>
      <w:r>
        <w:t>42</w:t>
      </w:r>
      <w:r>
        <w:fldChar w:fldCharType="end"/>
      </w:r>
      <w:r>
        <w:rPr>
          <w:bCs/>
          <w:caps/>
          <w:color w:val="auto"/>
          <w:szCs w:val="21"/>
          <w:highlight w:val="none"/>
        </w:rPr>
        <w:fldChar w:fldCharType="end"/>
      </w:r>
    </w:p>
    <w:p w14:paraId="10978B0D">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_Toc19607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_Toc19607 \h </w:instrText>
      </w:r>
      <w:r>
        <w:fldChar w:fldCharType="separate"/>
      </w:r>
      <w:r>
        <w:t>42</w:t>
      </w:r>
      <w:r>
        <w:fldChar w:fldCharType="end"/>
      </w:r>
      <w:r>
        <w:rPr>
          <w:bCs/>
          <w:caps/>
          <w:color w:val="auto"/>
          <w:szCs w:val="21"/>
          <w:highlight w:val="none"/>
        </w:rPr>
        <w:fldChar w:fldCharType="end"/>
      </w:r>
    </w:p>
    <w:p w14:paraId="48E5DDF9">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_Toc28584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_Toc28584 \h </w:instrText>
      </w:r>
      <w:r>
        <w:fldChar w:fldCharType="separate"/>
      </w:r>
      <w:r>
        <w:t>42</w:t>
      </w:r>
      <w:r>
        <w:fldChar w:fldCharType="end"/>
      </w:r>
      <w:r>
        <w:rPr>
          <w:bCs/>
          <w:caps/>
          <w:color w:val="auto"/>
          <w:szCs w:val="21"/>
          <w:highlight w:val="none"/>
        </w:rPr>
        <w:fldChar w:fldCharType="end"/>
      </w:r>
    </w:p>
    <w:p w14:paraId="3546775E">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_Toc1207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_Toc1207 \h </w:instrText>
      </w:r>
      <w:r>
        <w:fldChar w:fldCharType="separate"/>
      </w:r>
      <w:r>
        <w:t>42</w:t>
      </w:r>
      <w:r>
        <w:fldChar w:fldCharType="end"/>
      </w:r>
      <w:r>
        <w:rPr>
          <w:bCs/>
          <w:caps/>
          <w:color w:val="auto"/>
          <w:szCs w:val="21"/>
          <w:highlight w:val="none"/>
        </w:rPr>
        <w:fldChar w:fldCharType="end"/>
      </w:r>
    </w:p>
    <w:p w14:paraId="4167B16C">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_Toc8500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_Toc8500 \h </w:instrText>
      </w:r>
      <w:r>
        <w:fldChar w:fldCharType="separate"/>
      </w:r>
      <w:r>
        <w:t>42</w:t>
      </w:r>
      <w:r>
        <w:fldChar w:fldCharType="end"/>
      </w:r>
      <w:r>
        <w:rPr>
          <w:bCs/>
          <w:caps/>
          <w:color w:val="auto"/>
          <w:szCs w:val="21"/>
          <w:highlight w:val="none"/>
        </w:rPr>
        <w:fldChar w:fldCharType="end"/>
      </w:r>
    </w:p>
    <w:p w14:paraId="3327E8AC">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_Toc30070 </w:instrText>
      </w:r>
      <w:r>
        <w:rPr>
          <w:bCs/>
          <w:caps/>
          <w:szCs w:val="21"/>
          <w:highlight w:val="none"/>
        </w:rPr>
        <w:fldChar w:fldCharType="separate"/>
      </w:r>
      <w:r>
        <w:rPr>
          <w:rFonts w:hint="eastAsia"/>
          <w:highlight w:val="none"/>
        </w:rPr>
        <w:t>Ｆ  授予合同</w:t>
      </w:r>
      <w:r>
        <w:tab/>
      </w:r>
      <w:r>
        <w:fldChar w:fldCharType="begin"/>
      </w:r>
      <w:r>
        <w:instrText xml:space="preserve"> PAGEREF _Toc30070 \h </w:instrText>
      </w:r>
      <w:r>
        <w:fldChar w:fldCharType="separate"/>
      </w:r>
      <w:r>
        <w:t>44</w:t>
      </w:r>
      <w:r>
        <w:fldChar w:fldCharType="end"/>
      </w:r>
      <w:r>
        <w:rPr>
          <w:bCs/>
          <w:caps/>
          <w:color w:val="auto"/>
          <w:szCs w:val="21"/>
          <w:highlight w:val="none"/>
        </w:rPr>
        <w:fldChar w:fldCharType="end"/>
      </w:r>
    </w:p>
    <w:p w14:paraId="44172C43">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_Toc1395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_Toc1395 \h </w:instrText>
      </w:r>
      <w:r>
        <w:fldChar w:fldCharType="separate"/>
      </w:r>
      <w:r>
        <w:t>44</w:t>
      </w:r>
      <w:r>
        <w:fldChar w:fldCharType="end"/>
      </w:r>
      <w:r>
        <w:rPr>
          <w:bCs/>
          <w:caps/>
          <w:color w:val="auto"/>
          <w:szCs w:val="21"/>
          <w:highlight w:val="none"/>
        </w:rPr>
        <w:fldChar w:fldCharType="end"/>
      </w:r>
    </w:p>
    <w:p w14:paraId="76577B89">
      <w:pPr>
        <w:pStyle w:val="22"/>
        <w:tabs>
          <w:tab w:val="right" w:leader="dot" w:pos="8959"/>
          <w:tab w:val="clear" w:pos="840"/>
          <w:tab w:val="clear" w:pos="1004"/>
          <w:tab w:val="clear" w:pos="8948"/>
        </w:tabs>
      </w:pPr>
      <w:r>
        <w:rPr>
          <w:bCs/>
          <w:caps/>
          <w:color w:val="auto"/>
          <w:szCs w:val="21"/>
          <w:highlight w:val="none"/>
        </w:rPr>
        <w:fldChar w:fldCharType="begin"/>
      </w:r>
      <w:r>
        <w:rPr>
          <w:bCs/>
          <w:caps/>
          <w:szCs w:val="21"/>
          <w:highlight w:val="none"/>
        </w:rPr>
        <w:instrText xml:space="preserve"> HYPERLINK \l _Toc20835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_Toc20835 \h </w:instrText>
      </w:r>
      <w:r>
        <w:fldChar w:fldCharType="separate"/>
      </w:r>
      <w:r>
        <w:t>44</w:t>
      </w:r>
      <w:r>
        <w:fldChar w:fldCharType="end"/>
      </w:r>
      <w:r>
        <w:rPr>
          <w:bCs/>
          <w:caps/>
          <w:color w:val="auto"/>
          <w:szCs w:val="21"/>
          <w:highlight w:val="none"/>
        </w:rPr>
        <w:fldChar w:fldCharType="end"/>
      </w:r>
    </w:p>
    <w:p w14:paraId="16E5337C">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_Toc21324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_Toc21324 \h </w:instrText>
      </w:r>
      <w:r>
        <w:fldChar w:fldCharType="separate"/>
      </w:r>
      <w:r>
        <w:t>45</w:t>
      </w:r>
      <w:r>
        <w:fldChar w:fldCharType="end"/>
      </w:r>
      <w:r>
        <w:rPr>
          <w:bCs/>
          <w:caps/>
          <w:color w:val="auto"/>
          <w:szCs w:val="21"/>
          <w:highlight w:val="none"/>
        </w:rPr>
        <w:fldChar w:fldCharType="end"/>
      </w:r>
    </w:p>
    <w:p w14:paraId="4ECBF4C1">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_Toc20500 </w:instrText>
      </w:r>
      <w:r>
        <w:rPr>
          <w:bCs/>
          <w:caps/>
          <w:szCs w:val="21"/>
          <w:highlight w:val="none"/>
        </w:rPr>
        <w:fldChar w:fldCharType="separate"/>
      </w:r>
      <w:r>
        <w:rPr>
          <w:rFonts w:hint="eastAsia"/>
          <w:highlight w:val="none"/>
        </w:rPr>
        <w:t>H、评标细则</w:t>
      </w:r>
      <w:r>
        <w:tab/>
      </w:r>
      <w:r>
        <w:fldChar w:fldCharType="begin"/>
      </w:r>
      <w:r>
        <w:instrText xml:space="preserve"> PAGEREF _Toc20500 \h </w:instrText>
      </w:r>
      <w:r>
        <w:fldChar w:fldCharType="separate"/>
      </w:r>
      <w:r>
        <w:t>47</w:t>
      </w:r>
      <w:r>
        <w:fldChar w:fldCharType="end"/>
      </w:r>
      <w:r>
        <w:rPr>
          <w:bCs/>
          <w:caps/>
          <w:color w:val="auto"/>
          <w:szCs w:val="21"/>
          <w:highlight w:val="none"/>
        </w:rPr>
        <w:fldChar w:fldCharType="end"/>
      </w:r>
    </w:p>
    <w:p w14:paraId="23073179">
      <w:pPr>
        <w:pStyle w:val="30"/>
        <w:tabs>
          <w:tab w:val="right" w:leader="dot" w:pos="8959"/>
          <w:tab w:val="clear" w:pos="8949"/>
        </w:tabs>
      </w:pPr>
      <w:r>
        <w:rPr>
          <w:bCs/>
          <w:caps/>
          <w:color w:val="auto"/>
          <w:szCs w:val="21"/>
          <w:highlight w:val="none"/>
        </w:rPr>
        <w:fldChar w:fldCharType="begin"/>
      </w:r>
      <w:r>
        <w:rPr>
          <w:bCs/>
          <w:caps/>
          <w:szCs w:val="21"/>
          <w:highlight w:val="none"/>
        </w:rPr>
        <w:instrText xml:space="preserve"> HYPERLINK \l _Toc30495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_Toc30495 \h </w:instrText>
      </w:r>
      <w:r>
        <w:fldChar w:fldCharType="separate"/>
      </w:r>
      <w:r>
        <w:t>56</w:t>
      </w:r>
      <w:r>
        <w:fldChar w:fldCharType="end"/>
      </w:r>
      <w:r>
        <w:rPr>
          <w:bCs/>
          <w:caps/>
          <w:color w:val="auto"/>
          <w:szCs w:val="21"/>
          <w:highlight w:val="none"/>
        </w:rPr>
        <w:fldChar w:fldCharType="end"/>
      </w:r>
    </w:p>
    <w:p w14:paraId="1F655FC0">
      <w:pPr>
        <w:pStyle w:val="30"/>
        <w:tabs>
          <w:tab w:val="right" w:leader="dot" w:pos="8959"/>
          <w:tab w:val="clear" w:pos="8949"/>
        </w:tabs>
      </w:pPr>
      <w:r>
        <w:rPr>
          <w:bCs/>
          <w:caps/>
          <w:color w:val="auto"/>
          <w:szCs w:val="21"/>
          <w:highlight w:val="none"/>
        </w:rPr>
        <w:fldChar w:fldCharType="begin"/>
      </w:r>
      <w:r>
        <w:rPr>
          <w:bCs/>
          <w:caps/>
          <w:szCs w:val="21"/>
          <w:highlight w:val="none"/>
        </w:rPr>
        <w:instrText xml:space="preserve"> HYPERLINK \l _Toc31496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_Toc31496 \h </w:instrText>
      </w:r>
      <w:r>
        <w:fldChar w:fldCharType="separate"/>
      </w:r>
      <w:r>
        <w:t>59</w:t>
      </w:r>
      <w:r>
        <w:fldChar w:fldCharType="end"/>
      </w:r>
      <w:r>
        <w:rPr>
          <w:bCs/>
          <w:caps/>
          <w:color w:val="auto"/>
          <w:szCs w:val="21"/>
          <w:highlight w:val="none"/>
        </w:rPr>
        <w:fldChar w:fldCharType="end"/>
      </w:r>
    </w:p>
    <w:p w14:paraId="50F1BA3A">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_Toc20644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_Toc20644 \h </w:instrText>
      </w:r>
      <w:r>
        <w:fldChar w:fldCharType="separate"/>
      </w:r>
      <w:r>
        <w:t>59</w:t>
      </w:r>
      <w:r>
        <w:fldChar w:fldCharType="end"/>
      </w:r>
      <w:r>
        <w:rPr>
          <w:bCs/>
          <w:caps/>
          <w:color w:val="auto"/>
          <w:szCs w:val="21"/>
          <w:highlight w:val="none"/>
        </w:rPr>
        <w:fldChar w:fldCharType="end"/>
      </w:r>
    </w:p>
    <w:p w14:paraId="27BF027F">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_Toc1657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_Toc1657 \h </w:instrText>
      </w:r>
      <w:r>
        <w:fldChar w:fldCharType="separate"/>
      </w:r>
      <w:r>
        <w:t>61</w:t>
      </w:r>
      <w:r>
        <w:fldChar w:fldCharType="end"/>
      </w:r>
      <w:r>
        <w:rPr>
          <w:bCs/>
          <w:caps/>
          <w:color w:val="auto"/>
          <w:szCs w:val="21"/>
          <w:highlight w:val="none"/>
        </w:rPr>
        <w:fldChar w:fldCharType="end"/>
      </w:r>
    </w:p>
    <w:p w14:paraId="78F5D47E">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_Toc28905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_Toc28905 \h </w:instrText>
      </w:r>
      <w:r>
        <w:fldChar w:fldCharType="separate"/>
      </w:r>
      <w:r>
        <w:t>61</w:t>
      </w:r>
      <w:r>
        <w:fldChar w:fldCharType="end"/>
      </w:r>
      <w:r>
        <w:rPr>
          <w:bCs/>
          <w:caps/>
          <w:color w:val="auto"/>
          <w:szCs w:val="21"/>
          <w:highlight w:val="none"/>
        </w:rPr>
        <w:fldChar w:fldCharType="end"/>
      </w:r>
    </w:p>
    <w:p w14:paraId="1B1FAB65">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_Toc15870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_Toc15870 \h </w:instrText>
      </w:r>
      <w:r>
        <w:fldChar w:fldCharType="separate"/>
      </w:r>
      <w:r>
        <w:t>63</w:t>
      </w:r>
      <w:r>
        <w:fldChar w:fldCharType="end"/>
      </w:r>
      <w:r>
        <w:rPr>
          <w:bCs/>
          <w:caps/>
          <w:color w:val="auto"/>
          <w:szCs w:val="21"/>
          <w:highlight w:val="none"/>
        </w:rPr>
        <w:fldChar w:fldCharType="end"/>
      </w:r>
    </w:p>
    <w:p w14:paraId="69745C31">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_Toc24833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_Toc24833 \h </w:instrText>
      </w:r>
      <w:r>
        <w:fldChar w:fldCharType="separate"/>
      </w:r>
      <w:r>
        <w:t>64</w:t>
      </w:r>
      <w:r>
        <w:fldChar w:fldCharType="end"/>
      </w:r>
      <w:r>
        <w:rPr>
          <w:bCs/>
          <w:caps/>
          <w:color w:val="auto"/>
          <w:szCs w:val="21"/>
          <w:highlight w:val="none"/>
        </w:rPr>
        <w:fldChar w:fldCharType="end"/>
      </w:r>
    </w:p>
    <w:p w14:paraId="7D91E9A0">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_Toc2789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_Toc2789 \h </w:instrText>
      </w:r>
      <w:r>
        <w:fldChar w:fldCharType="separate"/>
      </w:r>
      <w:r>
        <w:t>65</w:t>
      </w:r>
      <w:r>
        <w:fldChar w:fldCharType="end"/>
      </w:r>
      <w:r>
        <w:rPr>
          <w:bCs/>
          <w:caps/>
          <w:color w:val="auto"/>
          <w:szCs w:val="21"/>
          <w:highlight w:val="none"/>
        </w:rPr>
        <w:fldChar w:fldCharType="end"/>
      </w:r>
    </w:p>
    <w:p w14:paraId="55DD9A15">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_Toc32609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_Toc32609 \h </w:instrText>
      </w:r>
      <w:r>
        <w:fldChar w:fldCharType="separate"/>
      </w:r>
      <w:r>
        <w:t>65</w:t>
      </w:r>
      <w:r>
        <w:fldChar w:fldCharType="end"/>
      </w:r>
      <w:r>
        <w:rPr>
          <w:bCs/>
          <w:caps/>
          <w:color w:val="auto"/>
          <w:szCs w:val="21"/>
          <w:highlight w:val="none"/>
        </w:rPr>
        <w:fldChar w:fldCharType="end"/>
      </w:r>
    </w:p>
    <w:p w14:paraId="08F37250">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_Toc2730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_Toc2730 \h </w:instrText>
      </w:r>
      <w:r>
        <w:fldChar w:fldCharType="separate"/>
      </w:r>
      <w:r>
        <w:t>67</w:t>
      </w:r>
      <w:r>
        <w:fldChar w:fldCharType="end"/>
      </w:r>
      <w:r>
        <w:rPr>
          <w:bCs/>
          <w:caps/>
          <w:color w:val="auto"/>
          <w:szCs w:val="21"/>
          <w:highlight w:val="none"/>
        </w:rPr>
        <w:fldChar w:fldCharType="end"/>
      </w:r>
    </w:p>
    <w:p w14:paraId="07D15571">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_Toc12547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_Toc12547 \h </w:instrText>
      </w:r>
      <w:r>
        <w:fldChar w:fldCharType="separate"/>
      </w:r>
      <w:r>
        <w:t>68</w:t>
      </w:r>
      <w:r>
        <w:fldChar w:fldCharType="end"/>
      </w:r>
      <w:r>
        <w:rPr>
          <w:bCs/>
          <w:caps/>
          <w:color w:val="auto"/>
          <w:szCs w:val="21"/>
          <w:highlight w:val="none"/>
        </w:rPr>
        <w:fldChar w:fldCharType="end"/>
      </w:r>
    </w:p>
    <w:p w14:paraId="28328DC3">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_Toc7686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_Toc7686 \h </w:instrText>
      </w:r>
      <w:r>
        <w:fldChar w:fldCharType="separate"/>
      </w:r>
      <w:r>
        <w:t>69</w:t>
      </w:r>
      <w:r>
        <w:fldChar w:fldCharType="end"/>
      </w:r>
      <w:r>
        <w:rPr>
          <w:bCs/>
          <w:caps/>
          <w:color w:val="auto"/>
          <w:szCs w:val="21"/>
          <w:highlight w:val="none"/>
        </w:rPr>
        <w:fldChar w:fldCharType="end"/>
      </w:r>
    </w:p>
    <w:p w14:paraId="2EDB8161">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_Toc19656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_Toc19656 \h </w:instrText>
      </w:r>
      <w:r>
        <w:fldChar w:fldCharType="separate"/>
      </w:r>
      <w:r>
        <w:t>70</w:t>
      </w:r>
      <w:r>
        <w:fldChar w:fldCharType="end"/>
      </w:r>
      <w:r>
        <w:rPr>
          <w:bCs/>
          <w:caps/>
          <w:color w:val="auto"/>
          <w:szCs w:val="21"/>
          <w:highlight w:val="none"/>
        </w:rPr>
        <w:fldChar w:fldCharType="end"/>
      </w:r>
    </w:p>
    <w:p w14:paraId="50AB2620">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_Toc23891 </w:instrText>
      </w:r>
      <w:r>
        <w:rPr>
          <w:bCs/>
          <w:caps/>
          <w:szCs w:val="21"/>
          <w:highlight w:val="none"/>
        </w:rPr>
        <w:fldChar w:fldCharType="separate"/>
      </w:r>
      <w:r>
        <w:rPr>
          <w:rFonts w:hint="eastAsia"/>
          <w:highlight w:val="none"/>
        </w:rPr>
        <w:t>附件一：投标函</w:t>
      </w:r>
      <w:r>
        <w:tab/>
      </w:r>
      <w:r>
        <w:fldChar w:fldCharType="begin"/>
      </w:r>
      <w:r>
        <w:instrText xml:space="preserve"> PAGEREF _Toc23891 \h </w:instrText>
      </w:r>
      <w:r>
        <w:fldChar w:fldCharType="separate"/>
      </w:r>
      <w:r>
        <w:t>71</w:t>
      </w:r>
      <w:r>
        <w:fldChar w:fldCharType="end"/>
      </w:r>
      <w:r>
        <w:rPr>
          <w:bCs/>
          <w:caps/>
          <w:color w:val="auto"/>
          <w:szCs w:val="21"/>
          <w:highlight w:val="none"/>
        </w:rPr>
        <w:fldChar w:fldCharType="end"/>
      </w:r>
    </w:p>
    <w:p w14:paraId="1A973D1F">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_Toc6826 </w:instrText>
      </w:r>
      <w:r>
        <w:rPr>
          <w:bCs/>
          <w:caps/>
          <w:szCs w:val="21"/>
          <w:highlight w:val="none"/>
        </w:rPr>
        <w:fldChar w:fldCharType="separate"/>
      </w:r>
      <w:r>
        <w:rPr>
          <w:rFonts w:hint="eastAsia"/>
          <w:highlight w:val="none"/>
        </w:rPr>
        <w:t>附件二：开标一览表</w:t>
      </w:r>
      <w:r>
        <w:tab/>
      </w:r>
      <w:r>
        <w:fldChar w:fldCharType="begin"/>
      </w:r>
      <w:r>
        <w:instrText xml:space="preserve"> PAGEREF _Toc6826 \h </w:instrText>
      </w:r>
      <w:r>
        <w:fldChar w:fldCharType="separate"/>
      </w:r>
      <w:r>
        <w:t>72</w:t>
      </w:r>
      <w:r>
        <w:fldChar w:fldCharType="end"/>
      </w:r>
      <w:r>
        <w:rPr>
          <w:bCs/>
          <w:caps/>
          <w:color w:val="auto"/>
          <w:szCs w:val="21"/>
          <w:highlight w:val="none"/>
        </w:rPr>
        <w:fldChar w:fldCharType="end"/>
      </w:r>
    </w:p>
    <w:p w14:paraId="770EAD35">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_Toc1389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_Toc1389 \h </w:instrText>
      </w:r>
      <w:r>
        <w:fldChar w:fldCharType="separate"/>
      </w:r>
      <w:r>
        <w:t>73</w:t>
      </w:r>
      <w:r>
        <w:fldChar w:fldCharType="end"/>
      </w:r>
      <w:r>
        <w:rPr>
          <w:bCs/>
          <w:caps/>
          <w:color w:val="auto"/>
          <w:szCs w:val="21"/>
          <w:highlight w:val="none"/>
        </w:rPr>
        <w:fldChar w:fldCharType="end"/>
      </w:r>
    </w:p>
    <w:p w14:paraId="574A6D09">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_Toc19901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_Toc19901 \h </w:instrText>
      </w:r>
      <w:r>
        <w:fldChar w:fldCharType="separate"/>
      </w:r>
      <w:r>
        <w:t>74</w:t>
      </w:r>
      <w:r>
        <w:fldChar w:fldCharType="end"/>
      </w:r>
      <w:r>
        <w:rPr>
          <w:bCs/>
          <w:caps/>
          <w:color w:val="auto"/>
          <w:szCs w:val="21"/>
          <w:highlight w:val="none"/>
        </w:rPr>
        <w:fldChar w:fldCharType="end"/>
      </w:r>
    </w:p>
    <w:p w14:paraId="69506CAC">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_Toc18482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_Toc18482 \h </w:instrText>
      </w:r>
      <w:r>
        <w:fldChar w:fldCharType="separate"/>
      </w:r>
      <w:r>
        <w:t>75</w:t>
      </w:r>
      <w:r>
        <w:fldChar w:fldCharType="end"/>
      </w:r>
      <w:r>
        <w:rPr>
          <w:bCs/>
          <w:caps/>
          <w:color w:val="auto"/>
          <w:szCs w:val="21"/>
          <w:highlight w:val="none"/>
        </w:rPr>
        <w:fldChar w:fldCharType="end"/>
      </w:r>
    </w:p>
    <w:p w14:paraId="5376C4D8">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_Toc22296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_Toc22296 \h </w:instrText>
      </w:r>
      <w:r>
        <w:fldChar w:fldCharType="separate"/>
      </w:r>
      <w:r>
        <w:t>76</w:t>
      </w:r>
      <w:r>
        <w:fldChar w:fldCharType="end"/>
      </w:r>
      <w:r>
        <w:rPr>
          <w:bCs/>
          <w:caps/>
          <w:color w:val="auto"/>
          <w:szCs w:val="21"/>
          <w:highlight w:val="none"/>
        </w:rPr>
        <w:fldChar w:fldCharType="end"/>
      </w:r>
    </w:p>
    <w:p w14:paraId="3934893F">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_Toc1603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_Toc1603 \h </w:instrText>
      </w:r>
      <w:r>
        <w:fldChar w:fldCharType="separate"/>
      </w:r>
      <w:r>
        <w:t>77</w:t>
      </w:r>
      <w:r>
        <w:fldChar w:fldCharType="end"/>
      </w:r>
      <w:r>
        <w:rPr>
          <w:bCs/>
          <w:caps/>
          <w:color w:val="auto"/>
          <w:szCs w:val="21"/>
          <w:highlight w:val="none"/>
        </w:rPr>
        <w:fldChar w:fldCharType="end"/>
      </w:r>
    </w:p>
    <w:p w14:paraId="41247F71">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_Toc8473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_Toc8473 \h </w:instrText>
      </w:r>
      <w:r>
        <w:fldChar w:fldCharType="separate"/>
      </w:r>
      <w:r>
        <w:t>78</w:t>
      </w:r>
      <w:r>
        <w:fldChar w:fldCharType="end"/>
      </w:r>
      <w:r>
        <w:rPr>
          <w:bCs/>
          <w:caps/>
          <w:color w:val="auto"/>
          <w:szCs w:val="21"/>
          <w:highlight w:val="none"/>
        </w:rPr>
        <w:fldChar w:fldCharType="end"/>
      </w:r>
    </w:p>
    <w:p w14:paraId="7B01915D">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_Toc25544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_Toc25544 \h </w:instrText>
      </w:r>
      <w:r>
        <w:fldChar w:fldCharType="separate"/>
      </w:r>
      <w:r>
        <w:t>79</w:t>
      </w:r>
      <w:r>
        <w:fldChar w:fldCharType="end"/>
      </w:r>
      <w:r>
        <w:rPr>
          <w:bCs/>
          <w:caps/>
          <w:color w:val="auto"/>
          <w:szCs w:val="21"/>
          <w:highlight w:val="none"/>
        </w:rPr>
        <w:fldChar w:fldCharType="end"/>
      </w:r>
    </w:p>
    <w:p w14:paraId="50050DDC">
      <w:pPr>
        <w:pStyle w:val="37"/>
        <w:tabs>
          <w:tab w:val="right" w:leader="dot" w:pos="8959"/>
          <w:tab w:val="clear" w:pos="8948"/>
        </w:tabs>
      </w:pPr>
      <w:r>
        <w:rPr>
          <w:bCs/>
          <w:caps/>
          <w:color w:val="auto"/>
          <w:szCs w:val="21"/>
          <w:highlight w:val="none"/>
        </w:rPr>
        <w:fldChar w:fldCharType="begin"/>
      </w:r>
      <w:r>
        <w:rPr>
          <w:bCs/>
          <w:caps/>
          <w:szCs w:val="21"/>
          <w:highlight w:val="none"/>
        </w:rPr>
        <w:instrText xml:space="preserve"> HYPERLINK \l _Toc32153 </w:instrText>
      </w:r>
      <w:r>
        <w:rPr>
          <w:bCs/>
          <w:caps/>
          <w:szCs w:val="21"/>
          <w:highlight w:val="none"/>
        </w:rPr>
        <w:fldChar w:fldCharType="separate"/>
      </w:r>
      <w:r>
        <w:rPr>
          <w:rFonts w:hint="eastAsia"/>
          <w:highlight w:val="none"/>
        </w:rPr>
        <w:t>其 他 格 式</w:t>
      </w:r>
      <w:r>
        <w:tab/>
      </w:r>
      <w:r>
        <w:fldChar w:fldCharType="begin"/>
      </w:r>
      <w:r>
        <w:instrText xml:space="preserve"> PAGEREF _Toc32153 \h </w:instrText>
      </w:r>
      <w:r>
        <w:fldChar w:fldCharType="separate"/>
      </w:r>
      <w:r>
        <w:t>81</w:t>
      </w:r>
      <w:r>
        <w:fldChar w:fldCharType="end"/>
      </w:r>
      <w:r>
        <w:rPr>
          <w:bCs/>
          <w:caps/>
          <w:color w:val="auto"/>
          <w:szCs w:val="21"/>
          <w:highlight w:val="none"/>
        </w:rPr>
        <w:fldChar w:fldCharType="end"/>
      </w:r>
    </w:p>
    <w:p w14:paraId="4CB164D5">
      <w:pPr>
        <w:rPr>
          <w:color w:val="auto"/>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auto"/>
          <w:szCs w:val="21"/>
          <w:highlight w:val="none"/>
        </w:rPr>
        <w:fldChar w:fldCharType="end"/>
      </w:r>
    </w:p>
    <w:bookmarkEnd w:id="0"/>
    <w:p w14:paraId="785EC946">
      <w:pPr>
        <w:pStyle w:val="2"/>
        <w:pageBreakBefore w:val="0"/>
        <w:numPr>
          <w:ilvl w:val="0"/>
          <w:numId w:val="0"/>
        </w:numPr>
        <w:kinsoku/>
        <w:wordWrap/>
        <w:overflowPunct/>
        <w:topLinePunct w:val="0"/>
        <w:bidi w:val="0"/>
        <w:spacing w:beforeLines="0" w:line="400" w:lineRule="exact"/>
        <w:rPr>
          <w:color w:val="auto"/>
          <w:highlight w:val="none"/>
        </w:rPr>
      </w:pPr>
      <w:bookmarkStart w:id="1" w:name="_Toc341348291"/>
      <w:bookmarkStart w:id="2" w:name="_Toc365967002"/>
      <w:bookmarkStart w:id="3" w:name="_Toc333935278"/>
      <w:bookmarkStart w:id="4" w:name="_Toc336681537"/>
      <w:bookmarkStart w:id="5" w:name="_Toc342296708"/>
      <w:bookmarkStart w:id="6" w:name="_Toc340507403"/>
      <w:bookmarkStart w:id="7" w:name="_Toc337632315"/>
      <w:bookmarkStart w:id="8" w:name="_Toc350756403"/>
      <w:bookmarkStart w:id="9" w:name="_Toc349127583"/>
      <w:bookmarkStart w:id="10" w:name="_Toc342060322"/>
      <w:bookmarkStart w:id="11" w:name="_Toc365985108"/>
      <w:bookmarkStart w:id="12" w:name="_Toc331683994"/>
      <w:bookmarkStart w:id="13" w:name="_Toc333238571"/>
      <w:bookmarkStart w:id="14" w:name="_Toc339019954"/>
      <w:bookmarkStart w:id="15" w:name="_Toc339362257"/>
      <w:bookmarkStart w:id="16" w:name="_Toc332270305"/>
      <w:bookmarkStart w:id="17" w:name="_Toc339441044"/>
      <w:bookmarkStart w:id="18" w:name="_Toc339020048"/>
      <w:bookmarkStart w:id="19" w:name="_Toc366072457"/>
      <w:bookmarkStart w:id="20" w:name="_Toc332206657"/>
      <w:bookmarkStart w:id="21" w:name="_Toc333237723"/>
      <w:bookmarkStart w:id="22" w:name="_Toc339020186"/>
      <w:bookmarkStart w:id="23" w:name="_Toc333935619"/>
      <w:bookmarkStart w:id="24" w:name="_Toc339019828"/>
      <w:bookmarkStart w:id="25" w:name="_Toc331512856"/>
      <w:bookmarkStart w:id="26" w:name="_Toc330459945"/>
      <w:bookmarkStart w:id="27" w:name="_Toc349143546"/>
      <w:bookmarkStart w:id="28" w:name="_Toc340672830"/>
      <w:bookmarkStart w:id="29" w:name="_Toc350438702"/>
      <w:bookmarkStart w:id="30" w:name="_Toc333237612"/>
      <w:bookmarkStart w:id="31" w:name="_Toc336681892"/>
      <w:bookmarkStart w:id="32" w:name="_Toc345513762"/>
      <w:bookmarkStart w:id="33" w:name="_Toc340677031"/>
      <w:bookmarkStart w:id="34" w:name="_Toc22138"/>
      <w:bookmarkStart w:id="35" w:name="_Toc500860978"/>
      <w:r>
        <w:rPr>
          <w:rFonts w:hint="eastAsia"/>
          <w:color w:val="auto"/>
          <w:highlight w:val="none"/>
        </w:rPr>
        <w:t>第一</w:t>
      </w:r>
      <w:bookmarkStart w:id="36" w:name="_Hlt23321731"/>
      <w:bookmarkEnd w:id="36"/>
      <w:r>
        <w:rPr>
          <w:rFonts w:hint="eastAsia"/>
          <w:color w:val="auto"/>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7CEA9F1">
      <w:pPr>
        <w:pageBreakBefore w:val="0"/>
        <w:widowControl/>
        <w:tabs>
          <w:tab w:val="left" w:pos="502"/>
          <w:tab w:val="left" w:pos="5145"/>
        </w:tabs>
        <w:kinsoku/>
        <w:wordWrap/>
        <w:overflowPunct/>
        <w:topLinePunct w:val="0"/>
        <w:bidi w:val="0"/>
        <w:adjustRightInd w:val="0"/>
        <w:snapToGrid w:val="0"/>
        <w:spacing w:line="400" w:lineRule="exact"/>
        <w:ind w:left="105" w:leftChars="50" w:firstLine="420" w:firstLineChars="200"/>
        <w:jc w:val="left"/>
        <w:rPr>
          <w:rFonts w:ascii="宋体" w:hAnsi="宋体"/>
          <w:bCs/>
          <w:color w:val="auto"/>
          <w:highlight w:val="none"/>
        </w:rPr>
      </w:pPr>
      <w:r>
        <w:rPr>
          <w:rFonts w:hint="eastAsia" w:ascii="宋体" w:hAnsi="宋体"/>
          <w:bCs/>
          <w:color w:val="auto"/>
          <w:highlight w:val="none"/>
        </w:rPr>
        <w:t>广东业信采购招标有限公司（以下简称“代理采购机构”）受</w:t>
      </w:r>
      <w:r>
        <w:rPr>
          <w:rFonts w:hint="eastAsia" w:ascii="宋体" w:hAnsi="宋体"/>
          <w:bCs/>
          <w:color w:val="auto"/>
          <w:highlight w:val="none"/>
          <w:lang w:eastAsia="zh-CN"/>
        </w:rPr>
        <w:t>阳江市同心中学</w:t>
      </w:r>
      <w:r>
        <w:rPr>
          <w:rFonts w:hint="eastAsia" w:ascii="宋体" w:hAnsi="宋体"/>
          <w:bCs/>
          <w:color w:val="auto"/>
          <w:highlight w:val="none"/>
        </w:rPr>
        <w:t>（以下简称</w:t>
      </w:r>
      <w:r>
        <w:rPr>
          <w:rFonts w:ascii="宋体" w:hAnsi="宋体"/>
          <w:bCs/>
          <w:color w:val="auto"/>
          <w:highlight w:val="none"/>
        </w:rPr>
        <w:t>“</w:t>
      </w:r>
      <w:r>
        <w:rPr>
          <w:rFonts w:hint="eastAsia" w:ascii="宋体" w:hAnsi="宋体"/>
          <w:bCs/>
          <w:color w:val="auto"/>
          <w:highlight w:val="none"/>
        </w:rPr>
        <w:t>采购人</w:t>
      </w:r>
      <w:r>
        <w:rPr>
          <w:rFonts w:ascii="宋体" w:hAnsi="宋体"/>
          <w:bCs/>
          <w:color w:val="auto"/>
          <w:highlight w:val="none"/>
        </w:rPr>
        <w:t>”</w:t>
      </w:r>
      <w:r>
        <w:rPr>
          <w:rFonts w:hint="eastAsia" w:ascii="宋体" w:hAnsi="宋体"/>
          <w:bCs/>
          <w:color w:val="auto"/>
          <w:highlight w:val="none"/>
        </w:rPr>
        <w:t>）的委托，就</w:t>
      </w:r>
      <w:r>
        <w:rPr>
          <w:rFonts w:hint="eastAsia" w:ascii="宋体" w:hAnsi="宋体"/>
          <w:bCs/>
          <w:color w:val="auto"/>
          <w:highlight w:val="none"/>
          <w:lang w:eastAsia="zh-CN"/>
        </w:rPr>
        <w:t>阳江市同心中学食堂食材采购项目</w:t>
      </w:r>
      <w:r>
        <w:rPr>
          <w:rFonts w:hint="eastAsia" w:ascii="宋体" w:hAnsi="宋体"/>
          <w:bCs/>
          <w:color w:val="auto"/>
          <w:highlight w:val="none"/>
        </w:rPr>
        <w:t>进行公开招标(项目编号:</w:t>
      </w:r>
      <w:r>
        <w:rPr>
          <w:rFonts w:hint="eastAsia" w:ascii="宋体" w:hAnsi="宋体"/>
          <w:bCs/>
          <w:color w:val="auto"/>
          <w:highlight w:val="none"/>
          <w:lang w:eastAsia="zh-CN"/>
        </w:rPr>
        <w:t>YXCG-20250117</w:t>
      </w:r>
      <w:r>
        <w:rPr>
          <w:rFonts w:hint="eastAsia" w:ascii="宋体" w:hAnsi="宋体"/>
          <w:bCs/>
          <w:color w:val="auto"/>
          <w:highlight w:val="none"/>
        </w:rPr>
        <w:t>)，欢迎符合条件的投标人参加。有关事项如下：</w:t>
      </w:r>
    </w:p>
    <w:p w14:paraId="44CFD138">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auto"/>
          <w:szCs w:val="21"/>
          <w:highlight w:val="none"/>
        </w:rPr>
      </w:pPr>
      <w:r>
        <w:rPr>
          <w:rFonts w:hint="eastAsia" w:ascii="宋体" w:hAnsi="宋体" w:cs="Tahoma"/>
          <w:b/>
          <w:bCs/>
          <w:color w:val="auto"/>
          <w:highlight w:val="none"/>
        </w:rPr>
        <w:t>一、</w:t>
      </w:r>
      <w:r>
        <w:rPr>
          <w:rFonts w:hint="eastAsia" w:ascii="Tahoma" w:hAnsi="Tahoma" w:cs="Tahoma"/>
          <w:b/>
          <w:bCs/>
          <w:color w:val="auto"/>
          <w:szCs w:val="21"/>
          <w:highlight w:val="none"/>
        </w:rPr>
        <w:t>招标项目的名称、用途、数量、采购方式</w:t>
      </w:r>
    </w:p>
    <w:p w14:paraId="0295C11F">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1785" w:leftChars="200" w:hanging="1365" w:hangingChars="650"/>
        <w:rPr>
          <w:rFonts w:ascii="宋体" w:hAnsi="宋体"/>
          <w:bCs/>
          <w:color w:val="auto"/>
          <w:highlight w:val="none"/>
        </w:rPr>
      </w:pPr>
      <w:r>
        <w:rPr>
          <w:rFonts w:hint="eastAsia" w:ascii="宋体" w:hAnsi="宋体"/>
          <w:bCs/>
          <w:color w:val="auto"/>
          <w:highlight w:val="none"/>
        </w:rPr>
        <w:t>项目名称：</w:t>
      </w:r>
      <w:r>
        <w:rPr>
          <w:rFonts w:hint="eastAsia" w:ascii="宋体" w:hAnsi="宋体"/>
          <w:bCs/>
          <w:color w:val="auto"/>
          <w:highlight w:val="none"/>
          <w:lang w:eastAsia="zh-CN"/>
        </w:rPr>
        <w:t>阳江市同心中学食堂食材采购项目</w:t>
      </w:r>
    </w:p>
    <w:p w14:paraId="20E08C48">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auto"/>
          <w:highlight w:val="none"/>
        </w:rPr>
      </w:pPr>
      <w:r>
        <w:rPr>
          <w:rFonts w:hint="eastAsia" w:ascii="宋体" w:hAnsi="宋体"/>
          <w:bCs/>
          <w:color w:val="auto"/>
          <w:highlight w:val="none"/>
        </w:rPr>
        <w:t xml:space="preserve">项目编号: </w:t>
      </w:r>
      <w:r>
        <w:rPr>
          <w:rFonts w:hint="eastAsia" w:ascii="宋体" w:hAnsi="宋体"/>
          <w:bCs/>
          <w:color w:val="auto"/>
          <w:highlight w:val="none"/>
          <w:lang w:eastAsia="zh-CN"/>
        </w:rPr>
        <w:t>YXCG-20250117</w:t>
      </w:r>
    </w:p>
    <w:p w14:paraId="0A8B5A09">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服务期：自合同签订之日起至2026年1月31日止。</w:t>
      </w:r>
    </w:p>
    <w:p w14:paraId="4A0E9523">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采购预算金额</w:t>
      </w:r>
      <w:r>
        <w:rPr>
          <w:rFonts w:hint="eastAsia" w:ascii="宋体" w:hAnsi="宋体"/>
          <w:bCs/>
          <w:color w:val="auto"/>
          <w:highlight w:val="none"/>
        </w:rPr>
        <w:t>：人民币</w:t>
      </w:r>
      <w:r>
        <w:rPr>
          <w:rFonts w:hint="eastAsia" w:ascii="宋体" w:hAnsi="宋体"/>
          <w:bCs/>
          <w:color w:val="auto"/>
          <w:highlight w:val="none"/>
          <w:lang w:val="en-US" w:eastAsia="zh-CN"/>
        </w:rPr>
        <w:t>2900000.00</w:t>
      </w:r>
      <w:r>
        <w:rPr>
          <w:rFonts w:hint="eastAsia" w:ascii="宋体" w:hAnsi="宋体"/>
          <w:bCs/>
          <w:color w:val="auto"/>
          <w:highlight w:val="none"/>
        </w:rPr>
        <w:t>元</w:t>
      </w:r>
    </w:p>
    <w:p w14:paraId="792C4BD1">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lang w:val="en-US" w:eastAsia="zh-CN"/>
        </w:rPr>
        <w:t>各包组情况</w:t>
      </w:r>
    </w:p>
    <w:tbl>
      <w:tblPr>
        <w:tblStyle w:val="46"/>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4823"/>
        <w:gridCol w:w="1438"/>
        <w:gridCol w:w="1330"/>
      </w:tblGrid>
      <w:tr w14:paraId="4870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25" w:type="dxa"/>
            <w:noWrap w:val="0"/>
            <w:vAlign w:val="center"/>
          </w:tcPr>
          <w:p w14:paraId="2FBA1644">
            <w:pPr>
              <w:keepNext w:val="0"/>
              <w:keepLines w:val="0"/>
              <w:suppressLineNumbers w:val="0"/>
              <w:snapToGrid w:val="0"/>
              <w:spacing w:before="0" w:beforeAutospacing="0" w:after="0" w:afterAutospacing="0" w:line="400" w:lineRule="exact"/>
              <w:ind w:left="0" w:right="0"/>
              <w:jc w:val="center"/>
              <w:rPr>
                <w:rFonts w:hint="eastAsia" w:ascii="宋体" w:hAnsi="宋体"/>
                <w:b/>
                <w:bCs/>
                <w:color w:val="auto"/>
                <w:highlight w:val="none"/>
              </w:rPr>
            </w:pPr>
            <w:r>
              <w:rPr>
                <w:rFonts w:hint="eastAsia" w:ascii="宋体" w:hAnsi="宋体"/>
                <w:b/>
                <w:bCs/>
                <w:color w:val="auto"/>
                <w:highlight w:val="none"/>
              </w:rPr>
              <w:t>包组号</w:t>
            </w:r>
          </w:p>
        </w:tc>
        <w:tc>
          <w:tcPr>
            <w:tcW w:w="4823" w:type="dxa"/>
            <w:noWrap w:val="0"/>
            <w:vAlign w:val="center"/>
          </w:tcPr>
          <w:p w14:paraId="52C75170">
            <w:pPr>
              <w:keepNext w:val="0"/>
              <w:keepLines w:val="0"/>
              <w:suppressLineNumbers w:val="0"/>
              <w:snapToGrid w:val="0"/>
              <w:spacing w:before="0" w:beforeAutospacing="0" w:after="0" w:afterAutospacing="0" w:line="400" w:lineRule="exact"/>
              <w:ind w:left="0" w:right="0"/>
              <w:jc w:val="center"/>
              <w:rPr>
                <w:rFonts w:hint="eastAsia" w:ascii="宋体" w:hAnsi="宋体" w:eastAsia="宋体"/>
                <w:b/>
                <w:bCs/>
                <w:color w:val="auto"/>
                <w:highlight w:val="none"/>
                <w:lang w:eastAsia="zh-CN"/>
              </w:rPr>
            </w:pPr>
            <w:r>
              <w:rPr>
                <w:rFonts w:hint="eastAsia" w:ascii="宋体" w:hAnsi="宋体"/>
                <w:b/>
                <w:bCs/>
                <w:color w:val="auto"/>
                <w:highlight w:val="none"/>
              </w:rPr>
              <w:t>采购</w:t>
            </w:r>
            <w:r>
              <w:rPr>
                <w:rFonts w:hint="eastAsia" w:ascii="宋体" w:hAnsi="宋体"/>
                <w:b/>
                <w:bCs/>
                <w:color w:val="auto"/>
                <w:highlight w:val="none"/>
                <w:lang w:val="en-US" w:eastAsia="zh-CN"/>
              </w:rPr>
              <w:t>标的</w:t>
            </w:r>
          </w:p>
        </w:tc>
        <w:tc>
          <w:tcPr>
            <w:tcW w:w="1438" w:type="dxa"/>
            <w:noWrap w:val="0"/>
            <w:vAlign w:val="center"/>
          </w:tcPr>
          <w:p w14:paraId="4AD0FAC9">
            <w:pPr>
              <w:keepNext w:val="0"/>
              <w:keepLines w:val="0"/>
              <w:suppressLineNumbers w:val="0"/>
              <w:snapToGrid w:val="0"/>
              <w:spacing w:before="0" w:beforeAutospacing="0" w:after="0" w:afterAutospacing="0" w:line="400" w:lineRule="exact"/>
              <w:ind w:left="0" w:right="0"/>
              <w:jc w:val="center"/>
              <w:rPr>
                <w:rFonts w:hint="eastAsia" w:ascii="宋体" w:hAnsi="宋体"/>
                <w:b/>
                <w:bCs/>
                <w:color w:val="auto"/>
                <w:highlight w:val="none"/>
              </w:rPr>
            </w:pPr>
            <w:r>
              <w:rPr>
                <w:rFonts w:hint="eastAsia" w:ascii="宋体" w:hAnsi="宋体"/>
                <w:b/>
                <w:bCs/>
                <w:color w:val="auto"/>
                <w:highlight w:val="none"/>
              </w:rPr>
              <w:t>金额</w:t>
            </w:r>
          </w:p>
          <w:p w14:paraId="351E6443">
            <w:pPr>
              <w:keepNext w:val="0"/>
              <w:keepLines w:val="0"/>
              <w:suppressLineNumbers w:val="0"/>
              <w:snapToGrid w:val="0"/>
              <w:spacing w:before="0" w:beforeAutospacing="0" w:after="0" w:afterAutospacing="0" w:line="400" w:lineRule="exact"/>
              <w:ind w:left="0" w:right="0"/>
              <w:jc w:val="center"/>
              <w:rPr>
                <w:rFonts w:hint="eastAsia" w:ascii="宋体" w:hAnsi="宋体" w:eastAsiaTheme="minorEastAsia"/>
                <w:b/>
                <w:bCs/>
                <w:color w:val="auto"/>
                <w:highlight w:val="none"/>
                <w:lang w:eastAsia="zh-CN"/>
              </w:rPr>
            </w:pPr>
            <w:r>
              <w:rPr>
                <w:rFonts w:hint="eastAsia" w:ascii="宋体" w:hAnsi="宋体"/>
                <w:b/>
                <w:bCs/>
                <w:color w:val="auto"/>
                <w:highlight w:val="none"/>
                <w:lang w:eastAsia="zh-CN"/>
              </w:rPr>
              <w:t>（</w:t>
            </w:r>
            <w:r>
              <w:rPr>
                <w:rFonts w:hint="eastAsia" w:ascii="宋体" w:hAnsi="宋体"/>
                <w:b/>
                <w:bCs/>
                <w:color w:val="auto"/>
                <w:highlight w:val="none"/>
                <w:lang w:val="en-US" w:eastAsia="zh-CN"/>
              </w:rPr>
              <w:t>元</w:t>
            </w:r>
            <w:r>
              <w:rPr>
                <w:rFonts w:hint="eastAsia" w:ascii="宋体" w:hAnsi="宋体"/>
                <w:b/>
                <w:bCs/>
                <w:color w:val="auto"/>
                <w:highlight w:val="none"/>
                <w:lang w:eastAsia="zh-CN"/>
              </w:rPr>
              <w:t>）</w:t>
            </w:r>
          </w:p>
        </w:tc>
        <w:tc>
          <w:tcPr>
            <w:tcW w:w="1330" w:type="dxa"/>
            <w:noWrap w:val="0"/>
            <w:vAlign w:val="center"/>
          </w:tcPr>
          <w:p w14:paraId="73FB9065">
            <w:pPr>
              <w:keepNext w:val="0"/>
              <w:keepLines w:val="0"/>
              <w:suppressLineNumbers w:val="0"/>
              <w:snapToGrid w:val="0"/>
              <w:spacing w:before="0" w:beforeAutospacing="0" w:after="0" w:afterAutospacing="0" w:line="400" w:lineRule="exact"/>
              <w:ind w:left="0" w:right="0"/>
              <w:jc w:val="center"/>
              <w:rPr>
                <w:rFonts w:hint="eastAsia" w:ascii="宋体" w:hAnsi="宋体"/>
                <w:b/>
                <w:bCs/>
                <w:color w:val="auto"/>
                <w:highlight w:val="none"/>
              </w:rPr>
            </w:pPr>
            <w:r>
              <w:rPr>
                <w:rFonts w:hint="eastAsia" w:ascii="宋体" w:hAnsi="宋体"/>
                <w:b/>
                <w:bCs/>
                <w:color w:val="auto"/>
                <w:highlight w:val="none"/>
                <w:lang w:val="en-US"/>
              </w:rPr>
              <w:t>中标供应商数量</w:t>
            </w:r>
          </w:p>
        </w:tc>
      </w:tr>
      <w:tr w14:paraId="1CB0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125" w:type="dxa"/>
            <w:noWrap w:val="0"/>
            <w:vAlign w:val="center"/>
          </w:tcPr>
          <w:p w14:paraId="3EE13DC3">
            <w:pPr>
              <w:pStyle w:val="307"/>
              <w:keepNext w:val="0"/>
              <w:keepLines w:val="0"/>
              <w:suppressLineNumbers w:val="0"/>
              <w:spacing w:before="3" w:beforeAutospacing="0" w:after="0" w:afterAutospacing="0"/>
              <w:ind w:left="0" w:right="0"/>
              <w:jc w:val="center"/>
              <w:rPr>
                <w:rFonts w:hint="default"/>
                <w:color w:val="auto"/>
                <w:szCs w:val="21"/>
                <w:highlight w:val="none"/>
                <w:lang w:val="en-US"/>
              </w:rPr>
            </w:pPr>
            <w:r>
              <w:rPr>
                <w:rFonts w:hint="eastAsia"/>
                <w:color w:val="auto"/>
                <w:szCs w:val="21"/>
                <w:highlight w:val="none"/>
                <w:lang w:val="en-US"/>
              </w:rPr>
              <w:t>01包组</w:t>
            </w:r>
          </w:p>
        </w:tc>
        <w:tc>
          <w:tcPr>
            <w:tcW w:w="4823" w:type="dxa"/>
            <w:noWrap w:val="0"/>
            <w:vAlign w:val="center"/>
          </w:tcPr>
          <w:p w14:paraId="2F13A2A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猪肉、牛肉、羊肉、粉皮类等</w:t>
            </w:r>
            <w:r>
              <w:rPr>
                <w:rFonts w:hint="eastAsia"/>
                <w:color w:val="auto"/>
                <w:highlight w:val="none"/>
                <w:lang w:eastAsia="zh-CN"/>
              </w:rPr>
              <w:t>配送服务</w:t>
            </w:r>
          </w:p>
        </w:tc>
        <w:tc>
          <w:tcPr>
            <w:tcW w:w="1438" w:type="dxa"/>
            <w:noWrap w:val="0"/>
            <w:vAlign w:val="center"/>
          </w:tcPr>
          <w:p w14:paraId="58BDA3F7">
            <w:pPr>
              <w:pStyle w:val="307"/>
              <w:keepNext w:val="0"/>
              <w:keepLines w:val="0"/>
              <w:suppressLineNumbers w:val="0"/>
              <w:spacing w:before="3" w:beforeAutospacing="0" w:after="0" w:afterAutospacing="0"/>
              <w:ind w:left="0" w:right="0"/>
              <w:jc w:val="center"/>
              <w:rPr>
                <w:rFonts w:hint="default"/>
                <w:color w:val="auto"/>
                <w:szCs w:val="21"/>
                <w:highlight w:val="none"/>
                <w:lang w:val="en-US" w:eastAsia="zh-CN"/>
              </w:rPr>
            </w:pPr>
            <w:r>
              <w:rPr>
                <w:rFonts w:hint="eastAsia"/>
                <w:color w:val="auto"/>
                <w:szCs w:val="21"/>
                <w:highlight w:val="none"/>
                <w:lang w:val="en-US" w:eastAsia="zh-CN"/>
              </w:rPr>
              <w:t>750000.00</w:t>
            </w:r>
          </w:p>
        </w:tc>
        <w:tc>
          <w:tcPr>
            <w:tcW w:w="1330" w:type="dxa"/>
            <w:noWrap w:val="0"/>
            <w:vAlign w:val="center"/>
          </w:tcPr>
          <w:p w14:paraId="1344315B">
            <w:pPr>
              <w:pStyle w:val="307"/>
              <w:keepNext w:val="0"/>
              <w:keepLines w:val="0"/>
              <w:suppressLineNumbers w:val="0"/>
              <w:spacing w:before="3"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1家</w:t>
            </w:r>
          </w:p>
        </w:tc>
      </w:tr>
      <w:tr w14:paraId="134C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125" w:type="dxa"/>
            <w:noWrap w:val="0"/>
            <w:vAlign w:val="center"/>
          </w:tcPr>
          <w:p w14:paraId="2336B7E0">
            <w:pPr>
              <w:pStyle w:val="307"/>
              <w:keepNext w:val="0"/>
              <w:keepLines w:val="0"/>
              <w:suppressLineNumbers w:val="0"/>
              <w:spacing w:before="3" w:beforeAutospacing="0" w:after="0" w:afterAutospacing="0"/>
              <w:ind w:left="0" w:right="0"/>
              <w:jc w:val="center"/>
              <w:rPr>
                <w:rFonts w:hint="eastAsia"/>
                <w:color w:val="auto"/>
                <w:szCs w:val="21"/>
                <w:highlight w:val="none"/>
                <w:lang w:val="en-US"/>
              </w:rPr>
            </w:pPr>
            <w:r>
              <w:rPr>
                <w:rFonts w:hint="eastAsia"/>
                <w:color w:val="auto"/>
                <w:szCs w:val="21"/>
                <w:highlight w:val="none"/>
                <w:lang w:val="en-US"/>
              </w:rPr>
              <w:t>02包组</w:t>
            </w:r>
          </w:p>
        </w:tc>
        <w:tc>
          <w:tcPr>
            <w:tcW w:w="4823" w:type="dxa"/>
            <w:noWrap w:val="0"/>
            <w:vAlign w:val="center"/>
          </w:tcPr>
          <w:p w14:paraId="626C2AD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蔬菜类、豆制品、瓜果等</w:t>
            </w:r>
            <w:r>
              <w:rPr>
                <w:rFonts w:hint="eastAsia"/>
                <w:color w:val="auto"/>
                <w:highlight w:val="none"/>
                <w:lang w:eastAsia="zh-CN"/>
              </w:rPr>
              <w:t>配送服务</w:t>
            </w:r>
          </w:p>
        </w:tc>
        <w:tc>
          <w:tcPr>
            <w:tcW w:w="1438" w:type="dxa"/>
            <w:noWrap w:val="0"/>
            <w:vAlign w:val="center"/>
          </w:tcPr>
          <w:p w14:paraId="76055902">
            <w:pPr>
              <w:pStyle w:val="307"/>
              <w:keepNext w:val="0"/>
              <w:keepLines w:val="0"/>
              <w:suppressLineNumbers w:val="0"/>
              <w:spacing w:before="3"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650000.00</w:t>
            </w:r>
          </w:p>
        </w:tc>
        <w:tc>
          <w:tcPr>
            <w:tcW w:w="1330" w:type="dxa"/>
            <w:noWrap w:val="0"/>
            <w:vAlign w:val="center"/>
          </w:tcPr>
          <w:p w14:paraId="1C7C04C4">
            <w:pPr>
              <w:pStyle w:val="307"/>
              <w:keepNext w:val="0"/>
              <w:keepLines w:val="0"/>
              <w:suppressLineNumbers w:val="0"/>
              <w:spacing w:before="3" w:beforeAutospacing="0" w:after="0" w:afterAutospacing="0"/>
              <w:ind w:left="0" w:right="0"/>
              <w:jc w:val="center"/>
              <w:rPr>
                <w:rFonts w:hint="eastAsia"/>
                <w:color w:val="auto"/>
                <w:szCs w:val="21"/>
                <w:highlight w:val="none"/>
                <w:lang w:val="en-US"/>
              </w:rPr>
            </w:pPr>
            <w:r>
              <w:rPr>
                <w:rFonts w:hint="eastAsia"/>
                <w:color w:val="auto"/>
                <w:szCs w:val="21"/>
                <w:highlight w:val="none"/>
                <w:lang w:val="en-US" w:eastAsia="zh-CN"/>
              </w:rPr>
              <w:t>1家</w:t>
            </w:r>
          </w:p>
        </w:tc>
      </w:tr>
      <w:tr w14:paraId="5C66E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25" w:type="dxa"/>
            <w:noWrap w:val="0"/>
            <w:vAlign w:val="center"/>
          </w:tcPr>
          <w:p w14:paraId="69B9D1FB">
            <w:pPr>
              <w:pStyle w:val="307"/>
              <w:keepNext w:val="0"/>
              <w:keepLines w:val="0"/>
              <w:suppressLineNumbers w:val="0"/>
              <w:spacing w:before="3" w:beforeAutospacing="0" w:after="0" w:afterAutospacing="0"/>
              <w:ind w:left="0" w:right="0"/>
              <w:jc w:val="center"/>
              <w:rPr>
                <w:rFonts w:hint="eastAsia"/>
                <w:color w:val="auto"/>
                <w:szCs w:val="21"/>
                <w:highlight w:val="none"/>
                <w:lang w:val="en-US"/>
              </w:rPr>
            </w:pPr>
            <w:r>
              <w:rPr>
                <w:rFonts w:hint="eastAsia"/>
                <w:color w:val="auto"/>
                <w:szCs w:val="21"/>
                <w:highlight w:val="none"/>
                <w:lang w:val="en-US"/>
              </w:rPr>
              <w:t>03包组</w:t>
            </w:r>
          </w:p>
        </w:tc>
        <w:tc>
          <w:tcPr>
            <w:tcW w:w="4823" w:type="dxa"/>
            <w:noWrap w:val="0"/>
            <w:vAlign w:val="center"/>
          </w:tcPr>
          <w:p w14:paraId="567334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1"/>
                <w:szCs w:val="21"/>
                <w:highlight w:val="none"/>
                <w:lang w:val="en-US"/>
              </w:rPr>
            </w:pPr>
            <w:r>
              <w:rPr>
                <w:rFonts w:hint="eastAsia" w:ascii="宋体" w:hAnsi="宋体" w:eastAsia="宋体" w:cs="宋体"/>
                <w:i w:val="0"/>
                <w:iCs w:val="0"/>
                <w:color w:val="auto"/>
                <w:kern w:val="0"/>
                <w:sz w:val="21"/>
                <w:szCs w:val="21"/>
                <w:highlight w:val="none"/>
                <w:u w:val="none"/>
                <w:lang w:val="en-US" w:eastAsia="zh-CN" w:bidi="ar"/>
              </w:rPr>
              <w:t>鸡、鹅、鸭 、鱼类等</w:t>
            </w:r>
            <w:r>
              <w:rPr>
                <w:rFonts w:hint="eastAsia"/>
                <w:color w:val="auto"/>
                <w:highlight w:val="none"/>
                <w:lang w:eastAsia="zh-CN"/>
              </w:rPr>
              <w:t>配送服务</w:t>
            </w:r>
          </w:p>
        </w:tc>
        <w:tc>
          <w:tcPr>
            <w:tcW w:w="1438" w:type="dxa"/>
            <w:noWrap w:val="0"/>
            <w:vAlign w:val="center"/>
          </w:tcPr>
          <w:p w14:paraId="2F46955C">
            <w:pPr>
              <w:pStyle w:val="307"/>
              <w:keepNext w:val="0"/>
              <w:keepLines w:val="0"/>
              <w:suppressLineNumbers w:val="0"/>
              <w:spacing w:before="3"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740000.00</w:t>
            </w:r>
          </w:p>
        </w:tc>
        <w:tc>
          <w:tcPr>
            <w:tcW w:w="1330" w:type="dxa"/>
            <w:noWrap w:val="0"/>
            <w:vAlign w:val="center"/>
          </w:tcPr>
          <w:p w14:paraId="54930426">
            <w:pPr>
              <w:pStyle w:val="307"/>
              <w:keepNext w:val="0"/>
              <w:keepLines w:val="0"/>
              <w:suppressLineNumbers w:val="0"/>
              <w:spacing w:before="3" w:beforeAutospacing="0" w:after="0" w:afterAutospacing="0"/>
              <w:ind w:left="0" w:right="0"/>
              <w:jc w:val="center"/>
              <w:rPr>
                <w:rFonts w:hint="eastAsia"/>
                <w:color w:val="auto"/>
                <w:szCs w:val="21"/>
                <w:highlight w:val="none"/>
                <w:lang w:val="en-US"/>
              </w:rPr>
            </w:pPr>
            <w:r>
              <w:rPr>
                <w:rFonts w:hint="eastAsia"/>
                <w:color w:val="auto"/>
                <w:szCs w:val="21"/>
                <w:highlight w:val="none"/>
                <w:lang w:val="en-US" w:eastAsia="zh-CN"/>
              </w:rPr>
              <w:t>1家</w:t>
            </w:r>
          </w:p>
        </w:tc>
      </w:tr>
      <w:tr w14:paraId="4C9B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125" w:type="dxa"/>
            <w:noWrap w:val="0"/>
            <w:vAlign w:val="center"/>
          </w:tcPr>
          <w:p w14:paraId="268684C3">
            <w:pPr>
              <w:pStyle w:val="307"/>
              <w:keepNext w:val="0"/>
              <w:keepLines w:val="0"/>
              <w:suppressLineNumbers w:val="0"/>
              <w:spacing w:before="3" w:beforeAutospacing="0" w:after="0" w:afterAutospacing="0"/>
              <w:ind w:left="0" w:right="0"/>
              <w:jc w:val="center"/>
              <w:rPr>
                <w:rFonts w:hint="default" w:eastAsia="宋体"/>
                <w:color w:val="auto"/>
                <w:szCs w:val="21"/>
                <w:highlight w:val="none"/>
                <w:lang w:val="en-US" w:eastAsia="zh-CN"/>
              </w:rPr>
            </w:pPr>
            <w:r>
              <w:rPr>
                <w:rFonts w:hint="eastAsia"/>
                <w:color w:val="auto"/>
                <w:szCs w:val="21"/>
                <w:highlight w:val="none"/>
                <w:lang w:val="en-US" w:eastAsia="zh-CN"/>
              </w:rPr>
              <w:t>04包组</w:t>
            </w:r>
          </w:p>
        </w:tc>
        <w:tc>
          <w:tcPr>
            <w:tcW w:w="4823" w:type="dxa"/>
            <w:noWrap w:val="0"/>
            <w:vAlign w:val="center"/>
          </w:tcPr>
          <w:p w14:paraId="6F9F7A4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大米、油、蛋、调味品、包点、面、米线、干货类等</w:t>
            </w:r>
            <w:r>
              <w:rPr>
                <w:rFonts w:hint="eastAsia"/>
                <w:color w:val="auto"/>
                <w:highlight w:val="none"/>
                <w:lang w:eastAsia="zh-CN"/>
              </w:rPr>
              <w:t>配送服务</w:t>
            </w:r>
          </w:p>
        </w:tc>
        <w:tc>
          <w:tcPr>
            <w:tcW w:w="1438" w:type="dxa"/>
            <w:noWrap w:val="0"/>
            <w:vAlign w:val="center"/>
          </w:tcPr>
          <w:p w14:paraId="194CFF44">
            <w:pPr>
              <w:pStyle w:val="307"/>
              <w:keepNext w:val="0"/>
              <w:keepLines w:val="0"/>
              <w:suppressLineNumbers w:val="0"/>
              <w:spacing w:before="3" w:beforeAutospacing="0" w:after="0" w:afterAutospacing="0"/>
              <w:ind w:left="0" w:right="0"/>
              <w:jc w:val="center"/>
              <w:rPr>
                <w:rFonts w:hint="default" w:ascii="宋体" w:hAnsi="宋体" w:eastAsia="宋体" w:cs="宋体"/>
                <w:color w:val="auto"/>
                <w:kern w:val="2"/>
                <w:sz w:val="21"/>
                <w:szCs w:val="21"/>
                <w:highlight w:val="none"/>
                <w:lang w:val="en-US" w:eastAsia="zh-CN" w:bidi="zh-CN"/>
              </w:rPr>
            </w:pPr>
            <w:r>
              <w:rPr>
                <w:rFonts w:hint="eastAsia" w:cs="宋体"/>
                <w:color w:val="auto"/>
                <w:kern w:val="2"/>
                <w:sz w:val="21"/>
                <w:szCs w:val="21"/>
                <w:highlight w:val="none"/>
                <w:lang w:val="en-US" w:eastAsia="zh-CN" w:bidi="zh-CN"/>
              </w:rPr>
              <w:t>760000.00</w:t>
            </w:r>
          </w:p>
        </w:tc>
        <w:tc>
          <w:tcPr>
            <w:tcW w:w="1330" w:type="dxa"/>
            <w:noWrap w:val="0"/>
            <w:vAlign w:val="center"/>
          </w:tcPr>
          <w:p w14:paraId="3F85029C">
            <w:pPr>
              <w:pStyle w:val="307"/>
              <w:keepNext w:val="0"/>
              <w:keepLines w:val="0"/>
              <w:suppressLineNumbers w:val="0"/>
              <w:spacing w:before="3" w:beforeAutospacing="0" w:after="0" w:afterAutospacing="0"/>
              <w:ind w:left="0" w:right="0"/>
              <w:jc w:val="center"/>
              <w:rPr>
                <w:rFonts w:hint="eastAsia"/>
                <w:color w:val="auto"/>
                <w:szCs w:val="21"/>
                <w:highlight w:val="none"/>
                <w:lang w:val="en-US" w:eastAsia="zh-CN"/>
              </w:rPr>
            </w:pPr>
            <w:r>
              <w:rPr>
                <w:rFonts w:hint="eastAsia"/>
                <w:color w:val="auto"/>
                <w:szCs w:val="21"/>
                <w:highlight w:val="none"/>
                <w:lang w:val="en-US" w:eastAsia="zh-CN"/>
              </w:rPr>
              <w:t>1家</w:t>
            </w:r>
          </w:p>
        </w:tc>
      </w:tr>
      <w:tr w14:paraId="4CE61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948" w:type="dxa"/>
            <w:gridSpan w:val="2"/>
            <w:noWrap w:val="0"/>
            <w:vAlign w:val="center"/>
          </w:tcPr>
          <w:p w14:paraId="1A732B1B">
            <w:pPr>
              <w:pStyle w:val="307"/>
              <w:keepNext w:val="0"/>
              <w:keepLines w:val="0"/>
              <w:suppressLineNumbers w:val="0"/>
              <w:spacing w:before="3" w:beforeAutospacing="0" w:after="0" w:afterAutospacing="0"/>
              <w:ind w:left="0" w:right="0"/>
              <w:jc w:val="center"/>
              <w:rPr>
                <w:rFonts w:hint="default"/>
                <w:color w:val="auto"/>
                <w:szCs w:val="21"/>
                <w:highlight w:val="none"/>
                <w:lang w:val="en-US" w:eastAsia="zh-CN"/>
              </w:rPr>
            </w:pPr>
            <w:r>
              <w:rPr>
                <w:rFonts w:hint="eastAsia"/>
                <w:color w:val="auto"/>
                <w:szCs w:val="21"/>
                <w:highlight w:val="none"/>
                <w:lang w:val="en-US" w:eastAsia="zh-CN"/>
              </w:rPr>
              <w:t>合计</w:t>
            </w:r>
          </w:p>
        </w:tc>
        <w:tc>
          <w:tcPr>
            <w:tcW w:w="1438" w:type="dxa"/>
            <w:noWrap w:val="0"/>
            <w:vAlign w:val="center"/>
          </w:tcPr>
          <w:p w14:paraId="67C6493D">
            <w:pPr>
              <w:pStyle w:val="307"/>
              <w:keepNext w:val="0"/>
              <w:keepLines w:val="0"/>
              <w:suppressLineNumbers w:val="0"/>
              <w:spacing w:before="3" w:beforeAutospacing="0" w:after="0" w:afterAutospacing="0"/>
              <w:ind w:left="0" w:right="0"/>
              <w:jc w:val="center"/>
              <w:rPr>
                <w:rFonts w:hint="default"/>
                <w:color w:val="auto"/>
                <w:szCs w:val="21"/>
                <w:highlight w:val="none"/>
                <w:lang w:val="en-US" w:eastAsia="zh-CN"/>
              </w:rPr>
            </w:pPr>
            <w:r>
              <w:rPr>
                <w:rFonts w:hint="default"/>
                <w:color w:val="auto"/>
                <w:szCs w:val="21"/>
                <w:highlight w:val="none"/>
                <w:lang w:val="en-US" w:eastAsia="zh-CN"/>
              </w:rPr>
              <w:t>2</w:t>
            </w:r>
            <w:r>
              <w:rPr>
                <w:rFonts w:hint="eastAsia"/>
                <w:color w:val="auto"/>
                <w:szCs w:val="21"/>
                <w:highlight w:val="none"/>
                <w:lang w:val="en-US" w:eastAsia="zh-CN"/>
              </w:rPr>
              <w:t>9</w:t>
            </w:r>
            <w:r>
              <w:rPr>
                <w:rFonts w:hint="default"/>
                <w:color w:val="auto"/>
                <w:szCs w:val="21"/>
                <w:highlight w:val="none"/>
                <w:lang w:val="en-US" w:eastAsia="zh-CN"/>
              </w:rPr>
              <w:t>00000.00</w:t>
            </w:r>
          </w:p>
        </w:tc>
        <w:tc>
          <w:tcPr>
            <w:tcW w:w="1330" w:type="dxa"/>
            <w:noWrap w:val="0"/>
            <w:vAlign w:val="center"/>
          </w:tcPr>
          <w:p w14:paraId="61ACD5D2">
            <w:pPr>
              <w:pStyle w:val="307"/>
              <w:keepNext w:val="0"/>
              <w:keepLines w:val="0"/>
              <w:suppressLineNumbers w:val="0"/>
              <w:spacing w:before="3" w:beforeAutospacing="0" w:after="0" w:afterAutospacing="0"/>
              <w:ind w:left="0" w:right="0"/>
              <w:jc w:val="center"/>
              <w:rPr>
                <w:rFonts w:hint="eastAsia"/>
                <w:color w:val="auto"/>
                <w:szCs w:val="21"/>
                <w:highlight w:val="none"/>
                <w:lang w:val="en-US" w:eastAsia="zh-CN"/>
              </w:rPr>
            </w:pPr>
          </w:p>
        </w:tc>
      </w:tr>
    </w:tbl>
    <w:p w14:paraId="0EAE3E54">
      <w:pPr>
        <w:pStyle w:val="192"/>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outlineLvl w:val="9"/>
        <w:rPr>
          <w:rFonts w:hint="eastAsia" w:ascii="宋体" w:hAnsi="宋体" w:eastAsia="宋体" w:cs="宋体"/>
          <w:color w:val="auto"/>
          <w:szCs w:val="21"/>
          <w:highlight w:val="none"/>
        </w:rPr>
      </w:pPr>
      <w:r>
        <w:rPr>
          <w:rFonts w:hint="eastAsia" w:ascii="宋体" w:hAnsi="宋体"/>
          <w:b/>
          <w:bCs/>
          <w:color w:val="auto"/>
          <w:szCs w:val="21"/>
          <w:highlight w:val="none"/>
        </w:rPr>
        <w:t>注：本项目兼投不兼中，每个投标人最多只能被确定为1个</w:t>
      </w:r>
      <w:r>
        <w:rPr>
          <w:rFonts w:hint="eastAsia" w:ascii="宋体" w:hAnsi="宋体"/>
          <w:b/>
          <w:bCs/>
          <w:color w:val="auto"/>
          <w:szCs w:val="21"/>
          <w:highlight w:val="none"/>
          <w:lang w:val="en-US" w:eastAsia="zh-CN"/>
        </w:rPr>
        <w:t>包组</w:t>
      </w:r>
      <w:r>
        <w:rPr>
          <w:rFonts w:hint="eastAsia" w:ascii="宋体" w:hAnsi="宋体"/>
          <w:b/>
          <w:bCs/>
          <w:color w:val="auto"/>
          <w:szCs w:val="21"/>
          <w:highlight w:val="none"/>
        </w:rPr>
        <w:t>的第一中标候选人。本项目按</w:t>
      </w:r>
      <w:r>
        <w:rPr>
          <w:rFonts w:hint="eastAsia" w:ascii="宋体" w:hAnsi="宋体"/>
          <w:b/>
          <w:bCs/>
          <w:color w:val="auto"/>
          <w:szCs w:val="21"/>
          <w:highlight w:val="none"/>
          <w:lang w:val="en-US" w:eastAsia="zh-CN"/>
        </w:rPr>
        <w:t>包组</w:t>
      </w:r>
      <w:r>
        <w:rPr>
          <w:rFonts w:hint="eastAsia" w:ascii="宋体" w:hAnsi="宋体"/>
          <w:b/>
          <w:bCs/>
          <w:color w:val="auto"/>
          <w:szCs w:val="21"/>
          <w:highlight w:val="none"/>
        </w:rPr>
        <w:t>的顺序进行评审，每包组推荐三名中标候选人。已获得01包组的第一中标候选人资格的，将不具有0</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包组的候选人推荐资格；0</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02</w:t>
      </w:r>
      <w:r>
        <w:rPr>
          <w:rFonts w:hint="eastAsia" w:ascii="宋体" w:hAnsi="宋体"/>
          <w:b/>
          <w:bCs/>
          <w:color w:val="auto"/>
          <w:szCs w:val="21"/>
          <w:highlight w:val="none"/>
        </w:rPr>
        <w:t>包组的第一中标候选人资格的，将不具有0</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包组的候选人推荐资格；0</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包组从具有中标候选人资格的投标人中，排名最高的投标供应商为第一中标候选人，排名次高的投标供应商为第二中标候选人，以此类推。已获得01</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02、03</w:t>
      </w:r>
      <w:r>
        <w:rPr>
          <w:rFonts w:hint="eastAsia" w:ascii="宋体" w:hAnsi="宋体"/>
          <w:b/>
          <w:bCs/>
          <w:color w:val="auto"/>
          <w:szCs w:val="21"/>
          <w:highlight w:val="none"/>
        </w:rPr>
        <w:t>包组的第一中标候选人资格的，将不具有0</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包组的候选人推荐资格；0</w:t>
      </w:r>
      <w:r>
        <w:rPr>
          <w:rFonts w:hint="eastAsia" w:ascii="宋体" w:hAnsi="宋体"/>
          <w:b/>
          <w:bCs/>
          <w:color w:val="auto"/>
          <w:szCs w:val="21"/>
          <w:highlight w:val="none"/>
          <w:lang w:val="en-US" w:eastAsia="zh-CN"/>
        </w:rPr>
        <w:t>4</w:t>
      </w:r>
      <w:r>
        <w:rPr>
          <w:rFonts w:hint="eastAsia" w:ascii="宋体" w:hAnsi="宋体"/>
          <w:b/>
          <w:bCs/>
          <w:color w:val="auto"/>
          <w:szCs w:val="21"/>
          <w:highlight w:val="none"/>
        </w:rPr>
        <w:t>包组从具有中标候选人资格的投标人中，排名最高的投标供应商为第一中标候选人，排名次高的投标供应商为第二中标候选人，以此类推。</w:t>
      </w:r>
    </w:p>
    <w:p w14:paraId="3D22400F">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hint="eastAsia" w:ascii="宋体" w:hAnsi="宋体" w:eastAsia="宋体" w:cs="宋体"/>
          <w:color w:val="auto"/>
          <w:szCs w:val="21"/>
          <w:highlight w:val="none"/>
          <w:lang w:val="en-US" w:eastAsia="zh-CN"/>
        </w:rPr>
      </w:pPr>
      <w:r>
        <w:rPr>
          <w:rFonts w:hint="eastAsia" w:ascii="宋体" w:hAnsi="宋体"/>
          <w:bCs/>
          <w:color w:val="auto"/>
          <w:highlight w:val="none"/>
          <w:lang w:val="en-US" w:eastAsia="zh-CN"/>
        </w:rPr>
        <w:t>报价方式：</w:t>
      </w:r>
      <w:r>
        <w:rPr>
          <w:rFonts w:hint="eastAsia" w:ascii="宋体" w:hAnsi="宋体" w:cs="宋体"/>
          <w:color w:val="auto"/>
          <w:kern w:val="0"/>
          <w:szCs w:val="21"/>
          <w:highlight w:val="none"/>
        </w:rPr>
        <w:t>折扣率报价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0%-100%）</w:t>
      </w:r>
      <w:r>
        <w:rPr>
          <w:rFonts w:hint="eastAsia" w:ascii="宋体" w:hAnsi="宋体" w:cs="宋体"/>
          <w:color w:val="auto"/>
          <w:kern w:val="0"/>
          <w:szCs w:val="21"/>
          <w:highlight w:val="none"/>
          <w:lang w:eastAsia="zh-CN"/>
        </w:rPr>
        <w:t>。</w:t>
      </w:r>
    </w:p>
    <w:p w14:paraId="6A2CA9F4">
      <w:pPr>
        <w:pageBreakBefore w:val="0"/>
        <w:widowControl/>
        <w:numPr>
          <w:ilvl w:val="0"/>
          <w:numId w:val="0"/>
        </w:numPr>
        <w:tabs>
          <w:tab w:val="left" w:pos="735"/>
        </w:tabs>
        <w:kinsoku/>
        <w:wordWrap/>
        <w:overflowPunct/>
        <w:topLinePunct w:val="0"/>
        <w:bidi w:val="0"/>
        <w:adjustRightInd w:val="0"/>
        <w:snapToGrid w:val="0"/>
        <w:spacing w:line="400" w:lineRule="exact"/>
        <w:ind w:leftChars="50"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rPr>
        <w:t>注：投</w:t>
      </w:r>
      <w:r>
        <w:rPr>
          <w:rFonts w:hint="eastAsia" w:ascii="宋体" w:hAnsi="宋体"/>
          <w:color w:val="auto"/>
          <w:highlight w:val="none"/>
        </w:rPr>
        <w:t>标人必须对包</w:t>
      </w:r>
      <w:r>
        <w:rPr>
          <w:rFonts w:hint="eastAsia" w:ascii="宋体" w:hAnsi="宋体"/>
          <w:color w:val="auto"/>
          <w:highlight w:val="none"/>
          <w:lang w:val="en-US" w:eastAsia="zh-CN"/>
        </w:rPr>
        <w:t>组</w:t>
      </w:r>
      <w:r>
        <w:rPr>
          <w:rFonts w:hint="eastAsia" w:ascii="宋体" w:hAnsi="宋体"/>
          <w:color w:val="auto"/>
          <w:highlight w:val="none"/>
        </w:rPr>
        <w:t>内所有内容进行投标，不允许只对包</w:t>
      </w:r>
      <w:r>
        <w:rPr>
          <w:rFonts w:hint="eastAsia" w:ascii="宋体" w:hAnsi="宋体"/>
          <w:color w:val="auto"/>
          <w:highlight w:val="none"/>
          <w:lang w:val="en-US" w:eastAsia="zh-CN"/>
        </w:rPr>
        <w:t>组</w:t>
      </w:r>
      <w:r>
        <w:rPr>
          <w:rFonts w:hint="eastAsia" w:ascii="宋体" w:hAnsi="宋体"/>
          <w:color w:val="auto"/>
          <w:highlight w:val="none"/>
        </w:rPr>
        <w:t>内其中部分内容进行投标。</w:t>
      </w:r>
    </w:p>
    <w:p w14:paraId="472D5198">
      <w:pPr>
        <w:pageBreakBefore w:val="0"/>
        <w:widowControl/>
        <w:numPr>
          <w:ilvl w:val="0"/>
          <w:numId w:val="20"/>
        </w:numPr>
        <w:tabs>
          <w:tab w:val="left" w:pos="735"/>
          <w:tab w:val="clear" w:pos="528"/>
        </w:tabs>
        <w:kinsoku/>
        <w:wordWrap/>
        <w:overflowPunct/>
        <w:topLinePunct w:val="0"/>
        <w:bidi w:val="0"/>
        <w:adjustRightInd w:val="0"/>
        <w:snapToGrid w:val="0"/>
        <w:spacing w:line="400" w:lineRule="exact"/>
        <w:ind w:left="735" w:leftChars="200" w:hanging="315" w:hangingChars="150"/>
        <w:rPr>
          <w:rFonts w:ascii="宋体" w:hAnsi="宋体"/>
          <w:bCs/>
          <w:color w:val="auto"/>
          <w:highlight w:val="none"/>
        </w:rPr>
      </w:pPr>
      <w:r>
        <w:rPr>
          <w:rFonts w:hint="eastAsia" w:ascii="宋体" w:hAnsi="宋体"/>
          <w:bCs/>
          <w:color w:val="auto"/>
          <w:highlight w:val="none"/>
        </w:rPr>
        <w:t>数  量：</w:t>
      </w:r>
      <w:r>
        <w:rPr>
          <w:rFonts w:hint="eastAsia" w:ascii="宋体" w:hAnsi="宋体"/>
          <w:bCs/>
          <w:color w:val="auto"/>
          <w:highlight w:val="none"/>
          <w:lang w:val="en-US" w:eastAsia="zh-CN"/>
        </w:rPr>
        <w:t>四</w:t>
      </w:r>
      <w:r>
        <w:rPr>
          <w:rFonts w:hint="eastAsia" w:ascii="宋体" w:hAnsi="宋体"/>
          <w:bCs/>
          <w:color w:val="auto"/>
          <w:highlight w:val="none"/>
        </w:rPr>
        <w:t>项</w:t>
      </w:r>
    </w:p>
    <w:p w14:paraId="4BE9F1A5">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00" w:lineRule="exact"/>
        <w:ind w:left="420" w:leftChars="200" w:firstLine="0"/>
        <w:rPr>
          <w:rFonts w:ascii="宋体" w:hAnsi="宋体"/>
          <w:bCs/>
          <w:color w:val="auto"/>
          <w:highlight w:val="none"/>
        </w:rPr>
      </w:pPr>
      <w:r>
        <w:rPr>
          <w:rFonts w:hint="eastAsia" w:ascii="宋体" w:hAnsi="宋体" w:cs="Tahoma"/>
          <w:color w:val="auto"/>
          <w:kern w:val="28"/>
          <w:szCs w:val="21"/>
          <w:highlight w:val="none"/>
        </w:rPr>
        <w:t>项目采购方式：公开招标</w:t>
      </w:r>
    </w:p>
    <w:p w14:paraId="65E57183">
      <w:pPr>
        <w:pageBreakBefore w:val="0"/>
        <w:widowControl/>
        <w:tabs>
          <w:tab w:val="left" w:pos="502"/>
        </w:tabs>
        <w:kinsoku/>
        <w:wordWrap/>
        <w:overflowPunct/>
        <w:topLinePunct w:val="0"/>
        <w:bidi w:val="0"/>
        <w:adjustRightInd w:val="0"/>
        <w:snapToGrid w:val="0"/>
        <w:spacing w:line="400" w:lineRule="exact"/>
        <w:rPr>
          <w:rFonts w:ascii="宋体" w:hAnsi="宋体" w:cs="Tahoma"/>
          <w:b/>
          <w:bCs/>
          <w:color w:val="auto"/>
          <w:highlight w:val="none"/>
        </w:rPr>
      </w:pPr>
      <w:r>
        <w:rPr>
          <w:rFonts w:hint="eastAsia" w:ascii="宋体" w:hAnsi="宋体" w:cs="Tahoma"/>
          <w:b/>
          <w:bCs/>
          <w:color w:val="auto"/>
          <w:highlight w:val="none"/>
        </w:rPr>
        <w:t>二、投标人资格要求为：</w:t>
      </w:r>
    </w:p>
    <w:p w14:paraId="68E2E3D0">
      <w:pPr>
        <w:pageBreakBefore w:val="0"/>
        <w:tabs>
          <w:tab w:val="left" w:pos="8042"/>
        </w:tabs>
        <w:kinsoku/>
        <w:wordWrap/>
        <w:overflowPunct/>
        <w:topLinePunct w:val="0"/>
        <w:bidi w:val="0"/>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01包组</w:t>
      </w:r>
      <w:r>
        <w:rPr>
          <w:rFonts w:hint="eastAsia" w:ascii="宋体" w:hAnsi="宋体" w:cs="宋体"/>
          <w:b/>
          <w:bCs/>
          <w:color w:val="auto"/>
          <w:szCs w:val="21"/>
          <w:highlight w:val="none"/>
          <w:lang w:val="en-US" w:eastAsia="zh-CN"/>
        </w:rPr>
        <w:t>、02包组、03包组、04包组：</w:t>
      </w:r>
    </w:p>
    <w:p w14:paraId="617D7988">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投标人应具备《中华人民共和国政府采购法》第二十二条规定的条件：</w:t>
      </w:r>
    </w:p>
    <w:p w14:paraId="775E94BF">
      <w:pPr>
        <w:widowControl/>
        <w:tabs>
          <w:tab w:val="left" w:pos="525"/>
        </w:tabs>
        <w:adjustRightInd w:val="0"/>
        <w:snapToGrid w:val="0"/>
        <w:spacing w:line="360" w:lineRule="auto"/>
        <w:ind w:firstLine="420" w:firstLineChars="200"/>
        <w:rPr>
          <w:rFonts w:ascii="宋体" w:hAnsi="宋体"/>
          <w:color w:val="auto"/>
          <w:highlight w:val="none"/>
        </w:rPr>
      </w:pPr>
      <w:r>
        <w:rPr>
          <w:rFonts w:hint="eastAsia" w:ascii="宋体" w:hAnsi="宋体" w:eastAsia="宋体" w:cs="宋体"/>
          <w:color w:val="auto"/>
          <w:szCs w:val="21"/>
          <w:highlight w:val="none"/>
        </w:rPr>
        <w:t>1）</w:t>
      </w:r>
      <w:r>
        <w:rPr>
          <w:rFonts w:ascii="宋体" w:hAnsi="宋体"/>
          <w:color w:val="auto"/>
          <w:highlight w:val="none"/>
        </w:rPr>
        <w:t>有独立承担民事责任的能力：在中华人民共和国境内注册的法人或其他组织或自然人， 投</w:t>
      </w:r>
    </w:p>
    <w:p w14:paraId="27C2DAFF">
      <w:pPr>
        <w:widowControl/>
        <w:tabs>
          <w:tab w:val="left" w:pos="525"/>
        </w:tabs>
        <w:adjustRightInd w:val="0"/>
        <w:snapToGrid w:val="0"/>
        <w:spacing w:line="360" w:lineRule="auto"/>
        <w:rPr>
          <w:rFonts w:hint="default" w:ascii="宋体" w:hAnsi="宋体"/>
          <w:color w:val="auto"/>
          <w:highlight w:val="none"/>
        </w:rPr>
      </w:pPr>
      <w:r>
        <w:rPr>
          <w:rFonts w:ascii="宋体" w:hAnsi="宋体"/>
          <w:color w:val="auto"/>
          <w:highlight w:val="none"/>
        </w:rPr>
        <w:t>标（响应）时提交有效的营业执照（或事业法人登记证或身份证等相关证明） 副本复印件。分支机构投标的，须提供总公司和分公司营业执照副本复印件，总公司出具给分支机构的授权书。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2）</w:t>
      </w:r>
      <w:r>
        <w:rPr>
          <w:rFonts w:ascii="宋体" w:hAnsi="宋体"/>
          <w:color w:val="auto"/>
          <w:highlight w:val="none"/>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auto"/>
          <w:highlight w:val="none"/>
        </w:rPr>
      </w:pPr>
      <w:r>
        <w:rPr>
          <w:rFonts w:ascii="宋体" w:hAnsi="宋体"/>
          <w:color w:val="auto"/>
          <w:highlight w:val="none"/>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3）</w:t>
      </w:r>
      <w:r>
        <w:rPr>
          <w:rFonts w:ascii="宋体" w:hAnsi="宋体"/>
          <w:color w:val="auto"/>
          <w:highlight w:val="none"/>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auto"/>
          <w:highlight w:val="none"/>
        </w:rPr>
      </w:pPr>
      <w:r>
        <w:rPr>
          <w:rFonts w:ascii="宋体" w:hAnsi="宋体"/>
          <w:color w:val="auto"/>
          <w:highlight w:val="none"/>
        </w:rPr>
        <w:t>会计制度（提供2023年度财务状况报告或2024年至今任意一个月的财务报表或基本开户行出具的资信证明或出具《承诺函》）。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auto"/>
          <w:highlight w:val="none"/>
        </w:rPr>
      </w:pPr>
      <w:r>
        <w:rPr>
          <w:rFonts w:ascii="宋体" w:hAnsi="宋体"/>
          <w:color w:val="auto"/>
          <w:highlight w:val="none"/>
        </w:rPr>
        <w:t>4）履行合同所必需的设备和专业技术能力：</w:t>
      </w:r>
      <w:r>
        <w:rPr>
          <w:rFonts w:hint="eastAsia" w:ascii="宋体" w:hAnsi="宋体"/>
          <w:color w:val="auto"/>
          <w:highlight w:val="none"/>
          <w:lang w:val="en-US" w:eastAsia="zh-CN"/>
        </w:rPr>
        <w:t>提供</w:t>
      </w:r>
      <w:r>
        <w:rPr>
          <w:rFonts w:ascii="宋体" w:hAnsi="宋体"/>
          <w:color w:val="auto"/>
          <w:highlight w:val="none"/>
        </w:rPr>
        <w:t>设备及专业技术能力情况或出具《承诺函》。</w:t>
      </w:r>
    </w:p>
    <w:p w14:paraId="4E8D6D43">
      <w:pPr>
        <w:pageBreakBefore w:val="0"/>
        <w:tabs>
          <w:tab w:val="left" w:pos="8042"/>
        </w:tabs>
        <w:kinsoku/>
        <w:wordWrap/>
        <w:overflowPunct/>
        <w:topLinePunct w:val="0"/>
        <w:bidi w:val="0"/>
        <w:spacing w:line="360" w:lineRule="auto"/>
        <w:ind w:firstLine="420" w:firstLineChars="200"/>
        <w:rPr>
          <w:rFonts w:hint="eastAsia" w:ascii="宋体" w:hAnsi="宋体" w:eastAsia="宋体" w:cs="宋体"/>
          <w:color w:val="auto"/>
          <w:szCs w:val="21"/>
          <w:highlight w:val="none"/>
        </w:rPr>
      </w:pPr>
      <w:r>
        <w:rPr>
          <w:rFonts w:ascii="宋体" w:hAnsi="宋体"/>
          <w:color w:val="auto"/>
          <w:highlight w:val="none"/>
        </w:rPr>
        <w:t>5）参加采购活动前3年内，在经营活动中没有重大违法记录：</w:t>
      </w:r>
      <w:r>
        <w:rPr>
          <w:rFonts w:hint="eastAsia" w:ascii="宋体" w:hAnsi="宋体"/>
          <w:color w:val="auto"/>
          <w:highlight w:val="none"/>
          <w:lang w:val="en-US" w:eastAsia="zh-CN"/>
        </w:rPr>
        <w:t>提供</w:t>
      </w:r>
      <w:r>
        <w:rPr>
          <w:rFonts w:ascii="宋体" w:hAnsi="宋体"/>
          <w:color w:val="auto"/>
          <w:highlight w:val="none"/>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FEAF2F9">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2.单位负责人为同一人或者存在直接控股、管理关系的不同供应商，不得参加同一合同项下的政府采购活动。（提供承诺函）</w:t>
      </w:r>
    </w:p>
    <w:p w14:paraId="71213F03">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3.为采购项目提供整体设计、规范编制或者项目管理、监理、检测等服务的供应商，不得再参加采购项目的其他采购活动。（提供承诺函）</w:t>
      </w:r>
    </w:p>
    <w:p w14:paraId="3F088AC5">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4.投标人</w:t>
      </w:r>
      <w:r>
        <w:rPr>
          <w:rFonts w:hint="eastAsia" w:ascii="宋体" w:hAnsi="宋体" w:eastAsia="宋体" w:cs="宋体"/>
          <w:color w:val="auto"/>
          <w:highlight w:val="none"/>
        </w:rPr>
        <w:t>未被列入“信用中国”网站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“记录失信被执行人或重大税收违法失信主体或政府采购严重违法失信行为”记录名单；不处于中国政府采购网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//www.ccgp.gov.cn/）查询结果为准，如相关失信记录已失效，供应商需提供相关证明资料）。</w:t>
      </w:r>
    </w:p>
    <w:p w14:paraId="4F616DCD">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5.投标人必须具备有效的《食品经营许可证》。</w:t>
      </w:r>
    </w:p>
    <w:p w14:paraId="229C6924">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6.经营场所、仓库距离粪坑、污水池、暴露垃圾场（站）、旱厕等污染源25米以上，不得设置在粉尘、有害气体、放射性物质和其他扩散性污染源的影响范围之内。（提供承诺函，格式自拟）</w:t>
      </w:r>
    </w:p>
    <w:p w14:paraId="235B37B8">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建立良好的食品安全管理体系，建立食品安全管理架构和相关食品安全管理制度，建立“日管控、周排查、月调度”食品安全自查制度，食品采购、贮存、加工、运输符合相关法律法规要求。（提供承诺函，格式自拟）</w:t>
      </w:r>
    </w:p>
    <w:p w14:paraId="19E85E1F">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8.建有监控系统，能够保存15天或以上的食品贮存、加工过程视频监控。（提供承诺函，格式自拟）</w:t>
      </w:r>
    </w:p>
    <w:p w14:paraId="751BD773">
      <w:pPr>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r>
        <w:rPr>
          <w:rFonts w:hint="eastAsia" w:ascii="宋体" w:hAnsi="宋体"/>
          <w:color w:val="auto"/>
          <w:highlight w:val="none"/>
          <w:lang w:val="en-US" w:eastAsia="zh-CN"/>
        </w:rPr>
        <w:t>落实政府采购政策需满足的资格要求：本项目属于专门面向中小企业。</w:t>
      </w:r>
      <w:r>
        <w:rPr>
          <w:rFonts w:hint="eastAsia" w:ascii="宋体" w:hAnsi="宋体"/>
          <w:color w:val="auto"/>
          <w:highlight w:val="none"/>
        </w:rPr>
        <w:t>根据《关于印发中小企业划型标准规定的通知》（工信部联企业〔2011〕300号）规定，本项目采购标的对应的</w:t>
      </w:r>
      <w:r>
        <w:rPr>
          <w:rFonts w:hint="eastAsia" w:ascii="宋体" w:hAnsi="宋体"/>
          <w:color w:val="auto"/>
          <w:highlight w:val="none"/>
          <w:lang w:val="en-US" w:eastAsia="zh-CN"/>
        </w:rPr>
        <w:t>中小</w:t>
      </w:r>
      <w:r>
        <w:rPr>
          <w:rFonts w:hint="eastAsia" w:ascii="宋体" w:hAnsi="宋体"/>
          <w:color w:val="auto"/>
          <w:highlight w:val="none"/>
        </w:rPr>
        <w:t>企业划分标准所属行业为：批发业。</w:t>
      </w:r>
    </w:p>
    <w:p w14:paraId="066809AA">
      <w:pPr>
        <w:bidi w:val="0"/>
        <w:spacing w:line="360" w:lineRule="auto"/>
        <w:ind w:left="420" w:leftChars="20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10.本项目不接受联合体投标。</w:t>
      </w:r>
    </w:p>
    <w:p w14:paraId="6569E2C8">
      <w:pPr>
        <w:pageBreakBefore w:val="0"/>
        <w:widowControl/>
        <w:tabs>
          <w:tab w:val="left" w:pos="502"/>
        </w:tabs>
        <w:kinsoku/>
        <w:wordWrap/>
        <w:overflowPunct/>
        <w:topLinePunct w:val="0"/>
        <w:bidi w:val="0"/>
        <w:adjustRightInd w:val="0"/>
        <w:snapToGrid w:val="0"/>
        <w:spacing w:line="400" w:lineRule="exact"/>
        <w:rPr>
          <w:rFonts w:ascii="Tahoma" w:hAnsi="Tahoma" w:cs="Tahoma"/>
          <w:b/>
          <w:bCs/>
          <w:color w:val="auto"/>
          <w:szCs w:val="21"/>
          <w:highlight w:val="none"/>
        </w:rPr>
      </w:pPr>
      <w:r>
        <w:rPr>
          <w:rFonts w:hint="eastAsia" w:ascii="Tahoma" w:hAnsi="Tahoma" w:cs="Tahoma"/>
          <w:b/>
          <w:bCs/>
          <w:color w:val="auto"/>
          <w:szCs w:val="21"/>
          <w:highlight w:val="none"/>
        </w:rPr>
        <w:t>三、</w:t>
      </w:r>
      <w:r>
        <w:rPr>
          <w:rFonts w:ascii="Tahoma" w:hAnsi="Tahoma" w:cs="Tahoma"/>
          <w:b/>
          <w:bCs/>
          <w:color w:val="auto"/>
          <w:szCs w:val="21"/>
          <w:highlight w:val="none"/>
        </w:rPr>
        <w:t>招标文件的公示</w:t>
      </w:r>
    </w:p>
    <w:p w14:paraId="5E039D0D">
      <w:pPr>
        <w:pageBreakBefore w:val="0"/>
        <w:kinsoku/>
        <w:wordWrap/>
        <w:overflowPunct/>
        <w:topLinePunct w:val="0"/>
        <w:bidi w:val="0"/>
        <w:spacing w:line="400" w:lineRule="exact"/>
        <w:ind w:firstLine="210" w:firstLineChars="100"/>
        <w:rPr>
          <w:rFonts w:hint="eastAsia" w:ascii="宋体" w:hAnsi="宋体" w:eastAsia="宋体" w:cs="宋体"/>
          <w:bCs/>
          <w:color w:val="auto"/>
          <w:highlight w:val="none"/>
        </w:rPr>
      </w:pPr>
      <w:r>
        <w:rPr>
          <w:rFonts w:hint="eastAsia" w:ascii="宋体" w:hAnsi="宋体" w:cs="宋体"/>
          <w:color w:val="auto"/>
          <w:kern w:val="0"/>
          <w:szCs w:val="21"/>
          <w:highlight w:val="none"/>
        </w:rPr>
        <w:t>1．</w:t>
      </w:r>
      <w:r>
        <w:rPr>
          <w:rFonts w:hint="eastAsia" w:ascii="宋体" w:hAnsi="宋体" w:cs="Arial"/>
          <w:color w:val="auto"/>
          <w:highlight w:val="none"/>
        </w:rPr>
        <w:t>招标文件公示时</w:t>
      </w:r>
      <w:r>
        <w:rPr>
          <w:rFonts w:hint="eastAsia" w:ascii="宋体" w:hAnsi="宋体"/>
          <w:bCs/>
          <w:color w:val="auto"/>
          <w:highlight w:val="none"/>
        </w:rPr>
        <w:t>间及下</w:t>
      </w:r>
      <w:r>
        <w:rPr>
          <w:rFonts w:hint="eastAsia" w:ascii="宋体" w:hAnsi="宋体" w:eastAsia="宋体" w:cs="宋体"/>
          <w:bCs/>
          <w:color w:val="auto"/>
          <w:highlight w:val="none"/>
        </w:rPr>
        <w:t>载：</w:t>
      </w:r>
      <w:r>
        <w:rPr>
          <w:rFonts w:hint="eastAsia" w:ascii="宋体" w:hAnsi="宋体" w:cs="宋体"/>
          <w:color w:val="auto"/>
          <w:kern w:val="2"/>
          <w:sz w:val="21"/>
          <w:szCs w:val="24"/>
          <w:highlight w:val="none"/>
          <w:lang w:val="en-US" w:eastAsia="zh-CN" w:bidi="ar-SA"/>
        </w:rPr>
        <w:t xml:space="preserve"> 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27</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szCs w:val="21"/>
          <w:highlight w:val="none"/>
        </w:rPr>
        <w:t>至</w:t>
      </w:r>
      <w:r>
        <w:rPr>
          <w:rFonts w:hint="eastAsia" w:ascii="宋体" w:hAnsi="宋体" w:cs="宋体"/>
          <w:color w:val="auto"/>
          <w:kern w:val="2"/>
          <w:sz w:val="21"/>
          <w:szCs w:val="24"/>
          <w:highlight w:val="none"/>
          <w:lang w:val="en-US" w:eastAsia="zh-CN" w:bidi="ar-SA"/>
        </w:rPr>
        <w:t xml:space="preserve"> 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12</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bCs/>
          <w:color w:val="auto"/>
          <w:highlight w:val="none"/>
        </w:rPr>
        <w:t>。</w:t>
      </w:r>
    </w:p>
    <w:p w14:paraId="2E667AA8">
      <w:pPr>
        <w:pageBreakBefore w:val="0"/>
        <w:widowControl/>
        <w:kinsoku/>
        <w:wordWrap/>
        <w:overflowPunct/>
        <w:topLinePunct w:val="0"/>
        <w:bidi w:val="0"/>
        <w:adjustRightInd w:val="0"/>
        <w:snapToGrid w:val="0"/>
        <w:spacing w:line="400" w:lineRule="exact"/>
        <w:ind w:left="315" w:leftChars="100" w:hanging="105" w:hangingChars="50"/>
        <w:rPr>
          <w:rFonts w:hint="eastAsia" w:ascii="宋体" w:hAnsi="宋体" w:eastAsia="宋体" w:cs="宋体"/>
          <w:color w:val="auto"/>
          <w:kern w:val="0"/>
          <w:szCs w:val="21"/>
          <w:highlight w:val="none"/>
        </w:rPr>
      </w:pPr>
      <w:r>
        <w:rPr>
          <w:rFonts w:hint="eastAsia" w:ascii="宋体" w:hAnsi="宋体" w:eastAsia="宋体" w:cs="宋体"/>
          <w:bCs/>
          <w:color w:val="auto"/>
          <w:highlight w:val="none"/>
        </w:rPr>
        <w:t>2．根据《广东省实施〈中华人民共和国政府采购法〉办法》第三十五条的规定，投标人认为政府采购文件的内容损害其权益</w:t>
      </w:r>
      <w:r>
        <w:rPr>
          <w:rFonts w:hint="eastAsia" w:ascii="宋体" w:hAnsi="宋体" w:eastAsia="宋体" w:cs="宋体"/>
          <w:color w:val="auto"/>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1000055">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购买招标文件的时间、地点、方式及招标文件售价</w:t>
      </w:r>
    </w:p>
    <w:p w14:paraId="1ABBEF0F">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auto"/>
          <w:highlight w:val="none"/>
        </w:rPr>
      </w:pPr>
      <w:r>
        <w:rPr>
          <w:rFonts w:hint="eastAsia" w:ascii="宋体" w:hAnsi="宋体" w:eastAsia="宋体" w:cs="宋体"/>
          <w:color w:val="auto"/>
          <w:highlight w:val="none"/>
        </w:rPr>
        <w:t>1.购买招标文件</w:t>
      </w:r>
      <w:r>
        <w:rPr>
          <w:rFonts w:hint="eastAsia" w:ascii="宋体" w:hAnsi="宋体" w:eastAsia="宋体" w:cs="宋体"/>
          <w:bCs/>
          <w:color w:val="auto"/>
          <w:highlight w:val="none"/>
        </w:rPr>
        <w:t>时间：</w:t>
      </w:r>
      <w:r>
        <w:rPr>
          <w:rFonts w:hint="eastAsia" w:ascii="宋体" w:hAnsi="宋体" w:cs="宋体"/>
          <w:color w:val="auto"/>
          <w:kern w:val="2"/>
          <w:sz w:val="21"/>
          <w:szCs w:val="24"/>
          <w:highlight w:val="none"/>
          <w:lang w:val="en-US" w:eastAsia="zh-CN" w:bidi="ar-SA"/>
        </w:rPr>
        <w:t>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1</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27</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color w:val="auto"/>
          <w:szCs w:val="21"/>
          <w:highlight w:val="none"/>
        </w:rPr>
        <w:t>至</w:t>
      </w:r>
      <w:r>
        <w:rPr>
          <w:rFonts w:hint="eastAsia" w:ascii="宋体" w:hAnsi="宋体" w:cs="宋体"/>
          <w:color w:val="auto"/>
          <w:kern w:val="2"/>
          <w:sz w:val="21"/>
          <w:szCs w:val="24"/>
          <w:highlight w:val="none"/>
          <w:lang w:val="en-US" w:eastAsia="zh-CN" w:bidi="ar-SA"/>
        </w:rPr>
        <w:t xml:space="preserve"> 2025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12</w:t>
      </w:r>
      <w:r>
        <w:rPr>
          <w:rFonts w:hint="eastAsia" w:ascii="宋体" w:hAnsi="宋体" w:eastAsia="宋体" w:cs="宋体"/>
          <w:color w:val="auto"/>
          <w:kern w:val="2"/>
          <w:sz w:val="21"/>
          <w:szCs w:val="24"/>
          <w:highlight w:val="none"/>
          <w:lang w:val="en-US" w:eastAsia="zh-CN" w:bidi="ar-SA"/>
        </w:rPr>
        <w:t>日</w:t>
      </w:r>
      <w:r>
        <w:rPr>
          <w:rFonts w:hint="eastAsia" w:ascii="宋体" w:hAnsi="宋体" w:eastAsia="宋体" w:cs="宋体"/>
          <w:bCs/>
          <w:color w:val="auto"/>
          <w:highlight w:val="none"/>
        </w:rPr>
        <w:t>，上午9:00～12:00，下午2:30～5:30（节假日除外）（北</w:t>
      </w:r>
      <w:r>
        <w:rPr>
          <w:rFonts w:hint="eastAsia" w:ascii="宋体" w:hAnsi="宋体" w:eastAsia="宋体" w:cs="宋体"/>
          <w:color w:val="auto"/>
          <w:highlight w:val="none"/>
        </w:rPr>
        <w:t>京时间）。</w:t>
      </w:r>
    </w:p>
    <w:p w14:paraId="45E717A3">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auto"/>
          <w:highlight w:val="none"/>
        </w:rPr>
      </w:pPr>
      <w:r>
        <w:rPr>
          <w:rFonts w:hint="eastAsia" w:ascii="宋体" w:hAnsi="宋体" w:eastAsia="宋体" w:cs="宋体"/>
          <w:color w:val="auto"/>
          <w:highlight w:val="none"/>
        </w:rPr>
        <w:t>2.购买招标文件地点：阳江市江城区猫山四街33号A座2楼</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05室。</w:t>
      </w:r>
    </w:p>
    <w:p w14:paraId="375D92EA">
      <w:pPr>
        <w:pageBreakBefore w:val="0"/>
        <w:widowControl/>
        <w:tabs>
          <w:tab w:val="left" w:pos="735"/>
        </w:tabs>
        <w:kinsoku/>
        <w:wordWrap/>
        <w:overflowPunct/>
        <w:topLinePunct w:val="0"/>
        <w:bidi w:val="0"/>
        <w:adjustRightInd w:val="0"/>
        <w:snapToGrid w:val="0"/>
        <w:spacing w:line="400" w:lineRule="exact"/>
        <w:ind w:left="210" w:leftChars="100"/>
        <w:rPr>
          <w:rFonts w:hint="eastAsia" w:ascii="宋体" w:hAnsi="宋体" w:eastAsia="宋体" w:cs="宋体"/>
          <w:color w:val="auto"/>
          <w:highlight w:val="none"/>
        </w:rPr>
      </w:pPr>
      <w:r>
        <w:rPr>
          <w:rFonts w:hint="eastAsia" w:ascii="宋体" w:hAnsi="宋体" w:eastAsia="宋体" w:cs="宋体"/>
          <w:bCs/>
          <w:color w:val="auto"/>
          <w:highlight w:val="none"/>
        </w:rPr>
        <w:t>3.招标文件售价：</w:t>
      </w:r>
      <w:r>
        <w:rPr>
          <w:rFonts w:hint="eastAsia" w:ascii="宋体" w:hAnsi="宋体" w:eastAsia="宋体" w:cs="宋体"/>
          <w:bCs/>
          <w:color w:val="auto"/>
          <w:szCs w:val="21"/>
          <w:highlight w:val="none"/>
        </w:rPr>
        <w:t>招标文件每套人民币</w:t>
      </w:r>
      <w:r>
        <w:rPr>
          <w:rFonts w:hint="eastAsia" w:ascii="宋体" w:hAnsi="宋体" w:cs="宋体"/>
          <w:bCs/>
          <w:color w:val="auto"/>
          <w:szCs w:val="21"/>
          <w:highlight w:val="none"/>
          <w:lang w:val="en-US" w:eastAsia="zh-CN"/>
        </w:rPr>
        <w:t>5</w:t>
      </w:r>
      <w:r>
        <w:rPr>
          <w:rFonts w:hint="eastAsia" w:ascii="宋体" w:hAnsi="宋体" w:eastAsia="宋体" w:cs="宋体"/>
          <w:bCs/>
          <w:color w:val="auto"/>
          <w:szCs w:val="21"/>
          <w:highlight w:val="none"/>
        </w:rPr>
        <w:t>00元，售后不退</w:t>
      </w:r>
      <w:r>
        <w:rPr>
          <w:rFonts w:hint="eastAsia" w:ascii="宋体" w:hAnsi="宋体" w:eastAsia="宋体" w:cs="宋体"/>
          <w:bCs/>
          <w:color w:val="auto"/>
          <w:highlight w:val="none"/>
        </w:rPr>
        <w:t>。</w:t>
      </w:r>
    </w:p>
    <w:p w14:paraId="4FD5D1FC">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auto"/>
          <w:highlight w:val="none"/>
        </w:rPr>
      </w:pPr>
      <w:r>
        <w:rPr>
          <w:rFonts w:hint="eastAsia" w:ascii="宋体" w:hAnsi="宋体" w:eastAsia="宋体" w:cs="宋体"/>
          <w:bCs/>
          <w:color w:val="auto"/>
          <w:highlight w:val="none"/>
        </w:rPr>
        <w:t>4.招标文件获取方式：现场发售。</w:t>
      </w:r>
    </w:p>
    <w:p w14:paraId="0FCD6CFE">
      <w:pPr>
        <w:pageBreakBefore w:val="0"/>
        <w:widowControl/>
        <w:tabs>
          <w:tab w:val="left" w:pos="735"/>
        </w:tabs>
        <w:kinsoku/>
        <w:wordWrap/>
        <w:overflowPunct/>
        <w:topLinePunct w:val="0"/>
        <w:bidi w:val="0"/>
        <w:adjustRightInd w:val="0"/>
        <w:snapToGrid w:val="0"/>
        <w:spacing w:line="400" w:lineRule="exact"/>
        <w:ind w:left="420" w:leftChars="100" w:hanging="210" w:hangingChars="100"/>
        <w:rPr>
          <w:rFonts w:hint="eastAsia" w:ascii="宋体" w:hAnsi="宋体" w:eastAsia="宋体" w:cs="宋体"/>
          <w:bCs/>
          <w:color w:val="auto"/>
          <w:szCs w:val="21"/>
          <w:highlight w:val="none"/>
        </w:rPr>
      </w:pPr>
      <w:r>
        <w:rPr>
          <w:rFonts w:hint="eastAsia" w:ascii="宋体" w:hAnsi="宋体" w:eastAsia="宋体" w:cs="宋体"/>
          <w:bCs/>
          <w:color w:val="auto"/>
          <w:highlight w:val="none"/>
        </w:rPr>
        <w:t>5.</w:t>
      </w:r>
      <w:r>
        <w:rPr>
          <w:rFonts w:hint="eastAsia" w:ascii="宋体" w:hAnsi="宋体" w:eastAsia="宋体" w:cs="宋体"/>
          <w:bCs/>
          <w:color w:val="auto"/>
          <w:szCs w:val="21"/>
          <w:highlight w:val="none"/>
        </w:rPr>
        <w:t>购买招标文件必须携带:</w:t>
      </w:r>
    </w:p>
    <w:p w14:paraId="1F0F30FB">
      <w:pPr>
        <w:pageBreakBefore w:val="0"/>
        <w:widowControl/>
        <w:tabs>
          <w:tab w:val="left" w:pos="735"/>
        </w:tabs>
        <w:kinsoku/>
        <w:wordWrap/>
        <w:overflowPunct/>
        <w:topLinePunct w:val="0"/>
        <w:bidi w:val="0"/>
        <w:adjustRightInd w:val="0"/>
        <w:snapToGrid w:val="0"/>
        <w:spacing w:line="400" w:lineRule="exact"/>
        <w:ind w:left="659" w:leftChars="164" w:hanging="315" w:hangingChars="150"/>
        <w:rPr>
          <w:rFonts w:hint="eastAsia" w:ascii="宋体" w:hAnsi="宋体" w:eastAsia="宋体" w:cs="宋体"/>
          <w:bCs/>
          <w:color w:val="auto"/>
          <w:highlight w:val="none"/>
        </w:rPr>
      </w:pPr>
      <w:r>
        <w:rPr>
          <w:rFonts w:hint="eastAsia" w:ascii="宋体" w:hAnsi="宋体" w:eastAsia="宋体" w:cs="宋体"/>
          <w:bCs/>
          <w:color w:val="auto"/>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auto"/>
          <w:highlight w:val="none"/>
        </w:rPr>
        <w:t>报名时投标单位的资料与以上报名条件不符合、不齐全、复印件不清晰或未盖红色公章的将不予受理</w:t>
      </w:r>
      <w:r>
        <w:rPr>
          <w:rFonts w:hint="eastAsia" w:ascii="宋体" w:hAnsi="宋体" w:eastAsia="宋体" w:cs="宋体"/>
          <w:bCs/>
          <w:color w:val="auto"/>
          <w:highlight w:val="none"/>
        </w:rPr>
        <w:t>。</w:t>
      </w:r>
    </w:p>
    <w:p w14:paraId="38DAFB52">
      <w:pPr>
        <w:pageBreakBefore w:val="0"/>
        <w:widowControl/>
        <w:tabs>
          <w:tab w:val="left" w:pos="735"/>
        </w:tabs>
        <w:kinsoku/>
        <w:wordWrap/>
        <w:overflowPunct/>
        <w:topLinePunct w:val="0"/>
        <w:bidi w:val="0"/>
        <w:adjustRightInd w:val="0"/>
        <w:snapToGrid w:val="0"/>
        <w:spacing w:line="400" w:lineRule="exact"/>
        <w:ind w:left="660" w:leftChars="164" w:hanging="316" w:hangingChars="150"/>
        <w:rPr>
          <w:rFonts w:hint="eastAsia" w:ascii="宋体" w:hAnsi="宋体" w:eastAsia="宋体" w:cs="宋体"/>
          <w:b/>
          <w:color w:val="auto"/>
          <w:highlight w:val="none"/>
        </w:rPr>
      </w:pPr>
      <w:r>
        <w:rPr>
          <w:rFonts w:hint="eastAsia" w:ascii="宋体" w:hAnsi="宋体" w:eastAsia="宋体" w:cs="宋体"/>
          <w:b/>
          <w:bCs/>
          <w:color w:val="auto"/>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B42BA53">
      <w:pPr>
        <w:pageBreakBefore w:val="0"/>
        <w:widowControl/>
        <w:numPr>
          <w:ilvl w:val="0"/>
          <w:numId w:val="22"/>
        </w:numPr>
        <w:tabs>
          <w:tab w:val="left" w:pos="502"/>
        </w:tabs>
        <w:kinsoku/>
        <w:wordWrap/>
        <w:overflowPunct/>
        <w:topLinePunct w:val="0"/>
        <w:bidi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投标截止时间、开标时间及地点</w:t>
      </w:r>
    </w:p>
    <w:p w14:paraId="79076EE0">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1.递交投标文件时间：</w:t>
      </w:r>
      <w:r>
        <w:rPr>
          <w:rFonts w:hint="eastAsia" w:ascii="宋体" w:hAnsi="宋体" w:eastAsia="宋体" w:cs="宋体"/>
          <w:color w:val="auto"/>
          <w:kern w:val="2"/>
          <w:sz w:val="21"/>
          <w:szCs w:val="24"/>
          <w:highlight w:val="none"/>
          <w:lang w:val="en-US" w:eastAsia="zh-CN" w:bidi="ar-SA"/>
        </w:rPr>
        <w:t>202</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19</w:t>
      </w:r>
      <w:r>
        <w:rPr>
          <w:rFonts w:hint="eastAsia" w:ascii="宋体" w:hAnsi="宋体" w:eastAsia="宋体" w:cs="宋体"/>
          <w:color w:val="auto"/>
          <w:kern w:val="2"/>
          <w:sz w:val="21"/>
          <w:szCs w:val="24"/>
          <w:highlight w:val="none"/>
          <w:lang w:val="en-US" w:eastAsia="zh-CN" w:bidi="ar-SA"/>
        </w:rPr>
        <w:t>日</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 xml:space="preserve"> (北京时间)。</w:t>
      </w:r>
    </w:p>
    <w:p w14:paraId="061C7577">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auto"/>
          <w:highlight w:val="none"/>
        </w:rPr>
      </w:pPr>
      <w:r>
        <w:rPr>
          <w:rFonts w:hint="eastAsia" w:ascii="宋体" w:hAnsi="宋体" w:eastAsia="宋体" w:cs="宋体"/>
          <w:color w:val="auto"/>
          <w:highlight w:val="none"/>
        </w:rPr>
        <w:t>2.投标截止时间、开标时间：</w:t>
      </w:r>
      <w:r>
        <w:rPr>
          <w:rFonts w:hint="eastAsia" w:ascii="宋体" w:hAnsi="宋体" w:eastAsia="宋体" w:cs="宋体"/>
          <w:color w:val="auto"/>
          <w:kern w:val="2"/>
          <w:sz w:val="21"/>
          <w:szCs w:val="24"/>
          <w:highlight w:val="none"/>
          <w:lang w:val="en-US" w:eastAsia="zh-CN" w:bidi="ar-SA"/>
        </w:rPr>
        <w:t>202</w:t>
      </w:r>
      <w:r>
        <w:rPr>
          <w:rFonts w:hint="eastAsia" w:ascii="宋体" w:hAnsi="宋体" w:cs="宋体"/>
          <w:color w:val="auto"/>
          <w:kern w:val="2"/>
          <w:sz w:val="21"/>
          <w:szCs w:val="24"/>
          <w:highlight w:val="none"/>
          <w:lang w:val="en-US" w:eastAsia="zh-CN" w:bidi="ar-SA"/>
        </w:rPr>
        <w:t>5</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2</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19</w:t>
      </w:r>
      <w:r>
        <w:rPr>
          <w:rFonts w:hint="eastAsia" w:ascii="宋体" w:hAnsi="宋体" w:eastAsia="宋体" w:cs="宋体"/>
          <w:color w:val="auto"/>
          <w:kern w:val="2"/>
          <w:sz w:val="21"/>
          <w:szCs w:val="24"/>
          <w:highlight w:val="none"/>
          <w:lang w:val="en-US" w:eastAsia="zh-CN" w:bidi="ar-SA"/>
        </w:rPr>
        <w:t>日</w:t>
      </w:r>
      <w:r>
        <w:rPr>
          <w:rFonts w:hint="eastAsia" w:ascii="宋体" w:hAnsi="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(北京时间)。</w:t>
      </w:r>
    </w:p>
    <w:p w14:paraId="13FB9526">
      <w:pPr>
        <w:pageBreakBefore w:val="0"/>
        <w:widowControl/>
        <w:tabs>
          <w:tab w:val="left" w:pos="735"/>
        </w:tabs>
        <w:kinsoku/>
        <w:wordWrap/>
        <w:overflowPunct/>
        <w:topLinePunct w:val="0"/>
        <w:bidi w:val="0"/>
        <w:adjustRightInd w:val="0"/>
        <w:snapToGrid w:val="0"/>
        <w:spacing w:line="400" w:lineRule="exact"/>
        <w:ind w:firstLine="210" w:firstLineChars="100"/>
        <w:rPr>
          <w:rFonts w:hint="eastAsia" w:ascii="宋体" w:hAnsi="宋体" w:eastAsia="宋体" w:cs="宋体"/>
          <w:bCs/>
          <w:color w:val="auto"/>
          <w:highlight w:val="none"/>
        </w:rPr>
      </w:pPr>
      <w:r>
        <w:rPr>
          <w:rFonts w:hint="eastAsia" w:ascii="宋体" w:hAnsi="宋体" w:eastAsia="宋体" w:cs="宋体"/>
          <w:color w:val="auto"/>
          <w:highlight w:val="none"/>
        </w:rPr>
        <w:t>3.递交投标文件地点、开标地点：阳江市江城区猫山四街33号A座2楼</w:t>
      </w:r>
      <w:r>
        <w:rPr>
          <w:rFonts w:hint="eastAsia" w:ascii="宋体" w:hAnsi="宋体" w:eastAsia="宋体" w:cs="宋体"/>
          <w:color w:val="auto"/>
          <w:highlight w:val="none"/>
          <w:lang w:val="en-US" w:eastAsia="zh-CN"/>
        </w:rPr>
        <w:t>201</w:t>
      </w:r>
      <w:r>
        <w:rPr>
          <w:rFonts w:hint="eastAsia" w:ascii="宋体" w:hAnsi="宋体" w:eastAsia="宋体" w:cs="宋体"/>
          <w:color w:val="auto"/>
          <w:highlight w:val="none"/>
        </w:rPr>
        <w:t>开标室。</w:t>
      </w:r>
    </w:p>
    <w:p w14:paraId="5D89AA22">
      <w:pPr>
        <w:pageBreakBefore w:val="0"/>
        <w:widowControl/>
        <w:tabs>
          <w:tab w:val="left" w:pos="735"/>
        </w:tabs>
        <w:kinsoku/>
        <w:wordWrap/>
        <w:overflowPunct/>
        <w:topLinePunct w:val="0"/>
        <w:bidi w:val="0"/>
        <w:adjustRightInd w:val="0"/>
        <w:snapToGrid w:val="0"/>
        <w:spacing w:line="40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六、采购人、代理采购机构的名称、地址和联系方式</w:t>
      </w:r>
    </w:p>
    <w:p w14:paraId="2E1FA0F0">
      <w:pPr>
        <w:pageBreakBefore w:val="0"/>
        <w:widowControl/>
        <w:tabs>
          <w:tab w:val="left" w:pos="630"/>
        </w:tabs>
        <w:kinsoku/>
        <w:wordWrap/>
        <w:overflowPunct/>
        <w:topLinePunct w:val="0"/>
        <w:bidi w:val="0"/>
        <w:adjustRightInd w:val="0"/>
        <w:snapToGrid w:val="0"/>
        <w:spacing w:line="400" w:lineRule="exact"/>
        <w:ind w:firstLine="315" w:firstLineChars="150"/>
        <w:rPr>
          <w:rFonts w:hint="eastAsia" w:ascii="宋体" w:hAnsi="宋体" w:eastAsia="宋体" w:cs="宋体"/>
          <w:bCs/>
          <w:color w:val="auto"/>
          <w:highlight w:val="none"/>
        </w:rPr>
      </w:pPr>
      <w:r>
        <w:rPr>
          <w:rFonts w:hint="eastAsia" w:ascii="宋体" w:hAnsi="宋体" w:eastAsia="宋体" w:cs="宋体"/>
          <w:color w:val="auto"/>
          <w:highlight w:val="none"/>
        </w:rPr>
        <w:t>1．采购人联系方式：</w:t>
      </w:r>
    </w:p>
    <w:p w14:paraId="242B7C77">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kern w:val="28"/>
          <w:szCs w:val="21"/>
          <w:highlight w:val="none"/>
          <w:lang w:eastAsia="zh-CN"/>
        </w:rPr>
      </w:pPr>
      <w:r>
        <w:rPr>
          <w:rFonts w:hint="eastAsia" w:ascii="宋体" w:hAnsi="宋体" w:eastAsia="宋体" w:cs="宋体"/>
          <w:color w:val="auto"/>
          <w:kern w:val="28"/>
          <w:szCs w:val="21"/>
          <w:highlight w:val="none"/>
        </w:rPr>
        <w:t>名    称：</w:t>
      </w:r>
      <w:r>
        <w:rPr>
          <w:rFonts w:hint="eastAsia" w:ascii="宋体" w:hAnsi="宋体" w:cs="宋体"/>
          <w:color w:val="auto"/>
          <w:kern w:val="28"/>
          <w:szCs w:val="21"/>
          <w:highlight w:val="none"/>
          <w:lang w:eastAsia="zh-CN"/>
        </w:rPr>
        <w:t>阳江市同心中学</w:t>
      </w:r>
    </w:p>
    <w:p w14:paraId="1D483F6F">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rPr>
        <w:t>地    址：</w:t>
      </w:r>
      <w:r>
        <w:rPr>
          <w:rFonts w:hint="eastAsia" w:ascii="宋体" w:hAnsi="宋体" w:cs="宋体"/>
          <w:color w:val="auto"/>
          <w:kern w:val="28"/>
          <w:szCs w:val="21"/>
          <w:highlight w:val="none"/>
          <w:lang w:val="en-US" w:eastAsia="zh-CN"/>
        </w:rPr>
        <w:t>江城区马曹路588号</w:t>
      </w:r>
    </w:p>
    <w:p w14:paraId="4A2068E4">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rPr>
        <w:t>联 系 人：</w:t>
      </w:r>
      <w:r>
        <w:rPr>
          <w:rFonts w:hint="eastAsia" w:ascii="宋体" w:hAnsi="宋体" w:cs="宋体"/>
          <w:color w:val="auto"/>
          <w:kern w:val="28"/>
          <w:szCs w:val="21"/>
          <w:highlight w:val="none"/>
          <w:lang w:val="en-US" w:eastAsia="zh-CN"/>
        </w:rPr>
        <w:t>杨老师</w:t>
      </w:r>
    </w:p>
    <w:p w14:paraId="02CEF061">
      <w:pPr>
        <w:pageBreakBefore w:val="0"/>
        <w:tabs>
          <w:tab w:val="left" w:pos="735"/>
          <w:tab w:val="left" w:pos="4680"/>
        </w:tabs>
        <w:kinsoku/>
        <w:wordWrap/>
        <w:overflowPunct/>
        <w:topLinePunct w:val="0"/>
        <w:bidi w:val="0"/>
        <w:adjustRightInd w:val="0"/>
        <w:snapToGrid w:val="0"/>
        <w:spacing w:line="400" w:lineRule="exact"/>
        <w:ind w:firstLine="630" w:firstLineChars="300"/>
        <w:rPr>
          <w:rFonts w:hint="default" w:ascii="宋体" w:hAnsi="宋体" w:eastAsia="宋体" w:cs="宋体"/>
          <w:color w:val="auto"/>
          <w:kern w:val="28"/>
          <w:szCs w:val="21"/>
          <w:highlight w:val="none"/>
          <w:lang w:val="en-US" w:eastAsia="zh-CN"/>
        </w:rPr>
      </w:pPr>
      <w:r>
        <w:rPr>
          <w:rFonts w:hint="eastAsia" w:ascii="宋体" w:hAnsi="宋体" w:eastAsia="宋体" w:cs="宋体"/>
          <w:color w:val="auto"/>
          <w:kern w:val="28"/>
          <w:szCs w:val="21"/>
          <w:highlight w:val="none"/>
        </w:rPr>
        <w:t>联系电话：</w:t>
      </w:r>
      <w:r>
        <w:rPr>
          <w:rFonts w:hint="eastAsia" w:ascii="宋体" w:hAnsi="宋体" w:cs="宋体"/>
          <w:color w:val="auto"/>
          <w:kern w:val="28"/>
          <w:szCs w:val="21"/>
          <w:highlight w:val="none"/>
          <w:lang w:val="en-US" w:eastAsia="zh-CN"/>
        </w:rPr>
        <w:t>15218161999</w:t>
      </w:r>
    </w:p>
    <w:p w14:paraId="10AB9D39">
      <w:pPr>
        <w:pageBreakBefore w:val="0"/>
        <w:tabs>
          <w:tab w:val="left" w:pos="735"/>
          <w:tab w:val="left" w:pos="4680"/>
        </w:tabs>
        <w:kinsoku/>
        <w:wordWrap/>
        <w:overflowPunct/>
        <w:topLinePunct w:val="0"/>
        <w:bidi w:val="0"/>
        <w:adjustRightInd w:val="0"/>
        <w:snapToGrid w:val="0"/>
        <w:spacing w:line="400" w:lineRule="exact"/>
        <w:ind w:firstLine="315" w:firstLineChars="150"/>
        <w:rPr>
          <w:rFonts w:hint="eastAsia" w:ascii="宋体" w:hAnsi="宋体" w:eastAsia="宋体" w:cs="宋体"/>
          <w:color w:val="auto"/>
          <w:kern w:val="28"/>
          <w:szCs w:val="21"/>
          <w:highlight w:val="none"/>
        </w:rPr>
      </w:pPr>
      <w:r>
        <w:rPr>
          <w:rFonts w:hint="eastAsia" w:ascii="宋体" w:hAnsi="宋体" w:eastAsia="宋体" w:cs="宋体"/>
          <w:color w:val="auto"/>
          <w:kern w:val="28"/>
          <w:szCs w:val="21"/>
          <w:highlight w:val="none"/>
        </w:rPr>
        <w:t>2．</w:t>
      </w:r>
      <w:r>
        <w:rPr>
          <w:rFonts w:hint="eastAsia" w:ascii="宋体" w:hAnsi="宋体" w:eastAsia="宋体" w:cs="宋体"/>
          <w:color w:val="auto"/>
          <w:highlight w:val="none"/>
        </w:rPr>
        <w:t>代理采购机构联系方式：</w:t>
      </w:r>
    </w:p>
    <w:p w14:paraId="06AF3C7C">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名    称：广东业信采购招标有限公司</w:t>
      </w:r>
    </w:p>
    <w:p w14:paraId="729B4257">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地    址：阳江市江城区猫山四街33号A座2楼</w:t>
      </w:r>
    </w:p>
    <w:p w14:paraId="6462AF30">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 系 人：冯国辉</w:t>
      </w:r>
    </w:p>
    <w:p w14:paraId="024CDBBD">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联系电话：0662-3167266</w:t>
      </w:r>
    </w:p>
    <w:p w14:paraId="28FF5DEC">
      <w:pPr>
        <w:pageBreakBefore w:val="0"/>
        <w:widowControl/>
        <w:tabs>
          <w:tab w:val="left" w:pos="735"/>
        </w:tabs>
        <w:kinsoku/>
        <w:wordWrap/>
        <w:overflowPunct/>
        <w:topLinePunct w:val="0"/>
        <w:bidi w:val="0"/>
        <w:adjustRightInd w:val="0"/>
        <w:snapToGrid w:val="0"/>
        <w:spacing w:line="400" w:lineRule="exact"/>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传    真：0662-2669666</w:t>
      </w:r>
    </w:p>
    <w:p w14:paraId="3C522587">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网    址：</w:t>
      </w:r>
      <w:r>
        <w:rPr>
          <w:rFonts w:hint="eastAsia" w:ascii="宋体" w:hAnsi="宋体" w:eastAsia="宋体" w:cs="宋体"/>
          <w:color w:val="auto"/>
          <w:szCs w:val="21"/>
          <w:highlight w:val="none"/>
          <w:u w:val="none"/>
        </w:rPr>
        <w:t>http://www.gdgpo.</w:t>
      </w:r>
      <w:r>
        <w:rPr>
          <w:rFonts w:hint="eastAsia" w:ascii="宋体" w:hAnsi="宋体" w:eastAsia="宋体" w:cs="宋体"/>
          <w:color w:val="auto"/>
          <w:szCs w:val="21"/>
          <w:highlight w:val="none"/>
          <w:u w:val="none"/>
          <w:lang w:val="en-US" w:eastAsia="zh-CN"/>
        </w:rPr>
        <w:t>com.</w:t>
      </w:r>
      <w:r>
        <w:rPr>
          <w:rFonts w:hint="eastAsia" w:ascii="宋体" w:hAnsi="宋体" w:eastAsia="宋体" w:cs="宋体"/>
          <w:color w:val="auto"/>
          <w:szCs w:val="21"/>
          <w:highlight w:val="none"/>
          <w:u w:val="none"/>
        </w:rPr>
        <w:t>cn</w:t>
      </w:r>
    </w:p>
    <w:p w14:paraId="4AF0737D">
      <w:pPr>
        <w:pageBreakBefore w:val="0"/>
        <w:tabs>
          <w:tab w:val="left" w:pos="4680"/>
        </w:tabs>
        <w:kinsoku/>
        <w:wordWrap/>
        <w:overflowPunct/>
        <w:topLinePunct w:val="0"/>
        <w:bidi w:val="0"/>
        <w:adjustRightInd w:val="0"/>
        <w:snapToGrid w:val="0"/>
        <w:spacing w:line="400" w:lineRule="exact"/>
        <w:ind w:firstLine="1680" w:firstLineChars="800"/>
        <w:rPr>
          <w:rFonts w:hint="eastAsia" w:ascii="宋体" w:hAnsi="宋体" w:eastAsia="宋体" w:cs="宋体"/>
          <w:b/>
          <w:color w:val="auto"/>
          <w:spacing w:val="20"/>
          <w:szCs w:val="21"/>
          <w:highlight w:val="none"/>
        </w:rPr>
      </w:pPr>
      <w:r>
        <w:rPr>
          <w:rFonts w:hint="eastAsia" w:ascii="宋体" w:hAnsi="宋体" w:eastAsia="宋体" w:cs="宋体"/>
          <w:bCs/>
          <w:color w:val="auto"/>
          <w:highlight w:val="none"/>
        </w:rPr>
        <w:t>http://www.yjcg.cc</w:t>
      </w:r>
    </w:p>
    <w:p w14:paraId="211435FF">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auto"/>
          <w:highlight w:val="none"/>
        </w:rPr>
      </w:pPr>
    </w:p>
    <w:p w14:paraId="05321539">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auto"/>
          <w:highlight w:val="none"/>
        </w:rPr>
      </w:pPr>
    </w:p>
    <w:p w14:paraId="0F53DAF8">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bCs/>
          <w:color w:val="auto"/>
          <w:highlight w:val="none"/>
        </w:rPr>
      </w:pPr>
      <w:r>
        <w:rPr>
          <w:rFonts w:hint="eastAsia" w:ascii="宋体" w:hAnsi="宋体" w:eastAsia="宋体" w:cs="宋体"/>
          <w:bCs/>
          <w:color w:val="auto"/>
          <w:highlight w:val="none"/>
        </w:rPr>
        <w:t>广东业信采购招标有限公司</w:t>
      </w:r>
    </w:p>
    <w:p w14:paraId="242825FC">
      <w:pPr>
        <w:pageBreakBefore w:val="0"/>
        <w:widowControl/>
        <w:tabs>
          <w:tab w:val="left" w:pos="4769"/>
        </w:tabs>
        <w:kinsoku/>
        <w:wordWrap/>
        <w:overflowPunct/>
        <w:topLinePunct w:val="0"/>
        <w:bidi w:val="0"/>
        <w:adjustRightInd w:val="0"/>
        <w:snapToGrid w:val="0"/>
        <w:spacing w:line="400" w:lineRule="exact"/>
        <w:ind w:left="105" w:leftChars="50" w:firstLine="420" w:firstLineChars="200"/>
        <w:jc w:val="right"/>
        <w:rPr>
          <w:rFonts w:hint="eastAsia" w:ascii="宋体" w:hAnsi="宋体" w:eastAsia="宋体" w:cs="宋体"/>
          <w:color w:val="auto"/>
          <w:kern w:val="2"/>
          <w:sz w:val="21"/>
          <w:szCs w:val="24"/>
          <w:highlight w:val="none"/>
          <w:lang w:val="en-US" w:eastAsia="zh-CN" w:bidi="ar-SA"/>
        </w:rPr>
      </w:pPr>
      <w:bookmarkStart w:id="37" w:name="_Toc339441045"/>
      <w:bookmarkStart w:id="38" w:name="_Toc336681538"/>
      <w:bookmarkStart w:id="39" w:name="_Toc365985109"/>
      <w:bookmarkStart w:id="40" w:name="_Toc330459946"/>
      <w:bookmarkStart w:id="41" w:name="_Toc350756404"/>
      <w:bookmarkStart w:id="42" w:name="_Toc333237724"/>
      <w:bookmarkStart w:id="43" w:name="_Toc342060323"/>
      <w:bookmarkStart w:id="44" w:name="_Toc339019955"/>
      <w:bookmarkStart w:id="45" w:name="_Toc340672831"/>
      <w:bookmarkStart w:id="46" w:name="_Toc331512857"/>
      <w:bookmarkStart w:id="47" w:name="_Toc340677032"/>
      <w:bookmarkStart w:id="48" w:name="_Toc349127584"/>
      <w:bookmarkStart w:id="49" w:name="_Toc349143547"/>
      <w:bookmarkStart w:id="50" w:name="_Toc339020187"/>
      <w:bookmarkStart w:id="51" w:name="_Toc336681893"/>
      <w:bookmarkStart w:id="52" w:name="_Toc342296709"/>
      <w:bookmarkStart w:id="53" w:name="_Toc333237613"/>
      <w:bookmarkStart w:id="54" w:name="_Toc341348292"/>
      <w:bookmarkStart w:id="55" w:name="_Toc332206658"/>
      <w:bookmarkStart w:id="56" w:name="_Toc340507404"/>
      <w:bookmarkStart w:id="57" w:name="_Toc339019829"/>
      <w:bookmarkStart w:id="58" w:name="_Toc366072458"/>
      <w:bookmarkStart w:id="59" w:name="_Toc333935620"/>
      <w:bookmarkStart w:id="60" w:name="_Toc365967003"/>
      <w:bookmarkStart w:id="61" w:name="_Toc337632316"/>
      <w:bookmarkStart w:id="62" w:name="_Toc332270306"/>
      <w:bookmarkStart w:id="63" w:name="_Toc331683995"/>
      <w:bookmarkStart w:id="64" w:name="_Toc339020049"/>
      <w:bookmarkStart w:id="65" w:name="_Toc345513763"/>
      <w:bookmarkStart w:id="66" w:name="_Toc333935279"/>
      <w:bookmarkStart w:id="67" w:name="_Toc333238572"/>
      <w:bookmarkStart w:id="68" w:name="_Toc350438703"/>
      <w:bookmarkStart w:id="69" w:name="_Toc339362258"/>
      <w:r>
        <w:rPr>
          <w:rFonts w:hint="eastAsia" w:ascii="宋体" w:hAnsi="宋体" w:cs="宋体"/>
          <w:color w:val="auto"/>
          <w:kern w:val="2"/>
          <w:sz w:val="21"/>
          <w:szCs w:val="24"/>
          <w:highlight w:val="none"/>
          <w:lang w:val="en-US" w:eastAsia="zh-CN" w:bidi="ar-SA"/>
        </w:rPr>
        <w:t xml:space="preserve">2025 </w:t>
      </w:r>
      <w:r>
        <w:rPr>
          <w:rFonts w:hint="eastAsia" w:ascii="宋体" w:hAnsi="宋体" w:eastAsia="宋体" w:cs="宋体"/>
          <w:color w:val="auto"/>
          <w:kern w:val="2"/>
          <w:sz w:val="21"/>
          <w:szCs w:val="24"/>
          <w:highlight w:val="none"/>
          <w:lang w:val="en-US" w:eastAsia="zh-CN" w:bidi="ar-SA"/>
        </w:rPr>
        <w:t>年</w:t>
      </w:r>
      <w:r>
        <w:rPr>
          <w:rFonts w:hint="eastAsia" w:ascii="宋体" w:hAnsi="宋体" w:cs="宋体"/>
          <w:color w:val="auto"/>
          <w:kern w:val="2"/>
          <w:sz w:val="21"/>
          <w:szCs w:val="24"/>
          <w:highlight w:val="none"/>
          <w:lang w:val="en-US" w:eastAsia="zh-CN" w:bidi="ar-SA"/>
        </w:rPr>
        <w:t xml:space="preserve">1 </w:t>
      </w:r>
      <w:r>
        <w:rPr>
          <w:rFonts w:hint="eastAsia" w:ascii="宋体" w:hAnsi="宋体" w:eastAsia="宋体" w:cs="宋体"/>
          <w:color w:val="auto"/>
          <w:kern w:val="2"/>
          <w:sz w:val="21"/>
          <w:szCs w:val="24"/>
          <w:highlight w:val="none"/>
          <w:lang w:val="en-US" w:eastAsia="zh-CN" w:bidi="ar-SA"/>
        </w:rPr>
        <w:t>月</w:t>
      </w:r>
      <w:r>
        <w:rPr>
          <w:rFonts w:hint="eastAsia" w:ascii="宋体" w:hAnsi="宋体" w:cs="宋体"/>
          <w:color w:val="auto"/>
          <w:kern w:val="2"/>
          <w:sz w:val="21"/>
          <w:szCs w:val="24"/>
          <w:highlight w:val="none"/>
          <w:lang w:val="en-US" w:eastAsia="zh-CN" w:bidi="ar-SA"/>
        </w:rPr>
        <w:t>27</w:t>
      </w:r>
      <w:r>
        <w:rPr>
          <w:rFonts w:hint="eastAsia" w:ascii="宋体" w:hAnsi="宋体" w:eastAsia="宋体" w:cs="宋体"/>
          <w:color w:val="auto"/>
          <w:kern w:val="2"/>
          <w:sz w:val="21"/>
          <w:szCs w:val="24"/>
          <w:highlight w:val="none"/>
          <w:lang w:val="en-US" w:eastAsia="zh-CN" w:bidi="ar-SA"/>
        </w:rPr>
        <w:t>日</w:t>
      </w:r>
    </w:p>
    <w:p w14:paraId="615913BC">
      <w:pPr>
        <w:rPr>
          <w:rFonts w:hint="eastAsia"/>
          <w:color w:val="auto"/>
          <w:highlight w:val="none"/>
        </w:rPr>
      </w:pPr>
      <w:r>
        <w:rPr>
          <w:rFonts w:hint="eastAsia"/>
          <w:color w:val="auto"/>
          <w:highlight w:val="none"/>
        </w:rPr>
        <w:br w:type="page"/>
      </w:r>
      <w:bookmarkStart w:id="1963" w:name="_GoBack"/>
      <w:bookmarkEnd w:id="1963"/>
    </w:p>
    <w:p w14:paraId="4FC1F2B1">
      <w:pPr>
        <w:pStyle w:val="2"/>
        <w:numPr>
          <w:ilvl w:val="0"/>
          <w:numId w:val="0"/>
        </w:numPr>
        <w:spacing w:beforeLines="0" w:afterLines="50" w:line="390" w:lineRule="exact"/>
        <w:ind w:left="105" w:leftChars="50" w:firstLine="480" w:firstLineChars="200"/>
        <w:rPr>
          <w:color w:val="auto"/>
          <w:highlight w:val="none"/>
        </w:rPr>
      </w:pPr>
      <w:bookmarkStart w:id="70" w:name="_Toc14803"/>
      <w:r>
        <w:rPr>
          <w:rFonts w:hint="eastAsia"/>
          <w:color w:val="auto"/>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8573"/>
      <w:bookmarkStart w:id="74" w:name="_Toc333237725"/>
      <w:bookmarkStart w:id="75" w:name="_Toc333237614"/>
      <w:bookmarkStart w:id="76" w:name="_Toc333935621"/>
      <w:bookmarkStart w:id="77" w:name="_Toc75570886"/>
      <w:bookmarkStart w:id="78" w:name="_Toc333935280"/>
      <w:r>
        <w:rPr>
          <w:rFonts w:hint="eastAsia"/>
          <w:color w:val="auto"/>
          <w:highlight w:val="none"/>
        </w:rPr>
        <w:t>采购项目内容</w:t>
      </w:r>
      <w:bookmarkEnd w:id="70"/>
    </w:p>
    <w:bookmarkEnd w:id="72"/>
    <w:bookmarkEnd w:id="73"/>
    <w:bookmarkEnd w:id="74"/>
    <w:bookmarkEnd w:id="75"/>
    <w:bookmarkEnd w:id="76"/>
    <w:bookmarkEnd w:id="77"/>
    <w:bookmarkEnd w:id="78"/>
    <w:p w14:paraId="74243B35">
      <w:pPr>
        <w:pStyle w:val="3"/>
        <w:numPr>
          <w:ilvl w:val="0"/>
          <w:numId w:val="0"/>
        </w:numPr>
        <w:spacing w:beforeLines="150" w:after="0" w:line="360" w:lineRule="auto"/>
        <w:rPr>
          <w:rFonts w:hint="eastAsia"/>
          <w:color w:val="auto"/>
          <w:kern w:val="0"/>
          <w:sz w:val="24"/>
          <w:highlight w:val="none"/>
        </w:rPr>
      </w:pPr>
      <w:bookmarkStart w:id="79" w:name="_Toc16732"/>
      <w:bookmarkStart w:id="80" w:name="_Toc339019982"/>
      <w:bookmarkStart w:id="81" w:name="_Toc331684005"/>
      <w:bookmarkStart w:id="82" w:name="_Toc333237644"/>
      <w:bookmarkStart w:id="83" w:name="_Toc349143556"/>
      <w:bookmarkStart w:id="84" w:name="_Toc345513834"/>
      <w:bookmarkStart w:id="85" w:name="_Toc339441054"/>
      <w:bookmarkStart w:id="86" w:name="_Toc339019856"/>
      <w:bookmarkStart w:id="87" w:name="_Toc340677037"/>
      <w:bookmarkStart w:id="88" w:name="_Toc339020062"/>
      <w:bookmarkStart w:id="89" w:name="_Toc333237755"/>
      <w:bookmarkStart w:id="90" w:name="_Toc341348305"/>
      <w:bookmarkStart w:id="91" w:name="_Toc340672836"/>
      <w:bookmarkStart w:id="92" w:name="_Toc330459952"/>
      <w:bookmarkStart w:id="93" w:name="_Toc342060341"/>
      <w:bookmarkStart w:id="94" w:name="_Toc333238600"/>
      <w:bookmarkStart w:id="95" w:name="_Toc366072495"/>
      <w:bookmarkStart w:id="96" w:name="_Toc336681902"/>
      <w:bookmarkStart w:id="97" w:name="_Toc340507409"/>
      <w:bookmarkStart w:id="98" w:name="_Toc331512865"/>
      <w:bookmarkStart w:id="99" w:name="_Toc337632325"/>
      <w:bookmarkStart w:id="100" w:name="_Toc350438716"/>
      <w:bookmarkStart w:id="101" w:name="_Toc333935654"/>
      <w:bookmarkStart w:id="102" w:name="_Toc349127593"/>
      <w:bookmarkStart w:id="103" w:name="_Toc350756417"/>
      <w:bookmarkStart w:id="104" w:name="_Toc333935313"/>
      <w:bookmarkStart w:id="105" w:name="_Toc342296727"/>
      <w:bookmarkStart w:id="106" w:name="_Toc332270313"/>
      <w:bookmarkStart w:id="107" w:name="_Toc339020200"/>
      <w:bookmarkStart w:id="108" w:name="_Toc336681547"/>
      <w:bookmarkStart w:id="109" w:name="_Toc339362267"/>
      <w:bookmarkStart w:id="110" w:name="_Toc332206675"/>
      <w:bookmarkStart w:id="111" w:name="_Toc365985146"/>
      <w:bookmarkStart w:id="112" w:name="_Toc365967040"/>
      <w:r>
        <w:rPr>
          <w:color w:val="auto"/>
          <w:kern w:val="0"/>
          <w:sz w:val="24"/>
          <w:highlight w:val="none"/>
        </w:rPr>
        <w:t xml:space="preserve">A  </w:t>
      </w:r>
      <w:r>
        <w:rPr>
          <w:rFonts w:hint="eastAsia"/>
          <w:color w:val="auto"/>
          <w:kern w:val="0"/>
          <w:sz w:val="24"/>
          <w:highlight w:val="none"/>
        </w:rPr>
        <w:t>商务要求</w:t>
      </w:r>
      <w:bookmarkEnd w:id="79"/>
    </w:p>
    <w:p w14:paraId="5B8A1CDD">
      <w:pPr>
        <w:pStyle w:val="4"/>
        <w:jc w:val="center"/>
        <w:rPr>
          <w:rFonts w:hint="eastAsia"/>
          <w:b/>
          <w:bCs/>
          <w:color w:val="auto"/>
          <w:sz w:val="21"/>
          <w:szCs w:val="21"/>
          <w:highlight w:val="none"/>
          <w:lang w:eastAsia="zh-CN"/>
        </w:rPr>
      </w:pPr>
      <w:r>
        <w:rPr>
          <w:rFonts w:hint="eastAsia"/>
          <w:b/>
          <w:bCs/>
          <w:color w:val="auto"/>
          <w:sz w:val="21"/>
          <w:szCs w:val="21"/>
          <w:highlight w:val="none"/>
          <w:lang w:eastAsia="zh-CN"/>
        </w:rPr>
        <w:t>（</w:t>
      </w:r>
      <w:r>
        <w:rPr>
          <w:rFonts w:hint="eastAsia" w:ascii="宋体" w:hAnsi="宋体" w:eastAsia="宋体" w:cs="宋体"/>
          <w:b/>
          <w:bCs/>
          <w:color w:val="auto"/>
          <w:sz w:val="21"/>
          <w:szCs w:val="21"/>
          <w:highlight w:val="none"/>
          <w:lang w:val="en-US"/>
        </w:rPr>
        <w:t>01包组</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rPr>
        <w:t>0</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rPr>
        <w:t>包组</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rPr>
        <w:t>0</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rPr>
        <w:t>包组</w:t>
      </w:r>
      <w:r>
        <w:rPr>
          <w:rFonts w:hint="eastAsia"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rPr>
        <w:t>0</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rPr>
        <w:t>包组</w:t>
      </w:r>
      <w:r>
        <w:rPr>
          <w:rFonts w:hint="eastAsia"/>
          <w:b/>
          <w:bCs/>
          <w:color w:val="auto"/>
          <w:sz w:val="21"/>
          <w:szCs w:val="21"/>
          <w:highlight w:val="none"/>
          <w:lang w:eastAsia="zh-CN"/>
        </w:rPr>
        <w:t>）</w:t>
      </w:r>
    </w:p>
    <w:tbl>
      <w:tblPr>
        <w:tblStyle w:val="4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478"/>
      </w:tblGrid>
      <w:tr w14:paraId="733B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DE5BD9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1E931F9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3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ADA640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14:paraId="6CAE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8886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51AEAE3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投标人投标资格要求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F6DE30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14:paraId="4A8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B506A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45BBD1B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服务期</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B9834E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详见第一部份《投标邀请函》。</w:t>
            </w:r>
          </w:p>
        </w:tc>
      </w:tr>
      <w:tr w14:paraId="3DD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8B59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14:paraId="35D7B9B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57221F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配送服务报价包含整个项目所需的货物（购买或生产）、包装</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、配送</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、运输</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、装卸</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、保险</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、检验检疫</w:t>
            </w:r>
            <w:r>
              <w:rPr>
                <w:rFonts w:hint="eastAsia" w:ascii="宋体" w:hAnsi="宋体" w:eastAsia="宋体" w:cs="宋体"/>
                <w:color w:val="auto"/>
                <w:highlight w:val="none"/>
                <w:lang w:val="en-US" w:eastAsia="zh-CN"/>
              </w:rPr>
              <w:t>费</w:t>
            </w:r>
            <w:r>
              <w:rPr>
                <w:rFonts w:hint="eastAsia" w:ascii="宋体" w:hAnsi="宋体" w:eastAsia="宋体" w:cs="宋体"/>
                <w:color w:val="auto"/>
                <w:highlight w:val="none"/>
              </w:rPr>
              <w:t>，配备人员工资、福利、社保及相关税费等一切费用，采购人不再支付其他任何费用。</w:t>
            </w:r>
          </w:p>
        </w:tc>
      </w:tr>
      <w:tr w14:paraId="151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144B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6141F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82D856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采购合同由中标供应商</w:t>
            </w:r>
            <w:r>
              <w:rPr>
                <w:rFonts w:hint="eastAsia" w:ascii="宋体" w:hAnsi="宋体" w:eastAsia="宋体" w:cs="宋体"/>
                <w:color w:val="auto"/>
                <w:highlight w:val="none"/>
                <w:lang w:val="en-US" w:eastAsia="zh-CN"/>
              </w:rPr>
              <w:t>凭《中标通知书》</w:t>
            </w:r>
            <w:r>
              <w:rPr>
                <w:rFonts w:hint="eastAsia" w:ascii="宋体" w:hAnsi="宋体" w:eastAsia="宋体" w:cs="宋体"/>
                <w:color w:val="auto"/>
                <w:highlight w:val="none"/>
              </w:rPr>
              <w:t>与采购人双方签订，签订时间为《中标通知书》发出之日起</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w:t>
            </w:r>
            <w:r>
              <w:rPr>
                <w:rFonts w:hint="eastAsia" w:ascii="宋体" w:hAnsi="宋体" w:eastAsia="宋体" w:cs="宋体"/>
                <w:color w:val="auto"/>
                <w:highlight w:val="none"/>
                <w:lang w:eastAsia="zh-CN"/>
              </w:rPr>
              <w:t>工作</w:t>
            </w:r>
            <w:r>
              <w:rPr>
                <w:rFonts w:hint="eastAsia" w:ascii="宋体" w:hAnsi="宋体" w:eastAsia="宋体" w:cs="宋体"/>
                <w:color w:val="auto"/>
                <w:highlight w:val="none"/>
              </w:rPr>
              <w:t>日内。</w:t>
            </w:r>
          </w:p>
        </w:tc>
      </w:tr>
      <w:tr w14:paraId="70AF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1E5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B6EF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服务</w:t>
            </w:r>
            <w:r>
              <w:rPr>
                <w:rFonts w:hint="eastAsia" w:ascii="宋体" w:hAnsi="宋体" w:eastAsia="宋体" w:cs="宋体"/>
                <w:b/>
                <w:color w:val="auto"/>
                <w:highlight w:val="none"/>
              </w:rPr>
              <w:t>地点</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26F50B3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采购人指定地点。</w:t>
            </w:r>
          </w:p>
        </w:tc>
      </w:tr>
      <w:tr w14:paraId="3653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3034F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73A42D6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lang w:val="en-US" w:eastAsia="zh-CN"/>
              </w:rPr>
            </w:pPr>
            <w:r>
              <w:rPr>
                <w:rFonts w:hint="eastAsia" w:ascii="宋体" w:hAnsi="宋体" w:eastAsia="宋体" w:cs="宋体"/>
                <w:b/>
                <w:bCs/>
                <w:color w:val="auto"/>
                <w:highlight w:val="none"/>
              </w:rPr>
              <w:t>结算基准价的确定</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76B2B8A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1.采购人每一个月核定一次结算基准价(如有修改，以采购人通知为准)。</w:t>
            </w:r>
          </w:p>
          <w:p w14:paraId="389E134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采购人在定价周期内根据《阳江市发展和政革局网站公布最新的江城区《农副产品市场零售价格表》结合市场同类食品的价格，综合核定结算基准价。若《阳江市发展和改革局》网站没有公布的食品价格，则以采购人参考市场同类食品价格，综合核定结算基准价。</w:t>
            </w:r>
          </w:p>
          <w:p w14:paraId="164FB08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3.结算金额的确定(公式如下)：</w:t>
            </w:r>
          </w:p>
          <w:p w14:paraId="712D2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lang w:val="en-US" w:eastAsia="zh-CN"/>
              </w:rPr>
              <w:t>结算价=核定价</w:t>
            </w:r>
            <w:r>
              <w:rPr>
                <w:rFonts w:hint="eastAsia" w:ascii="宋体" w:hAnsi="宋体" w:eastAsia="宋体" w:cs="宋体"/>
                <w:color w:val="auto"/>
                <w:highlight w:val="none"/>
                <w:lang w:val="zh-Hans" w:eastAsia="zh-CN"/>
              </w:rPr>
              <w:t>×实际供货</w:t>
            </w:r>
            <w:r>
              <w:rPr>
                <w:rFonts w:hint="eastAsia" w:ascii="宋体" w:hAnsi="宋体" w:eastAsia="宋体" w:cs="宋体"/>
                <w:color w:val="auto"/>
                <w:highlight w:val="none"/>
                <w:lang w:val="en-US" w:eastAsia="zh-CN"/>
              </w:rPr>
              <w:t>数</w:t>
            </w:r>
            <w:r>
              <w:rPr>
                <w:rFonts w:hint="eastAsia" w:ascii="宋体" w:hAnsi="宋体" w:eastAsia="宋体" w:cs="宋体"/>
                <w:color w:val="auto"/>
                <w:highlight w:val="none"/>
                <w:lang w:val="zh-Hans" w:eastAsia="zh-CN"/>
              </w:rPr>
              <w:t>量×中标折扣率。</w:t>
            </w:r>
          </w:p>
        </w:tc>
      </w:tr>
      <w:tr w14:paraId="54DF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C9A9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2185144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szCs w:val="21"/>
                <w:highlight w:val="none"/>
                <w:lang w:val="en-US" w:eastAsia="zh-CN"/>
              </w:rPr>
              <w:t>定价方式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6FA27A6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由学校食堂食品询价小组成员核定（成员组成：学校询价小组成员，中标供应商1人），食堂食材市场价格调研小组每月不少于一次分别在江城区建设路马曹市场、江城区东源市场、江城区麻演市场进行市场物价调查，根据市场询价小组的调查报价，去掉最高价和最低价，取中间价为核定价，核定价不得高于阳江市发展和改革局和政府部门在政府信息公开网站公布的价格。核定价格须报支委会或行政会通过后才能确认。（所有食品、食材的价格要造册，由食堂市场询价小组成员签名作为支付货款资料）。</w:t>
            </w:r>
          </w:p>
          <w:p w14:paraId="4A9B10B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2.包点供应商对各类包点进行单独报价，学校食堂食品询价小组成员根据市场的实际价格情况，每月不少于一次对各类糕点进行核定价配送。核定价须报支委会或行政会通过后才能确认。</w:t>
            </w:r>
          </w:p>
          <w:p w14:paraId="2757228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3.大米价格由询价小组经核定后，须报支委会或行政会通过才能确认。订购必须是固定品牌、同一标准质量。</w:t>
            </w:r>
          </w:p>
        </w:tc>
      </w:tr>
      <w:tr w14:paraId="2B5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0D026CD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8</w:t>
            </w:r>
          </w:p>
        </w:tc>
        <w:tc>
          <w:tcPr>
            <w:tcW w:w="2552" w:type="dxa"/>
            <w:tcBorders>
              <w:top w:val="single" w:color="auto" w:sz="4" w:space="0"/>
              <w:left w:val="single" w:color="auto" w:sz="4" w:space="0"/>
              <w:right w:val="single" w:color="auto" w:sz="4" w:space="0"/>
            </w:tcBorders>
            <w:vAlign w:val="center"/>
          </w:tcPr>
          <w:p w14:paraId="0379C17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CD5210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采购人按月进行结算，每月对上一个月的款项进行结算，每月5号前出具考核结果,具体结算时间以采购人通知为准。若上月无发生支付违约金或扣罚的情形的，则全额支付上一个月实际发生款项,有扣罚的扣除后支付余下款项。中标供应商指定的收款账户必须符合法律法规要求，且以书面形式告知采购人，一经确定，不得随意更改。由于银行更改账号、单位变更等原因确实需要变更的,中标供应商要重新提交加盖公司公章的书面变更通知书给采购人备案，否则采购人按未变更的指定银行账户支付的款项视为已经履行完支付义务。</w:t>
            </w:r>
          </w:p>
          <w:p w14:paraId="4C4C576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2.中标供应商凭以下有效文件与采购人结算；</w:t>
            </w:r>
          </w:p>
          <w:p w14:paraId="67F4963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（1）中标供应商先开具的有效发票给采购人，收款方、出具发票方、合同乙方均必须与中标供应商名称一致。</w:t>
            </w:r>
          </w:p>
          <w:p w14:paraId="18D2352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（2）货物收货清单（加盖采购人公章）</w:t>
            </w:r>
            <w:r>
              <w:rPr>
                <w:rFonts w:hint="eastAsia" w:ascii="宋体" w:hAnsi="宋体" w:eastAsia="宋体" w:cs="宋体"/>
                <w:color w:val="auto"/>
                <w:highlight w:val="none"/>
                <w:lang w:eastAsia="zh-CN"/>
              </w:rPr>
              <w:br w:type="textWrapping"/>
            </w:r>
            <w:r>
              <w:rPr>
                <w:rFonts w:hint="eastAsia" w:ascii="宋体" w:hAnsi="宋体" w:eastAsia="宋体" w:cs="宋体"/>
                <w:color w:val="auto"/>
                <w:highlight w:val="none"/>
                <w:lang w:eastAsia="zh-CN"/>
              </w:rPr>
              <w:t>中标供应商未按上述要求提供相关资料的，采购人有权拒绝付款。</w:t>
            </w:r>
          </w:p>
          <w:p w14:paraId="5A5DE4F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3.结算价=核定价</w:t>
            </w:r>
            <w:r>
              <w:rPr>
                <w:rFonts w:hint="eastAsia" w:ascii="宋体" w:hAnsi="宋体" w:eastAsia="宋体" w:cs="宋体"/>
                <w:color w:val="auto"/>
                <w:highlight w:val="none"/>
                <w:lang w:val="zh-Hans" w:eastAsia="zh-CN"/>
              </w:rPr>
              <w:t>×实际供货</w:t>
            </w:r>
            <w:r>
              <w:rPr>
                <w:rFonts w:hint="eastAsia" w:ascii="宋体" w:hAnsi="宋体" w:eastAsia="宋体" w:cs="宋体"/>
                <w:color w:val="auto"/>
                <w:highlight w:val="none"/>
                <w:lang w:val="en-US" w:eastAsia="zh-CN"/>
              </w:rPr>
              <w:t>数</w:t>
            </w:r>
            <w:r>
              <w:rPr>
                <w:rFonts w:hint="eastAsia" w:ascii="宋体" w:hAnsi="宋体" w:eastAsia="宋体" w:cs="宋体"/>
                <w:color w:val="auto"/>
                <w:highlight w:val="none"/>
                <w:lang w:val="zh-Hans" w:eastAsia="zh-CN"/>
              </w:rPr>
              <w:t>量×中标折扣率。</w:t>
            </w:r>
          </w:p>
        </w:tc>
      </w:tr>
      <w:tr w14:paraId="6CA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429DA0BC">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9</w:t>
            </w:r>
          </w:p>
        </w:tc>
        <w:tc>
          <w:tcPr>
            <w:tcW w:w="2552" w:type="dxa"/>
            <w:tcBorders>
              <w:top w:val="single" w:color="auto" w:sz="4" w:space="0"/>
              <w:left w:val="single" w:color="auto" w:sz="4" w:space="0"/>
              <w:right w:val="single" w:color="auto" w:sz="4" w:space="0"/>
            </w:tcBorders>
            <w:vAlign w:val="center"/>
          </w:tcPr>
          <w:p w14:paraId="141662C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食品食材验收要求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0ED814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1.信息核对：核对采购食品食材与购货凭证（或者送货单据）上的名称、数量是否相符； </w:t>
            </w:r>
          </w:p>
          <w:p w14:paraId="6C4994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2.外观检查：检查感官性状，包装是否有破损、污迹、霉变、腐烂，是否有异味，是否有病虫害附着等； </w:t>
            </w:r>
          </w:p>
          <w:p w14:paraId="70EC015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标签检查：检查外包装标注信息是否完整，是否有产品的名称、规格或者净含量、生产日期、保质期、成分或者配料表、贮存条件等信息，是否标识生产者的名称、地址、联系方式以及产品标准代号、生产许可证编号等； </w:t>
            </w:r>
          </w:p>
          <w:p w14:paraId="5B72778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4.温度检查：需冷藏冷冻的食品食材是否冷链运输，冷藏食品表面温度与标签标识的温度是否超过＋3℃，冷冻食品食材表面温度是否高于－9℃； </w:t>
            </w:r>
          </w:p>
          <w:p w14:paraId="7A2E013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5.票据核验：检查随货同行的产品合格证明文件，文件上载明的内容是否与到货的食品生产日期、规格等信息保持一致； </w:t>
            </w:r>
          </w:p>
          <w:p w14:paraId="2C7EDF0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6.抽样检测：鼓励学校食堂对采购的蔬菜、肉类进行药物残留检测。 </w:t>
            </w:r>
          </w:p>
          <w:p w14:paraId="31D2410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供货商供货时，需同步提供该批次食用农产品的《承诺达标证》（或附带有二维码的电子承诺达标合格证）作为验收必要条件；不提供此证，可不予验收。此外，大米应每批次向供应商索取检验合格证明，合格证明中应含有国家和省的规定必检 的重金属（包含铅、镉、汞等）含量项目；没有重金属检验合格证明的，不得采购和验收。</w:t>
            </w:r>
          </w:p>
        </w:tc>
      </w:tr>
      <w:tr w14:paraId="1FA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740A2167">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2552" w:type="dxa"/>
            <w:tcBorders>
              <w:left w:val="single" w:color="auto" w:sz="4" w:space="0"/>
              <w:right w:val="single" w:color="auto" w:sz="4" w:space="0"/>
            </w:tcBorders>
            <w:vAlign w:val="center"/>
          </w:tcPr>
          <w:p w14:paraId="5D6BFA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lang w:val="zh-Hans"/>
              </w:rPr>
              <w:t>履约保证金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1C56136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1.为了使中标供应商能够认真履行合同，确保食品按时按质供应，在</w:t>
            </w:r>
            <w:r>
              <w:rPr>
                <w:rFonts w:hint="eastAsia" w:ascii="宋体" w:hAnsi="宋体" w:eastAsia="宋体" w:cs="宋体"/>
                <w:color w:val="auto"/>
                <w:highlight w:val="none"/>
                <w:lang w:val="zh-Hans"/>
              </w:rPr>
              <w:t>合同签订前5个工作日内，各包组中标供应商向采购人支付中标金额</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zh-Hans"/>
              </w:rPr>
              <w:t>作为</w:t>
            </w:r>
            <w:r>
              <w:rPr>
                <w:rFonts w:hint="eastAsia" w:ascii="宋体" w:hAnsi="宋体" w:eastAsia="宋体" w:cs="宋体"/>
                <w:color w:val="auto"/>
                <w:highlight w:val="none"/>
              </w:rPr>
              <w:t>履约</w:t>
            </w:r>
            <w:r>
              <w:rPr>
                <w:rFonts w:hint="eastAsia" w:ascii="宋体" w:hAnsi="宋体" w:eastAsia="宋体" w:cs="宋体"/>
                <w:color w:val="auto"/>
                <w:highlight w:val="none"/>
                <w:lang w:val="zh-Hans"/>
              </w:rPr>
              <w:t>保证金</w:t>
            </w:r>
            <w:r>
              <w:rPr>
                <w:rFonts w:hint="eastAsia" w:ascii="宋体" w:hAnsi="宋体" w:eastAsia="宋体" w:cs="宋体"/>
                <w:color w:val="auto"/>
                <w:highlight w:val="none"/>
                <w:lang w:val="en-US" w:eastAsia="zh-CN"/>
              </w:rPr>
              <w:t>。</w:t>
            </w:r>
          </w:p>
          <w:p w14:paraId="4B98B9D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2.交纳方式：以支票、汇票、本票或者金融机构、担保机构出具的保函等非现金形式提交。</w:t>
            </w:r>
          </w:p>
          <w:p w14:paraId="04C3EFF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3.履约保证金于合同期满并在中标供应商完全履行合同义务之日起20个工作日内无息退还。</w:t>
            </w:r>
          </w:p>
          <w:p w14:paraId="7F11B69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14:paraId="5F7A73D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5.履约保证金用于补偿采购人因中标供应商的过失导致未能达到合同约定的服务和质量要求而蒙受的损失。</w:t>
            </w:r>
          </w:p>
          <w:p w14:paraId="7D64F47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14:paraId="5B3B99B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因中标供应商供应的食材质量问题造成采购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7E4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0E1424AE">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11</w:t>
            </w:r>
          </w:p>
        </w:tc>
        <w:tc>
          <w:tcPr>
            <w:tcW w:w="2552" w:type="dxa"/>
            <w:tcBorders>
              <w:left w:val="single" w:color="auto" w:sz="4" w:space="0"/>
              <w:bottom w:val="single" w:color="auto" w:sz="4" w:space="0"/>
              <w:right w:val="single" w:color="auto" w:sz="4" w:space="0"/>
            </w:tcBorders>
            <w:vAlign w:val="center"/>
          </w:tcPr>
          <w:p w14:paraId="5B55DD1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kern w:val="2"/>
                <w:sz w:val="21"/>
                <w:szCs w:val="21"/>
                <w:highlight w:val="none"/>
                <w:lang w:val="en-US" w:eastAsia="zh-CN" w:bidi="ar-SA"/>
              </w:rPr>
              <w:t>双方权利义务</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35E367C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1.签订服务合同的同时中标供应商必须向采购人出具针对本项目的《食品质量安全承诺书》。</w:t>
            </w:r>
          </w:p>
          <w:p w14:paraId="35FDDFD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2.就餐人数以实际发生为准。</w:t>
            </w:r>
          </w:p>
          <w:p w14:paraId="54EEC9F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服务期内，中标供应商提供的货品质量不符合质量考核标准或因中标供应商责任出现重大事故或严重违反违法事件，采购人有权立即解除合同、没收其履约保证金，如履约保证金不足弥补损失的，采购人还有权按实际损失要求中标供应商承担。中标供应商因前述原因解除合同，采购人有权将中标供应商从资格库中剔除并列入黑名单。</w:t>
            </w:r>
          </w:p>
          <w:p w14:paraId="126255A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采购人有权在合同期内根据实际实施情况，对相关的管理制度和考核办法进行必要的调整。实行动态管理方式，中标供应商完全理解并自觉遵守这些管理制度、办法，并接受采购人上级职能部门及相关单位的监督和管理。</w:t>
            </w:r>
          </w:p>
          <w:p w14:paraId="49F673C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中标供应商同意采购人有权安排专职小组对中标供应商生产或配送等场所进行查访，如发现场所与中标供应商投标文件中所描述及承诺内容不符，采购人有权要求中标供应商限期整改，整改期间暂停接收中标供应商服务。整改完毕后并经采购人验收合格，可继续履行合同，整改期间采购人的损失由中标供应商足额赔偿。中标供应商拒不整改或整改不合格，采购人有权立即解除合同、没收履约保证金并要求中标供应商赔偿采购人全部损失。</w:t>
            </w:r>
          </w:p>
          <w:p w14:paraId="059A30C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6.中标供应商不得将本合同项下权利义务向任何第三方转包、分包或转让。否则采购人有权立即解除合同、没收其履约保证金。</w:t>
            </w:r>
          </w:p>
        </w:tc>
      </w:tr>
      <w:tr w14:paraId="4E41D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C5170C8">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12</w:t>
            </w:r>
          </w:p>
        </w:tc>
        <w:tc>
          <w:tcPr>
            <w:tcW w:w="2552" w:type="dxa"/>
            <w:tcBorders>
              <w:left w:val="single" w:color="auto" w:sz="4" w:space="0"/>
              <w:bottom w:val="single" w:color="auto" w:sz="4" w:space="0"/>
              <w:right w:val="single" w:color="auto" w:sz="4" w:space="0"/>
            </w:tcBorders>
            <w:vAlign w:val="center"/>
          </w:tcPr>
          <w:p w14:paraId="39B8974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szCs w:val="21"/>
                <w:highlight w:val="none"/>
                <w:lang w:val="en-US" w:eastAsia="zh-CN"/>
              </w:rPr>
              <w:t>其他要求</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E243B5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1.供应商供应的农产品必须要提供农产品合格证。</w:t>
            </w:r>
          </w:p>
          <w:p w14:paraId="1BD66D1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2.采购数量和金额是参考往年进行估算，采购人无法确保每家中标供应商的供货数量是否能达到估算金额，投标人应注意相关风险。</w:t>
            </w:r>
          </w:p>
        </w:tc>
      </w:tr>
      <w:tr w14:paraId="025BC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1839087">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13</w:t>
            </w:r>
          </w:p>
        </w:tc>
        <w:tc>
          <w:tcPr>
            <w:tcW w:w="2552" w:type="dxa"/>
            <w:tcBorders>
              <w:left w:val="single" w:color="auto" w:sz="4" w:space="0"/>
              <w:bottom w:val="single" w:color="auto" w:sz="4" w:space="0"/>
              <w:right w:val="single" w:color="auto" w:sz="4" w:space="0"/>
            </w:tcBorders>
            <w:vAlign w:val="center"/>
          </w:tcPr>
          <w:p w14:paraId="7556309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highlight w:val="none"/>
              </w:rPr>
            </w:pPr>
            <w:r>
              <w:rPr>
                <w:rFonts w:hint="eastAsia" w:ascii="宋体" w:hAnsi="宋体" w:eastAsia="宋体" w:cs="宋体"/>
                <w:b/>
                <w:bCs/>
                <w:color w:val="auto"/>
                <w:highlight w:val="none"/>
              </w:rPr>
              <w:t>考核标准</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4E43B5B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1.采购人在服务期限内对中标供应商实行考核制度，服务期内若扣分累计达到30分或以上则采购人有权利取消中标供应商的配送资格，并终止采购合同。 </w:t>
            </w:r>
          </w:p>
          <w:p w14:paraId="516311D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考核标准：每次供应肉菜不提供残留农药合格证明扣10分；每次在上午8；00后供货的扣2分。如因肉菜质量问题造成食品安全事故，中标供应商须负一切责任并且采购人有权利取消其中标供应商的配送资格。考核细则见技术要求附件《配送服务质量考核评价办法》。</w:t>
            </w:r>
          </w:p>
          <w:p w14:paraId="370198C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3.每月综合服务满意度满分为100分，合格标准为90分，满意度低于90分的每下降1%扣除当月结算金额的1%。半年内累计出现低于合格满意度次数超过3次的，采购人有权解除合同。</w:t>
            </w:r>
          </w:p>
          <w:p w14:paraId="13FB6C9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4.中标供应商需及时对采购人提出的存在问题作出响应并实施整改，次月未作出整改的，采购人将发出警告函1次，连续因同一问题发出警告函3次的，采购人有权终止其供货资格。</w:t>
            </w:r>
          </w:p>
          <w:p w14:paraId="1422B52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提前终止供货服务的一周前，需以书面形式通知对方。</w:t>
            </w:r>
          </w:p>
          <w:p w14:paraId="7AA15202">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6.采购人对考核标准保持最终修改权和解释权。</w:t>
            </w:r>
          </w:p>
        </w:tc>
      </w:tr>
      <w:tr w14:paraId="4EE9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4D59DF14">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cs="宋体"/>
                <w:color w:val="auto"/>
                <w:highlight w:val="none"/>
                <w:lang w:val="en-US" w:eastAsia="zh-CN"/>
              </w:rPr>
            </w:pPr>
            <w:r>
              <w:rPr>
                <w:rFonts w:hint="eastAsia" w:ascii="宋体" w:hAnsi="宋体" w:cs="宋体"/>
                <w:color w:val="auto"/>
                <w:highlight w:val="none"/>
                <w:lang w:val="en-US" w:eastAsia="zh-CN"/>
              </w:rPr>
              <w:t>14</w:t>
            </w:r>
          </w:p>
        </w:tc>
        <w:tc>
          <w:tcPr>
            <w:tcW w:w="2552" w:type="dxa"/>
            <w:tcBorders>
              <w:left w:val="single" w:color="auto" w:sz="4" w:space="0"/>
              <w:bottom w:val="single" w:color="auto" w:sz="4" w:space="0"/>
              <w:right w:val="single" w:color="auto" w:sz="4" w:space="0"/>
            </w:tcBorders>
            <w:shd w:val="clear" w:color="auto" w:fill="auto"/>
            <w:vAlign w:val="center"/>
          </w:tcPr>
          <w:p w14:paraId="2553ABA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kern w:val="2"/>
                <w:sz w:val="21"/>
                <w:szCs w:val="24"/>
                <w:highlight w:val="none"/>
                <w:lang w:val="en-US" w:eastAsia="zh-CN" w:bidi="ar-SA"/>
              </w:rPr>
            </w:pPr>
            <w:r>
              <w:rPr>
                <w:rFonts w:hint="eastAsia" w:ascii="宋体" w:hAnsi="宋体" w:eastAsia="宋体" w:cs="宋体"/>
                <w:b/>
                <w:bCs/>
                <w:color w:val="auto"/>
                <w:kern w:val="2"/>
                <w:sz w:val="21"/>
                <w:szCs w:val="21"/>
                <w:highlight w:val="none"/>
                <w:lang w:val="en-US" w:eastAsia="zh-CN" w:bidi="ar-SA"/>
              </w:rPr>
              <w:t>配送时间</w:t>
            </w:r>
          </w:p>
        </w:tc>
        <w:tc>
          <w:tcPr>
            <w:tcW w:w="63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5EC95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包点每天上午6：00前送到采购人指定地点，其他食材早上7点前配送到采购人指定地点，如遇特殊情况需送货的另行电话通知相关供应商。</w:t>
            </w:r>
          </w:p>
        </w:tc>
      </w:tr>
      <w:tr w14:paraId="33CB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6A36DB95">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15</w:t>
            </w:r>
          </w:p>
        </w:tc>
        <w:tc>
          <w:tcPr>
            <w:tcW w:w="2552" w:type="dxa"/>
            <w:tcBorders>
              <w:top w:val="single" w:color="auto" w:sz="4" w:space="0"/>
              <w:left w:val="single" w:color="auto" w:sz="4" w:space="0"/>
              <w:right w:val="single" w:color="auto" w:sz="4" w:space="0"/>
            </w:tcBorders>
            <w:vAlign w:val="center"/>
          </w:tcPr>
          <w:p w14:paraId="15613EF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投标保证金</w:t>
            </w:r>
          </w:p>
        </w:tc>
        <w:tc>
          <w:tcPr>
            <w:tcW w:w="6349" w:type="dxa"/>
            <w:gridSpan w:val="2"/>
            <w:tcBorders>
              <w:top w:val="single" w:color="auto" w:sz="4" w:space="0"/>
              <w:left w:val="single" w:color="auto" w:sz="4" w:space="0"/>
              <w:bottom w:val="single" w:color="auto" w:sz="4" w:space="0"/>
              <w:right w:val="single" w:color="auto" w:sz="4" w:space="0"/>
            </w:tcBorders>
            <w:vAlign w:val="center"/>
          </w:tcPr>
          <w:p w14:paraId="54179C60">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不收取。</w:t>
            </w:r>
          </w:p>
        </w:tc>
      </w:tr>
      <w:tr w14:paraId="7410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3CEA01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16</w:t>
            </w:r>
          </w:p>
        </w:tc>
        <w:tc>
          <w:tcPr>
            <w:tcW w:w="2552" w:type="dxa"/>
            <w:vMerge w:val="restart"/>
            <w:tcBorders>
              <w:top w:val="single" w:color="auto" w:sz="4" w:space="0"/>
              <w:left w:val="single" w:color="auto" w:sz="4" w:space="0"/>
              <w:right w:val="single" w:color="auto" w:sz="4" w:space="0"/>
            </w:tcBorders>
            <w:vAlign w:val="center"/>
          </w:tcPr>
          <w:p w14:paraId="5E910BE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p w14:paraId="62E973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066D9C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478" w:type="dxa"/>
            <w:tcBorders>
              <w:top w:val="single" w:color="auto" w:sz="4" w:space="0"/>
              <w:left w:val="single" w:color="auto" w:sz="4" w:space="0"/>
              <w:bottom w:val="single" w:color="auto" w:sz="4" w:space="0"/>
              <w:right w:val="single" w:color="auto" w:sz="4" w:space="0"/>
            </w:tcBorders>
            <w:vAlign w:val="center"/>
          </w:tcPr>
          <w:p w14:paraId="1665935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发改价格[2011]534号文的规定</w:t>
            </w:r>
            <w:r>
              <w:rPr>
                <w:rFonts w:hint="eastAsia" w:ascii="宋体" w:hAnsi="宋体" w:eastAsia="宋体" w:cs="宋体"/>
                <w:color w:val="auto"/>
                <w:szCs w:val="21"/>
                <w:highlight w:val="none"/>
              </w:rPr>
              <w:t>，招标代理服务费按差额定率累进法计算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不足7000元按7000元计算</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中标服务费由</w:t>
            </w:r>
            <w:r>
              <w:rPr>
                <w:rFonts w:hint="eastAsia" w:ascii="宋体" w:hAnsi="宋体" w:eastAsia="宋体" w:cs="宋体"/>
                <w:color w:val="auto"/>
                <w:szCs w:val="21"/>
                <w:highlight w:val="none"/>
                <w:lang w:val="en-US" w:eastAsia="zh-CN"/>
              </w:rPr>
              <w:t>各包组</w:t>
            </w:r>
            <w:r>
              <w:rPr>
                <w:rFonts w:hint="eastAsia" w:ascii="宋体" w:hAnsi="宋体" w:eastAsia="宋体" w:cs="宋体"/>
                <w:color w:val="auto"/>
                <w:szCs w:val="21"/>
                <w:highlight w:val="none"/>
              </w:rPr>
              <w:t>中标人</w:t>
            </w:r>
            <w:r>
              <w:rPr>
                <w:rFonts w:hint="eastAsia" w:ascii="宋体" w:hAnsi="宋体" w:eastAsia="宋体" w:cs="宋体"/>
                <w:color w:val="auto"/>
                <w:szCs w:val="21"/>
                <w:highlight w:val="none"/>
                <w:lang w:val="en-US" w:eastAsia="zh-CN"/>
              </w:rPr>
              <w:t>分别</w:t>
            </w:r>
            <w:r>
              <w:rPr>
                <w:rFonts w:hint="eastAsia" w:ascii="宋体" w:hAnsi="宋体" w:eastAsia="宋体" w:cs="宋体"/>
                <w:color w:val="auto"/>
                <w:szCs w:val="21"/>
                <w:highlight w:val="none"/>
              </w:rPr>
              <w:t>在领取中标通知书前以银行转账方式一次性支付。</w:t>
            </w:r>
          </w:p>
        </w:tc>
      </w:tr>
      <w:tr w14:paraId="3CA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F6323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7B42EB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552431B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478" w:type="dxa"/>
            <w:tcBorders>
              <w:top w:val="single" w:color="auto" w:sz="4" w:space="0"/>
              <w:left w:val="single" w:color="auto" w:sz="4" w:space="0"/>
              <w:bottom w:val="single" w:color="auto" w:sz="4" w:space="0"/>
              <w:right w:val="single" w:color="auto" w:sz="4" w:space="0"/>
            </w:tcBorders>
            <w:vAlign w:val="center"/>
          </w:tcPr>
          <w:p w14:paraId="3A3CF98B">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广东业信采购招标有限公司</w:t>
            </w:r>
          </w:p>
        </w:tc>
      </w:tr>
      <w:tr w14:paraId="4CE8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B88A37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14:paraId="6037162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10AFEE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478" w:type="dxa"/>
            <w:tcBorders>
              <w:top w:val="single" w:color="auto" w:sz="4" w:space="0"/>
              <w:left w:val="single" w:color="auto" w:sz="4" w:space="0"/>
              <w:bottom w:val="single" w:color="auto" w:sz="4" w:space="0"/>
              <w:right w:val="single" w:color="auto" w:sz="4" w:space="0"/>
            </w:tcBorders>
            <w:vAlign w:val="center"/>
          </w:tcPr>
          <w:p w14:paraId="5CBB220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44547801040002249</w:t>
            </w:r>
          </w:p>
        </w:tc>
      </w:tr>
      <w:tr w14:paraId="23CF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D7C34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14:paraId="166F7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8D87C5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478" w:type="dxa"/>
            <w:tcBorders>
              <w:top w:val="single" w:color="auto" w:sz="4" w:space="0"/>
              <w:left w:val="single" w:color="auto" w:sz="4" w:space="0"/>
              <w:bottom w:val="single" w:color="auto" w:sz="4" w:space="0"/>
              <w:right w:val="single" w:color="auto" w:sz="4" w:space="0"/>
            </w:tcBorders>
            <w:vAlign w:val="center"/>
          </w:tcPr>
          <w:p w14:paraId="5B90220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14:paraId="6918EB81">
      <w:pPr>
        <w:adjustRightInd w:val="0"/>
        <w:snapToGrid w:val="0"/>
        <w:spacing w:line="360" w:lineRule="auto"/>
        <w:rPr>
          <w:b/>
          <w:color w:val="auto"/>
          <w:szCs w:val="21"/>
          <w:highlight w:val="none"/>
        </w:rPr>
      </w:pPr>
    </w:p>
    <w:p w14:paraId="63356645">
      <w:pPr>
        <w:adjustRightInd w:val="0"/>
        <w:snapToGrid w:val="0"/>
        <w:spacing w:line="360" w:lineRule="auto"/>
        <w:rPr>
          <w:rFonts w:ascii="宋体" w:hAnsi="宋体"/>
          <w:bCs/>
          <w:color w:val="auto"/>
          <w:highlight w:val="none"/>
        </w:rPr>
      </w:pPr>
    </w:p>
    <w:p w14:paraId="6FC6882A">
      <w:pPr>
        <w:pStyle w:val="39"/>
        <w:rPr>
          <w:rFonts w:ascii="宋体" w:hAnsi="宋体"/>
          <w:bCs/>
          <w:color w:val="auto"/>
          <w:highlight w:val="none"/>
        </w:rPr>
      </w:pPr>
    </w:p>
    <w:p w14:paraId="55BE06EC">
      <w:pPr>
        <w:pStyle w:val="39"/>
        <w:rPr>
          <w:rFonts w:ascii="宋体" w:hAnsi="宋体"/>
          <w:bCs/>
          <w:color w:val="auto"/>
          <w:highlight w:val="none"/>
        </w:rPr>
      </w:pPr>
    </w:p>
    <w:p w14:paraId="3CDAD623">
      <w:pPr>
        <w:pStyle w:val="39"/>
        <w:rPr>
          <w:rFonts w:ascii="宋体" w:hAnsi="宋体"/>
          <w:bCs/>
          <w:color w:val="auto"/>
          <w:highlight w:val="none"/>
        </w:rPr>
      </w:pPr>
    </w:p>
    <w:p w14:paraId="7D3D2E24">
      <w:pPr>
        <w:pStyle w:val="39"/>
        <w:rPr>
          <w:rFonts w:ascii="宋体" w:hAnsi="宋体"/>
          <w:bCs/>
          <w:color w:val="auto"/>
          <w:highlight w:val="none"/>
        </w:rPr>
      </w:pPr>
    </w:p>
    <w:p w14:paraId="1E787EC7">
      <w:pPr>
        <w:pStyle w:val="39"/>
        <w:rPr>
          <w:rFonts w:ascii="宋体" w:hAnsi="宋体"/>
          <w:bCs/>
          <w:color w:val="auto"/>
          <w:highlight w:val="none"/>
        </w:rPr>
      </w:pPr>
    </w:p>
    <w:p w14:paraId="60DD8F1C">
      <w:pPr>
        <w:pStyle w:val="39"/>
        <w:rPr>
          <w:rFonts w:ascii="宋体" w:hAnsi="宋体"/>
          <w:bCs/>
          <w:color w:val="auto"/>
          <w:highlight w:val="none"/>
        </w:rPr>
      </w:pPr>
    </w:p>
    <w:p w14:paraId="514F2CE1">
      <w:pPr>
        <w:pStyle w:val="39"/>
        <w:rPr>
          <w:rFonts w:ascii="宋体" w:hAnsi="宋体"/>
          <w:bCs/>
          <w:color w:val="auto"/>
          <w:highlight w:val="none"/>
        </w:rPr>
      </w:pPr>
    </w:p>
    <w:p w14:paraId="0F6E131E">
      <w:pPr>
        <w:pStyle w:val="39"/>
        <w:rPr>
          <w:rFonts w:ascii="宋体" w:hAnsi="宋体"/>
          <w:bCs/>
          <w:color w:val="auto"/>
          <w:highlight w:val="none"/>
        </w:rPr>
      </w:pPr>
    </w:p>
    <w:p w14:paraId="392B4F93">
      <w:pPr>
        <w:pStyle w:val="39"/>
        <w:rPr>
          <w:rFonts w:ascii="宋体" w:hAnsi="宋体"/>
          <w:bCs/>
          <w:color w:val="auto"/>
          <w:highlight w:val="none"/>
        </w:rPr>
      </w:pPr>
    </w:p>
    <w:p w14:paraId="0176769B">
      <w:pPr>
        <w:pStyle w:val="39"/>
        <w:rPr>
          <w:rFonts w:ascii="宋体" w:hAnsi="宋体"/>
          <w:bCs/>
          <w:color w:val="auto"/>
          <w:highlight w:val="none"/>
        </w:rPr>
      </w:pPr>
    </w:p>
    <w:p w14:paraId="625D3A67">
      <w:pPr>
        <w:rPr>
          <w:rFonts w:hint="eastAsia"/>
          <w:color w:val="auto"/>
          <w:kern w:val="0"/>
          <w:sz w:val="24"/>
          <w:highlight w:val="none"/>
        </w:rPr>
      </w:pPr>
      <w:r>
        <w:rPr>
          <w:rFonts w:hint="eastAsia"/>
          <w:color w:val="auto"/>
          <w:kern w:val="0"/>
          <w:sz w:val="24"/>
          <w:highlight w:val="none"/>
        </w:rPr>
        <w:br w:type="page"/>
      </w:r>
    </w:p>
    <w:p w14:paraId="5083D07F">
      <w:pPr>
        <w:pStyle w:val="3"/>
        <w:numPr>
          <w:ilvl w:val="0"/>
          <w:numId w:val="0"/>
        </w:numPr>
        <w:spacing w:beforeLines="150" w:after="0" w:line="360" w:lineRule="auto"/>
        <w:rPr>
          <w:color w:val="auto"/>
          <w:kern w:val="0"/>
          <w:sz w:val="24"/>
          <w:highlight w:val="none"/>
        </w:rPr>
      </w:pPr>
      <w:bookmarkStart w:id="113" w:name="_Toc8698"/>
      <w:r>
        <w:rPr>
          <w:rFonts w:hint="eastAsia"/>
          <w:color w:val="auto"/>
          <w:kern w:val="0"/>
          <w:sz w:val="24"/>
          <w:highlight w:val="none"/>
        </w:rPr>
        <w:t>B  技术要求</w:t>
      </w:r>
      <w:bookmarkEnd w:id="113"/>
    </w:p>
    <w:p w14:paraId="690FF114">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auto"/>
          <w:szCs w:val="21"/>
          <w:highlight w:val="none"/>
        </w:rPr>
      </w:pPr>
      <w:r>
        <w:rPr>
          <w:rFonts w:hint="eastAsia" w:ascii="宋体" w:hAnsi="宋体" w:eastAsia="宋体" w:cs="宋体"/>
          <w:b/>
          <w:color w:val="auto"/>
          <w:sz w:val="21"/>
          <w:szCs w:val="21"/>
          <w:highlight w:val="none"/>
        </w:rPr>
        <w:t>一、</w:t>
      </w:r>
      <w:r>
        <w:rPr>
          <w:rFonts w:hint="eastAsia" w:ascii="宋体" w:hAnsi="宋体"/>
          <w:b/>
          <w:color w:val="auto"/>
          <w:szCs w:val="21"/>
          <w:highlight w:val="none"/>
        </w:rPr>
        <w:t>总体要求</w:t>
      </w:r>
    </w:p>
    <w:p w14:paraId="44CBAA65">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cs="宋体"/>
          <w:color w:val="auto"/>
          <w:highlight w:val="none"/>
        </w:rPr>
      </w:pPr>
      <w:r>
        <w:rPr>
          <w:rFonts w:hint="eastAsia" w:ascii="宋体" w:hAnsi="宋体" w:cs="宋体"/>
          <w:color w:val="auto"/>
          <w:highlight w:val="none"/>
        </w:rPr>
        <w:t>1</w:t>
      </w:r>
      <w:r>
        <w:rPr>
          <w:rFonts w:hint="eastAsia" w:ascii="宋体" w:hAnsi="宋体" w:eastAsia="宋体" w:cs="宋体"/>
          <w:bCs/>
          <w:color w:val="auto"/>
          <w:sz w:val="21"/>
          <w:szCs w:val="21"/>
          <w:highlight w:val="none"/>
        </w:rPr>
        <w:t>.</w:t>
      </w:r>
      <w:r>
        <w:rPr>
          <w:rFonts w:hint="eastAsia" w:ascii="宋体" w:hAnsi="宋体" w:cs="宋体"/>
          <w:color w:val="auto"/>
          <w:highlight w:val="none"/>
        </w:rPr>
        <w:t>★所有食材要求为非转基因食品。</w:t>
      </w:r>
    </w:p>
    <w:p w14:paraId="4B0FC6B0">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宋体" w:hAnsi="宋体"/>
          <w:color w:val="auto"/>
          <w:szCs w:val="21"/>
          <w:highlight w:val="none"/>
        </w:rPr>
      </w:pPr>
      <w:r>
        <w:rPr>
          <w:rFonts w:hint="eastAsia" w:ascii="宋体" w:hAnsi="宋体" w:cs="宋体"/>
          <w:color w:val="auto"/>
          <w:spacing w:val="-3"/>
          <w:szCs w:val="21"/>
          <w:highlight w:val="none"/>
        </w:rPr>
        <w:t>2</w:t>
      </w:r>
      <w:r>
        <w:rPr>
          <w:rFonts w:hint="eastAsia" w:ascii="宋体" w:hAnsi="宋体" w:eastAsia="宋体" w:cs="宋体"/>
          <w:bCs/>
          <w:color w:val="auto"/>
          <w:sz w:val="21"/>
          <w:szCs w:val="21"/>
          <w:highlight w:val="none"/>
        </w:rPr>
        <w:t>.</w:t>
      </w:r>
      <w:r>
        <w:rPr>
          <w:rFonts w:hint="eastAsia" w:ascii="宋体" w:hAnsi="宋体" w:cs="宋体"/>
          <w:color w:val="auto"/>
          <w:spacing w:val="-3"/>
          <w:szCs w:val="21"/>
          <w:highlight w:val="none"/>
        </w:rPr>
        <w:t>食材</w:t>
      </w:r>
      <w:r>
        <w:rPr>
          <w:rFonts w:hint="eastAsia" w:ascii="宋体" w:hAnsi="宋体" w:cs="宋体"/>
          <w:color w:val="auto"/>
          <w:spacing w:val="-11"/>
          <w:szCs w:val="21"/>
          <w:highlight w:val="none"/>
        </w:rPr>
        <w:t>有使用</w:t>
      </w:r>
      <w:r>
        <w:rPr>
          <w:rFonts w:hint="eastAsia" w:ascii="宋体" w:hAnsi="宋体" w:cs="宋体"/>
          <w:color w:val="auto"/>
          <w:szCs w:val="20"/>
          <w:highlight w:val="none"/>
        </w:rPr>
        <w:t>有效期</w:t>
      </w:r>
      <w:r>
        <w:rPr>
          <w:rFonts w:hint="eastAsia" w:ascii="宋体" w:hAnsi="宋体" w:cs="宋体"/>
          <w:color w:val="auto"/>
          <w:spacing w:val="-11"/>
          <w:szCs w:val="21"/>
          <w:highlight w:val="none"/>
        </w:rPr>
        <w:t>的，其剩余有效期不</w:t>
      </w:r>
      <w:r>
        <w:rPr>
          <w:rFonts w:hint="eastAsia" w:ascii="宋体" w:hAnsi="宋体"/>
          <w:color w:val="auto"/>
          <w:kern w:val="0"/>
          <w:szCs w:val="21"/>
          <w:highlight w:val="none"/>
        </w:rPr>
        <w:t>得少于标注有效期的80%</w:t>
      </w:r>
      <w:r>
        <w:rPr>
          <w:rFonts w:hint="eastAsia" w:ascii="宋体" w:hAnsi="宋体" w:cs="宋体"/>
          <w:color w:val="auto"/>
          <w:szCs w:val="21"/>
          <w:highlight w:val="none"/>
        </w:rPr>
        <w:t>。</w:t>
      </w:r>
    </w:p>
    <w:p w14:paraId="3E20D0F3">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宋体" w:hAnsi="宋体"/>
          <w:color w:val="auto"/>
          <w:highlight w:val="none"/>
        </w:rPr>
      </w:pPr>
      <w:r>
        <w:rPr>
          <w:rFonts w:hint="eastAsia" w:ascii="宋体" w:hAnsi="宋体"/>
          <w:color w:val="auto"/>
          <w:highlight w:val="none"/>
        </w:rPr>
        <w:t>3</w:t>
      </w:r>
      <w:r>
        <w:rPr>
          <w:rFonts w:hint="eastAsia" w:ascii="宋体" w:hAnsi="宋体" w:eastAsia="宋体" w:cs="宋体"/>
          <w:bCs/>
          <w:color w:val="auto"/>
          <w:sz w:val="21"/>
          <w:szCs w:val="21"/>
          <w:highlight w:val="none"/>
        </w:rPr>
        <w:t>.</w:t>
      </w:r>
      <w:r>
        <w:rPr>
          <w:rFonts w:hint="eastAsia" w:ascii="宋体" w:hAnsi="宋体"/>
          <w:color w:val="auto"/>
          <w:highlight w:val="none"/>
        </w:rPr>
        <w:t>所供的物品必须符合《中华人民共和国食品安全法》要求。</w:t>
      </w:r>
    </w:p>
    <w:p w14:paraId="0B573AA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4</w:t>
      </w:r>
      <w:r>
        <w:rPr>
          <w:rFonts w:hint="eastAsia" w:ascii="宋体" w:hAnsi="宋体" w:eastAsia="宋体" w:cs="宋体"/>
          <w:bCs/>
          <w:color w:val="auto"/>
          <w:sz w:val="21"/>
          <w:szCs w:val="21"/>
          <w:highlight w:val="none"/>
        </w:rPr>
        <w:t>.</w:t>
      </w:r>
      <w:r>
        <w:rPr>
          <w:rFonts w:hint="eastAsia" w:ascii="宋体" w:hAnsi="宋体"/>
          <w:color w:val="auto"/>
          <w:highlight w:val="none"/>
        </w:rPr>
        <w:t>供应商需承诺所供的物品必须符合国家有关标准，保证无异味、无霉烂变质，如不符合投标文件所描述的质量标准，必须退货并承担违约责任。</w:t>
      </w:r>
    </w:p>
    <w:p w14:paraId="3AB1637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5</w:t>
      </w:r>
      <w:r>
        <w:rPr>
          <w:rFonts w:hint="eastAsia" w:ascii="宋体" w:hAnsi="宋体" w:eastAsia="宋体" w:cs="宋体"/>
          <w:bCs/>
          <w:color w:val="auto"/>
          <w:sz w:val="21"/>
          <w:szCs w:val="21"/>
          <w:highlight w:val="none"/>
        </w:rPr>
        <w:t>.</w:t>
      </w:r>
      <w:r>
        <w:rPr>
          <w:rFonts w:hint="eastAsia" w:ascii="宋体" w:hAnsi="宋体"/>
          <w:color w:val="auto"/>
          <w:highlight w:val="none"/>
        </w:rPr>
        <w:t>所供商品必须符合国家行业生产及经营标准，货真价实，均能提供相应批次的合格检验证明。</w:t>
      </w:r>
    </w:p>
    <w:p w14:paraId="71FA16C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6</w:t>
      </w:r>
      <w:r>
        <w:rPr>
          <w:rFonts w:hint="eastAsia" w:ascii="宋体" w:hAnsi="宋体" w:eastAsia="宋体" w:cs="宋体"/>
          <w:bCs/>
          <w:color w:val="auto"/>
          <w:sz w:val="21"/>
          <w:szCs w:val="21"/>
          <w:highlight w:val="none"/>
        </w:rPr>
        <w:t>.</w:t>
      </w:r>
      <w:r>
        <w:rPr>
          <w:rFonts w:hint="eastAsia" w:ascii="宋体" w:hAnsi="宋体"/>
          <w:color w:val="auto"/>
          <w:highlight w:val="none"/>
        </w:rPr>
        <w:t>供应的货物必须各项技术指标完全符合国家有关质量检测、环保标准及产品出厂标准。</w:t>
      </w:r>
    </w:p>
    <w:p w14:paraId="5910CB55">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7</w:t>
      </w:r>
      <w:r>
        <w:rPr>
          <w:rFonts w:hint="eastAsia" w:ascii="宋体" w:hAnsi="宋体" w:eastAsia="宋体" w:cs="宋体"/>
          <w:bCs/>
          <w:color w:val="auto"/>
          <w:sz w:val="21"/>
          <w:szCs w:val="21"/>
          <w:highlight w:val="none"/>
        </w:rPr>
        <w:t>.</w:t>
      </w:r>
      <w:r>
        <w:rPr>
          <w:rFonts w:hint="eastAsia" w:ascii="宋体" w:hAnsi="宋体"/>
          <w:color w:val="auto"/>
          <w:highlight w:val="none"/>
        </w:rPr>
        <w:t>供应商必须负责中标货物的运输、质量检测等工作，所产生的费用由中标供应商负责。</w:t>
      </w:r>
    </w:p>
    <w:p w14:paraId="40F03FE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8</w:t>
      </w:r>
      <w:r>
        <w:rPr>
          <w:rFonts w:hint="eastAsia" w:ascii="宋体" w:hAnsi="宋体" w:eastAsia="宋体" w:cs="宋体"/>
          <w:bCs/>
          <w:color w:val="auto"/>
          <w:sz w:val="21"/>
          <w:szCs w:val="21"/>
          <w:highlight w:val="none"/>
        </w:rPr>
        <w:t>.</w:t>
      </w:r>
      <w:r>
        <w:rPr>
          <w:rFonts w:hint="eastAsia" w:ascii="宋体" w:hAnsi="宋体"/>
          <w:color w:val="auto"/>
          <w:highlight w:val="none"/>
        </w:rPr>
        <w:t>物品具体需求量以实际供应前一天通知的为准。</w:t>
      </w:r>
    </w:p>
    <w:p w14:paraId="679732B7">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9</w:t>
      </w:r>
      <w:r>
        <w:rPr>
          <w:rFonts w:hint="eastAsia" w:ascii="宋体" w:hAnsi="宋体" w:eastAsia="宋体" w:cs="宋体"/>
          <w:bCs/>
          <w:color w:val="auto"/>
          <w:sz w:val="21"/>
          <w:szCs w:val="21"/>
          <w:highlight w:val="none"/>
        </w:rPr>
        <w:t>.</w:t>
      </w:r>
      <w:r>
        <w:rPr>
          <w:rFonts w:hint="eastAsia" w:ascii="宋体" w:hAnsi="宋体"/>
          <w:color w:val="auto"/>
          <w:highlight w:val="none"/>
        </w:rPr>
        <w:t>供应商不得将中标项目转包、分包，否则采购人有权单方终止合同,由此产生的一切经济损失由中标供应商自行承担。</w:t>
      </w:r>
    </w:p>
    <w:p w14:paraId="5AF84D3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10</w:t>
      </w:r>
      <w:r>
        <w:rPr>
          <w:rFonts w:hint="eastAsia" w:ascii="宋体" w:hAnsi="宋体" w:eastAsia="宋体" w:cs="宋体"/>
          <w:bCs/>
          <w:color w:val="auto"/>
          <w:sz w:val="21"/>
          <w:szCs w:val="21"/>
          <w:highlight w:val="none"/>
        </w:rPr>
        <w:t>.</w:t>
      </w:r>
      <w:r>
        <w:rPr>
          <w:rFonts w:hint="eastAsia" w:ascii="宋体" w:hAnsi="宋体"/>
          <w:color w:val="auto"/>
          <w:highlight w:val="none"/>
        </w:rPr>
        <w:t>由于采购人工作的特殊性，供应商应做好本单位工作人员的教育工作，遵守采购人各项规定。</w:t>
      </w:r>
    </w:p>
    <w:p w14:paraId="7F648A5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11</w:t>
      </w:r>
      <w:r>
        <w:rPr>
          <w:rFonts w:hint="eastAsia" w:ascii="宋体" w:hAnsi="宋体" w:eastAsia="宋体" w:cs="宋体"/>
          <w:bCs/>
          <w:color w:val="auto"/>
          <w:sz w:val="21"/>
          <w:szCs w:val="21"/>
          <w:highlight w:val="none"/>
        </w:rPr>
        <w:t>.</w:t>
      </w:r>
      <w:r>
        <w:rPr>
          <w:rFonts w:hint="eastAsia" w:ascii="宋体" w:hAnsi="宋体"/>
          <w:color w:val="auto"/>
          <w:highlight w:val="none"/>
        </w:rPr>
        <w:t>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14:paraId="3002AC1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12</w:t>
      </w:r>
      <w:r>
        <w:rPr>
          <w:rFonts w:hint="eastAsia" w:ascii="宋体" w:hAnsi="宋体" w:eastAsia="宋体" w:cs="宋体"/>
          <w:bCs/>
          <w:color w:val="auto"/>
          <w:sz w:val="21"/>
          <w:szCs w:val="21"/>
          <w:highlight w:val="none"/>
        </w:rPr>
        <w:t>.</w:t>
      </w:r>
      <w:r>
        <w:rPr>
          <w:rFonts w:hint="eastAsia" w:ascii="宋体" w:hAnsi="宋体"/>
          <w:color w:val="auto"/>
          <w:highlight w:val="none"/>
        </w:rPr>
        <w:t>供应商不得变更供应商品，应严格按招标要求（含商标、名称、产地、规格和重量等）供应，否则，采购人有权拒收。如因市场流通问题确实需要变更的，应书面向采购人申请，按采购人书面回复的意见执行。</w:t>
      </w:r>
    </w:p>
    <w:p w14:paraId="10F098E6">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auto"/>
          <w:highlight w:val="none"/>
        </w:rPr>
      </w:pPr>
      <w:r>
        <w:rPr>
          <w:rFonts w:hint="eastAsia" w:ascii="宋体" w:hAnsi="宋体"/>
          <w:color w:val="auto"/>
          <w:highlight w:val="none"/>
        </w:rPr>
        <w:t>13</w:t>
      </w:r>
      <w:r>
        <w:rPr>
          <w:rFonts w:hint="eastAsia" w:ascii="宋体" w:hAnsi="宋体" w:eastAsia="宋体" w:cs="宋体"/>
          <w:bCs/>
          <w:color w:val="auto"/>
          <w:sz w:val="21"/>
          <w:szCs w:val="21"/>
          <w:highlight w:val="none"/>
        </w:rPr>
        <w:t>.</w:t>
      </w:r>
      <w:r>
        <w:rPr>
          <w:rFonts w:hint="eastAsia" w:ascii="宋体" w:hAnsi="宋体"/>
          <w:color w:val="auto"/>
          <w:highlight w:val="none"/>
        </w:rPr>
        <w:t>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14:paraId="155152A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color w:val="auto"/>
          <w:highlight w:val="none"/>
        </w:rPr>
        <w:t>14</w:t>
      </w:r>
      <w:r>
        <w:rPr>
          <w:rFonts w:hint="eastAsia" w:ascii="宋体" w:hAnsi="宋体" w:eastAsia="宋体" w:cs="宋体"/>
          <w:bCs/>
          <w:color w:val="auto"/>
          <w:sz w:val="21"/>
          <w:szCs w:val="21"/>
          <w:highlight w:val="none"/>
        </w:rPr>
        <w:t>.</w:t>
      </w:r>
      <w:r>
        <w:rPr>
          <w:rFonts w:hint="eastAsia" w:ascii="宋体" w:hAnsi="宋体"/>
          <w:color w:val="auto"/>
          <w:highlight w:val="none"/>
        </w:rPr>
        <w:t>如有国家政策要求采购其他食品物资的，以国家政策为准，中标供应商需无条件执行。</w:t>
      </w:r>
    </w:p>
    <w:p w14:paraId="67C82E17">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二、采购食品验收标准</w:t>
      </w:r>
    </w:p>
    <w:p w14:paraId="43B8D8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.中标供应商</w:t>
      </w:r>
      <w:r>
        <w:rPr>
          <w:rFonts w:hint="eastAsia" w:ascii="宋体" w:hAnsi="宋体" w:eastAsia="宋体" w:cs="宋体"/>
          <w:color w:val="auto"/>
          <w:highlight w:val="none"/>
        </w:rPr>
        <w:t>必须在签订服务合同前5天内成功办理针对本项目的《食品安全责任保险》</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投标文件中须单独提供承诺函作证明材料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30EF0DD7">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.符合《中华人民共和国食品安全法》要求。</w:t>
      </w:r>
    </w:p>
    <w:p w14:paraId="6455C0C7">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.符合中华人民共和国国家和履约地相关安全质量标准、行业规范标准、环保标准等。</w:t>
      </w:r>
    </w:p>
    <w:p w14:paraId="225437FC">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.符合招标文件和投标承诺中各方共同认可的各项要求。</w:t>
      </w:r>
    </w:p>
    <w:p w14:paraId="4191D557">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食品安全的指标。应符合相应食品安全国家标准的规定，分等分级的质量指标不低于国家有关食品质量标准的中位数水平，如质量或规格等级划分为 1、2、3、4、5 或大（L）、中（M）、小（S）的，应选择 1、2、3 或大（L）、中（M）等级。</w:t>
      </w:r>
    </w:p>
    <w:p w14:paraId="27ABE93E">
      <w:pPr>
        <w:pStyle w:val="23"/>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auto"/>
          <w:sz w:val="21"/>
          <w:szCs w:val="21"/>
          <w:highlight w:val="none"/>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所供食品必须符合国家行业生产及经营标准，货真价实，并能提供相应批次的检验合格证明（如农药残留检测报告、动物检疫证、产品检验合格证等凭据）。</w:t>
      </w:r>
    </w:p>
    <w:p w14:paraId="1555B39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三、食品配送要求</w:t>
      </w:r>
    </w:p>
    <w:p w14:paraId="0CA66937">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1. 包装与标志要求</w:t>
      </w:r>
    </w:p>
    <w:p w14:paraId="68638E6A">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 包装：容器</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框、箱、袋</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要求清洁、干燥、牢固、透气，无污染、无异味、无霉变现象。</w:t>
      </w:r>
    </w:p>
    <w:p w14:paraId="4EB91749">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 标志：每件食品包装必须按《农产品包装和标识管理办法》贴标签，并标明产地、品种、净含量、生产单位、地址和采收日期等。</w:t>
      </w:r>
    </w:p>
    <w:p w14:paraId="1DA8CFE0">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食品运输要求</w:t>
      </w:r>
    </w:p>
    <w:p w14:paraId="339CC698">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2.1 运输工具应清洁卫生无污染，并且要保持清洁和定期消毒。</w:t>
      </w:r>
    </w:p>
    <w:p w14:paraId="436DD9A9">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eastAsiaTheme="minorEastAsia"/>
          <w:b/>
          <w:color w:val="auto"/>
          <w:szCs w:val="21"/>
          <w:highlight w:val="none"/>
          <w:lang w:eastAsia="zh-CN"/>
        </w:rPr>
      </w:pPr>
      <w:r>
        <w:rPr>
          <w:rFonts w:hint="eastAsia" w:ascii="宋体" w:hAnsi="宋体"/>
          <w:b/>
          <w:color w:val="auto"/>
          <w:szCs w:val="21"/>
          <w:highlight w:val="none"/>
          <w:lang w:val="en-US" w:eastAsia="zh-CN"/>
        </w:rPr>
        <w:t>四</w:t>
      </w:r>
      <w:r>
        <w:rPr>
          <w:rFonts w:hint="eastAsia" w:ascii="宋体" w:hAnsi="宋体"/>
          <w:b/>
          <w:color w:val="auto"/>
          <w:szCs w:val="21"/>
          <w:highlight w:val="none"/>
        </w:rPr>
        <w:t>、具体项目要求</w:t>
      </w:r>
      <w:r>
        <w:rPr>
          <w:rFonts w:hint="eastAsia" w:ascii="宋体" w:hAnsi="宋体"/>
          <w:b/>
          <w:color w:val="auto"/>
          <w:szCs w:val="21"/>
          <w:highlight w:val="none"/>
          <w:lang w:eastAsia="zh-CN"/>
        </w:rPr>
        <w:t>：</w:t>
      </w:r>
    </w:p>
    <w:p w14:paraId="4BAF848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01包组：</w:t>
      </w:r>
      <w:r>
        <w:rPr>
          <w:rFonts w:hint="eastAsia" w:ascii="宋体" w:hAnsi="宋体" w:eastAsia="宋体" w:cs="宋体"/>
          <w:b/>
          <w:bCs w:val="0"/>
          <w:i w:val="0"/>
          <w:iCs w:val="0"/>
          <w:color w:val="auto"/>
          <w:kern w:val="0"/>
          <w:sz w:val="21"/>
          <w:szCs w:val="21"/>
          <w:highlight w:val="none"/>
          <w:u w:val="none"/>
          <w:lang w:val="en-US" w:eastAsia="zh-CN" w:bidi="ar"/>
        </w:rPr>
        <w:t>猪肉、牛肉、羊肉、粉皮类等</w:t>
      </w:r>
      <w:r>
        <w:rPr>
          <w:rFonts w:hint="eastAsia"/>
          <w:b/>
          <w:bCs w:val="0"/>
          <w:color w:val="auto"/>
          <w:highlight w:val="none"/>
          <w:lang w:eastAsia="zh-CN"/>
        </w:rPr>
        <w:t>配送服务</w:t>
      </w:r>
    </w:p>
    <w:p w14:paraId="3FA6DDF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b/>
          <w:color w:val="auto"/>
          <w:highlight w:val="none"/>
        </w:rPr>
      </w:pPr>
      <w:r>
        <w:rPr>
          <w:rFonts w:hint="eastAsia" w:ascii="宋体" w:hAnsi="宋体"/>
          <w:b/>
          <w:color w:val="auto"/>
          <w:highlight w:val="none"/>
        </w:rPr>
        <w:t>1</w:t>
      </w:r>
      <w:r>
        <w:rPr>
          <w:rFonts w:hint="eastAsia" w:ascii="宋体" w:hAnsi="宋体" w:eastAsia="宋体" w:cs="宋体"/>
          <w:bCs/>
          <w:color w:val="auto"/>
          <w:sz w:val="21"/>
          <w:szCs w:val="21"/>
          <w:highlight w:val="none"/>
        </w:rPr>
        <w:t>.</w:t>
      </w:r>
      <w:r>
        <w:rPr>
          <w:rFonts w:hint="eastAsia" w:ascii="宋体" w:hAnsi="宋体"/>
          <w:b/>
          <w:color w:val="auto"/>
          <w:highlight w:val="none"/>
          <w:lang w:val="en-US" w:eastAsia="zh-CN"/>
        </w:rPr>
        <w:t>猪肉、牛肉、羊肉等</w:t>
      </w:r>
      <w:r>
        <w:rPr>
          <w:rFonts w:hint="eastAsia" w:ascii="宋体" w:hAnsi="宋体"/>
          <w:b/>
          <w:color w:val="auto"/>
          <w:highlight w:val="none"/>
        </w:rPr>
        <w:t>基本要求</w:t>
      </w:r>
    </w:p>
    <w:p w14:paraId="334CA5F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a）所供货物应保持较好的外观和质量等级，严格遵守《动物检疫法》和《食物卫生法》等相关规定。符合国家食品部门的有关标准，保证无异味、无霉烂变质，</w:t>
      </w:r>
      <w:r>
        <w:rPr>
          <w:rFonts w:hint="eastAsia" w:ascii="宋体" w:hAnsi="宋体"/>
          <w:color w:val="auto"/>
          <w:highlight w:val="none"/>
          <w:lang w:eastAsia="zh-CN"/>
        </w:rPr>
        <w:t>）</w:t>
      </w:r>
      <w:r>
        <w:rPr>
          <w:rFonts w:hint="eastAsia" w:ascii="宋体" w:hAnsi="宋体"/>
          <w:color w:val="auto"/>
          <w:highlight w:val="none"/>
        </w:rPr>
        <w:t>每批鲜猪肉、猪骨、牛肉等鲜肉是</w:t>
      </w:r>
      <w:r>
        <w:rPr>
          <w:rFonts w:hint="eastAsia" w:ascii="宋体" w:hAnsi="宋体"/>
          <w:color w:val="auto"/>
          <w:highlight w:val="none"/>
          <w:lang w:val="en-US" w:eastAsia="zh-CN"/>
        </w:rPr>
        <w:t>阳江市或周边城市政府</w:t>
      </w:r>
      <w:r>
        <w:rPr>
          <w:rFonts w:hint="eastAsia" w:ascii="宋体" w:hAnsi="宋体"/>
          <w:color w:val="auto"/>
          <w:highlight w:val="none"/>
        </w:rPr>
        <w:t>指定的肉联厂发出的放心肉并提供放心肉证，并注明保鲜期，供货时须提交肉联厂的验收单及当批次动物检疫合格证明和肉品品质检验合格证复印件，</w:t>
      </w:r>
      <w:r>
        <w:rPr>
          <w:rFonts w:hint="eastAsia" w:ascii="宋体" w:hAnsi="宋体"/>
          <w:color w:val="auto"/>
          <w:highlight w:val="none"/>
          <w:lang w:eastAsia="zh-CN"/>
        </w:rPr>
        <w:t>猪肉还需附有非洲猪瘟检测证明，</w:t>
      </w:r>
      <w:r>
        <w:rPr>
          <w:rFonts w:hint="eastAsia" w:ascii="宋体" w:hAnsi="宋体"/>
          <w:color w:val="auto"/>
          <w:highlight w:val="none"/>
        </w:rPr>
        <w:t>新鲜肉确保每日新鲜。</w:t>
      </w:r>
    </w:p>
    <w:p w14:paraId="2B55826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b）鲜肉[边猪（白条猪）]净重35KG以上，去头、去蹄、去板油、去内脏。</w:t>
      </w:r>
    </w:p>
    <w:p w14:paraId="20FAC75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c）所有货物规格符合采购人提交的日采购计划中明确的具体需求，所有的肉类产品不得有注水现象。</w:t>
      </w:r>
    </w:p>
    <w:p w14:paraId="01BBE17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lang w:val="en-US" w:eastAsia="zh-CN"/>
        </w:rPr>
        <w:t>d</w:t>
      </w:r>
      <w:r>
        <w:rPr>
          <w:rFonts w:hint="eastAsia" w:ascii="宋体" w:hAnsi="宋体"/>
          <w:color w:val="auto"/>
          <w:highlight w:val="none"/>
        </w:rPr>
        <w:t>）不得供应冷冻肉类食品。</w:t>
      </w:r>
    </w:p>
    <w:p w14:paraId="29E18E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质量描述</w:t>
      </w:r>
    </w:p>
    <w:p w14:paraId="641CBB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五花肉</w:t>
      </w:r>
      <w:r>
        <w:rPr>
          <w:rFonts w:hint="eastAsia" w:ascii="宋体" w:hAnsi="宋体"/>
          <w:color w:val="auto"/>
          <w:highlight w:val="none"/>
          <w:lang w:eastAsia="zh-CN"/>
        </w:rPr>
        <w:t>：</w:t>
      </w:r>
      <w:r>
        <w:rPr>
          <w:rFonts w:hint="eastAsia" w:ascii="宋体" w:hAnsi="宋体"/>
          <w:color w:val="auto"/>
          <w:highlight w:val="none"/>
        </w:rPr>
        <w:t>肥瘦比例为3</w:t>
      </w:r>
      <w:r>
        <w:rPr>
          <w:rFonts w:hint="eastAsia" w:ascii="宋体" w:hAnsi="宋体"/>
          <w:color w:val="auto"/>
          <w:highlight w:val="none"/>
          <w:lang w:eastAsia="zh-CN"/>
        </w:rPr>
        <w:t>：</w:t>
      </w:r>
      <w:r>
        <w:rPr>
          <w:rFonts w:hint="eastAsia" w:ascii="宋体" w:hAnsi="宋体"/>
          <w:color w:val="auto"/>
          <w:highlight w:val="none"/>
        </w:rPr>
        <w:t>7</w:t>
      </w:r>
      <w:r>
        <w:rPr>
          <w:rFonts w:hint="eastAsia" w:ascii="宋体" w:hAnsi="宋体"/>
          <w:color w:val="auto"/>
          <w:highlight w:val="none"/>
          <w:lang w:eastAsia="zh-CN"/>
        </w:rPr>
        <w:t>（</w:t>
      </w:r>
      <w:r>
        <w:rPr>
          <w:rFonts w:hint="eastAsia" w:ascii="宋体" w:hAnsi="宋体"/>
          <w:color w:val="auto"/>
          <w:highlight w:val="none"/>
        </w:rPr>
        <w:t>三线肉</w:t>
      </w:r>
      <w:r>
        <w:rPr>
          <w:rFonts w:hint="eastAsia" w:ascii="宋体" w:hAnsi="宋体"/>
          <w:color w:val="auto"/>
          <w:highlight w:val="none"/>
          <w:lang w:eastAsia="zh-CN"/>
        </w:rPr>
        <w:t>）</w:t>
      </w:r>
      <w:r>
        <w:rPr>
          <w:rFonts w:hint="eastAsia" w:ascii="宋体" w:hAnsi="宋体"/>
          <w:color w:val="auto"/>
          <w:highlight w:val="none"/>
        </w:rPr>
        <w:t>，肉呈均匀的红色，有光泽，肉质</w:t>
      </w:r>
      <w:r>
        <w:rPr>
          <w:rFonts w:hint="eastAsia" w:ascii="宋体" w:hAnsi="宋体"/>
          <w:color w:val="auto"/>
          <w:highlight w:val="none"/>
          <w:lang w:val="en-US" w:eastAsia="zh-CN"/>
        </w:rPr>
        <w:t>紧致</w:t>
      </w:r>
      <w:r>
        <w:rPr>
          <w:rFonts w:hint="eastAsia" w:ascii="宋体" w:hAnsi="宋体"/>
          <w:color w:val="auto"/>
          <w:highlight w:val="none"/>
        </w:rPr>
        <w:t>富有弹性，有坚实感，用手指按压凹陷后会立</w:t>
      </w:r>
      <w:r>
        <w:rPr>
          <w:rFonts w:hint="eastAsia" w:ascii="宋体" w:hAnsi="宋体"/>
          <w:color w:val="auto"/>
          <w:highlight w:val="none"/>
          <w:lang w:eastAsia="zh-CN"/>
        </w:rPr>
        <w:t>即恢</w:t>
      </w:r>
      <w:r>
        <w:rPr>
          <w:rFonts w:hint="eastAsia" w:ascii="宋体" w:hAnsi="宋体"/>
          <w:color w:val="auto"/>
          <w:highlight w:val="none"/>
        </w:rPr>
        <w:t>复</w:t>
      </w:r>
      <w:r>
        <w:rPr>
          <w:rFonts w:hint="eastAsia" w:ascii="宋体" w:hAnsi="宋体"/>
          <w:color w:val="auto"/>
          <w:highlight w:val="none"/>
          <w:lang w:eastAsia="zh-CN"/>
        </w:rPr>
        <w:t>；</w:t>
      </w:r>
      <w:r>
        <w:rPr>
          <w:rFonts w:hint="eastAsia" w:ascii="宋体" w:hAnsi="宋体"/>
          <w:color w:val="auto"/>
          <w:highlight w:val="none"/>
        </w:rPr>
        <w:t>肉的外表及切面微湿润,不粘手，脂肪洁白，肉汁透明。</w:t>
      </w:r>
    </w:p>
    <w:p w14:paraId="3F0FE0E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上肉</w:t>
      </w:r>
      <w:r>
        <w:rPr>
          <w:rFonts w:hint="eastAsia" w:ascii="宋体" w:hAnsi="宋体"/>
          <w:color w:val="auto"/>
          <w:highlight w:val="none"/>
          <w:lang w:eastAsia="zh-CN"/>
        </w:rPr>
        <w:t>：</w:t>
      </w:r>
      <w:r>
        <w:rPr>
          <w:rFonts w:hint="eastAsia" w:ascii="宋体" w:hAnsi="宋体"/>
          <w:color w:val="auto"/>
          <w:highlight w:val="none"/>
        </w:rPr>
        <w:t>肉呈均匀的红色，有光泽、肉质紧密，有坚实感</w:t>
      </w:r>
      <w:r>
        <w:rPr>
          <w:rFonts w:hint="eastAsia" w:ascii="宋体" w:hAnsi="宋体"/>
          <w:color w:val="auto"/>
          <w:highlight w:val="none"/>
          <w:lang w:eastAsia="zh-CN"/>
        </w:rPr>
        <w:t>；</w:t>
      </w:r>
      <w:r>
        <w:rPr>
          <w:rFonts w:hint="eastAsia" w:ascii="宋体" w:hAnsi="宋体"/>
          <w:color w:val="auto"/>
          <w:highlight w:val="none"/>
        </w:rPr>
        <w:t>肉的外表及切面湿润，不粘手，</w:t>
      </w:r>
      <w:r>
        <w:rPr>
          <w:rFonts w:hint="eastAsia" w:ascii="宋体" w:hAnsi="宋体"/>
          <w:color w:val="auto"/>
          <w:highlight w:val="none"/>
          <w:lang w:eastAsia="zh-CN"/>
        </w:rPr>
        <w:t>脂肪</w:t>
      </w:r>
      <w:r>
        <w:rPr>
          <w:rFonts w:hint="eastAsia" w:ascii="宋体" w:hAnsi="宋体"/>
          <w:color w:val="auto"/>
          <w:highlight w:val="none"/>
        </w:rPr>
        <w:t>洁白无霉点。</w:t>
      </w:r>
    </w:p>
    <w:p w14:paraId="201E1FE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auto"/>
          <w:highlight w:val="none"/>
        </w:rPr>
      </w:pPr>
      <w:r>
        <w:rPr>
          <w:rFonts w:hint="eastAsia" w:ascii="宋体" w:hAnsi="宋体"/>
          <w:color w:val="auto"/>
          <w:highlight w:val="none"/>
        </w:rPr>
        <w:t>瘦肉</w:t>
      </w:r>
      <w:r>
        <w:rPr>
          <w:rFonts w:hint="eastAsia" w:ascii="宋体" w:hAnsi="宋体"/>
          <w:color w:val="auto"/>
          <w:highlight w:val="none"/>
          <w:lang w:eastAsia="zh-CN"/>
        </w:rPr>
        <w:t>：</w:t>
      </w:r>
      <w:r>
        <w:rPr>
          <w:rFonts w:hint="eastAsia" w:ascii="宋体" w:hAnsi="宋体"/>
          <w:color w:val="auto"/>
          <w:highlight w:val="none"/>
        </w:rPr>
        <w:t>脂</w:t>
      </w:r>
      <w:r>
        <w:rPr>
          <w:rFonts w:hint="eastAsia" w:ascii="宋体" w:hAnsi="宋体"/>
          <w:color w:val="auto"/>
          <w:highlight w:val="none"/>
          <w:lang w:eastAsia="zh-CN"/>
        </w:rPr>
        <w:t>肪</w:t>
      </w:r>
      <w:r>
        <w:rPr>
          <w:rFonts w:hint="eastAsia" w:ascii="宋体" w:hAnsi="宋体"/>
          <w:color w:val="auto"/>
          <w:highlight w:val="none"/>
        </w:rPr>
        <w:t>含量低于5%。肉</w:t>
      </w:r>
      <w:r>
        <w:rPr>
          <w:rFonts w:hint="eastAsia" w:ascii="宋体" w:hAnsi="宋体"/>
          <w:color w:val="auto"/>
          <w:highlight w:val="none"/>
          <w:lang w:val="en-US" w:eastAsia="zh-CN"/>
        </w:rPr>
        <w:t>呈</w:t>
      </w:r>
      <w:r>
        <w:rPr>
          <w:rFonts w:hint="eastAsia" w:ascii="宋体" w:hAnsi="宋体"/>
          <w:color w:val="auto"/>
          <w:highlight w:val="none"/>
        </w:rPr>
        <w:t>均匀的红色，有光泽，肉质密，有坚实感</w:t>
      </w:r>
      <w:r>
        <w:rPr>
          <w:rFonts w:hint="eastAsia" w:ascii="宋体" w:hAnsi="宋体"/>
          <w:color w:val="auto"/>
          <w:highlight w:val="none"/>
          <w:lang w:eastAsia="zh-CN"/>
        </w:rPr>
        <w:t>；</w:t>
      </w:r>
      <w:r>
        <w:rPr>
          <w:rFonts w:hint="eastAsia" w:ascii="宋体" w:hAnsi="宋体"/>
          <w:color w:val="auto"/>
          <w:highlight w:val="none"/>
        </w:rPr>
        <w:t>肉的外表及切面微湿润，不粘手。</w:t>
      </w:r>
    </w:p>
    <w:p w14:paraId="2FEB97D2">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牛肉</w:t>
      </w:r>
      <w:r>
        <w:rPr>
          <w:rFonts w:hint="eastAsia" w:ascii="宋体" w:hAnsi="宋体"/>
          <w:color w:val="auto"/>
          <w:highlight w:val="none"/>
          <w:lang w:eastAsia="zh-CN"/>
        </w:rPr>
        <w:t>：</w:t>
      </w:r>
      <w:r>
        <w:rPr>
          <w:rFonts w:hint="eastAsia" w:ascii="宋体" w:hAnsi="宋体"/>
          <w:color w:val="auto"/>
          <w:highlight w:val="none"/>
        </w:rPr>
        <w:t>肌肉呈均匀的红色，有光泽，脂肪呈白色或微黄色，肌肉外表微干或风干膜，或外表湿润，但都不粘手，良质牛肉的肌肉结构紧密，有坚实感,用手指按乐凹陷后会立即复原</w:t>
      </w:r>
      <w:r>
        <w:rPr>
          <w:rFonts w:hint="eastAsia" w:ascii="宋体" w:hAnsi="宋体"/>
          <w:color w:val="auto"/>
          <w:highlight w:val="none"/>
          <w:lang w:eastAsia="zh-CN"/>
        </w:rPr>
        <w:t>；</w:t>
      </w:r>
      <w:r>
        <w:rPr>
          <w:rFonts w:hint="eastAsia" w:ascii="宋体" w:hAnsi="宋体"/>
          <w:color w:val="auto"/>
          <w:highlight w:val="none"/>
        </w:rPr>
        <w:t>肌纤维韧性强。</w:t>
      </w:r>
    </w:p>
    <w:p w14:paraId="65BA9DDD">
      <w:pPr>
        <w:snapToGrid w:val="0"/>
        <w:spacing w:line="360" w:lineRule="auto"/>
        <w:ind w:firstLine="420" w:firstLineChars="200"/>
        <w:rPr>
          <w:rFonts w:hint="default" w:ascii="宋体" w:hAnsi="宋体" w:eastAsiaTheme="minorEastAsia"/>
          <w:b w:val="0"/>
          <w:bCs w:val="0"/>
          <w:color w:val="auto"/>
          <w:highlight w:val="none"/>
          <w:lang w:val="en-US" w:eastAsia="zh-CN"/>
        </w:rPr>
      </w:pPr>
      <w:r>
        <w:rPr>
          <w:rFonts w:hint="eastAsia" w:ascii="宋体" w:hAnsi="宋体"/>
          <w:b w:val="0"/>
          <w:bCs w:val="0"/>
          <w:color w:val="auto"/>
          <w:highlight w:val="none"/>
          <w:lang w:val="en-US" w:eastAsia="zh-CN"/>
        </w:rPr>
        <w:t>羊肉：肉色鲜红而且均匀，有光泽，肉细而紧密，脂肪呈乳白色或黄色，有弹性，指压后的凹陷应立即恢复，外表略干，不粘手，具有鲜羊肉正常气味，无其他异味。</w:t>
      </w:r>
    </w:p>
    <w:p w14:paraId="57B6559E">
      <w:pPr>
        <w:pStyle w:val="44"/>
        <w:numPr>
          <w:ilvl w:val="0"/>
          <w:numId w:val="0"/>
        </w:num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kern w:val="2"/>
          <w:sz w:val="21"/>
          <w:szCs w:val="24"/>
          <w:highlight w:val="none"/>
          <w:lang w:val="en-US" w:eastAsia="zh-CN" w:bidi="ar-SA"/>
        </w:rPr>
        <w:t>2.</w:t>
      </w:r>
      <w:r>
        <w:rPr>
          <w:rFonts w:hint="eastAsia" w:ascii="宋体" w:hAnsi="宋体" w:eastAsia="宋体" w:cs="宋体"/>
          <w:b/>
          <w:bCs/>
          <w:i w:val="0"/>
          <w:iCs w:val="0"/>
          <w:color w:val="auto"/>
          <w:kern w:val="0"/>
          <w:sz w:val="21"/>
          <w:szCs w:val="21"/>
          <w:highlight w:val="none"/>
          <w:u w:val="none"/>
          <w:lang w:val="en-US" w:eastAsia="zh-CN" w:bidi="ar"/>
        </w:rPr>
        <w:t>粉皮类</w:t>
      </w:r>
      <w:r>
        <w:rPr>
          <w:rFonts w:hint="eastAsia" w:ascii="宋体" w:hAnsi="宋体" w:eastAsia="宋体" w:cs="宋体"/>
          <w:b/>
          <w:bCs/>
          <w:color w:val="auto"/>
          <w:highlight w:val="none"/>
        </w:rPr>
        <w:t>基本要求</w:t>
      </w:r>
    </w:p>
    <w:p w14:paraId="699074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1）粉皮类货物必须符合卫生，不得有腐烂、变质、油脂酸败、霉变、生虫、污秽不洁、混有异物或者其他感官性状异常，并可能对人体健康有害的物质。</w:t>
      </w:r>
    </w:p>
    <w:p w14:paraId="2DD5EF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2）粉皮理化指标：包括水分、酸度、蛋白质、总膳食纤维、铅、无机砷、镉和黄曲霉毒素B1等，具体数值应符合DBS 45/050—2021标准中的规定。</w:t>
      </w:r>
    </w:p>
    <w:p w14:paraId="44DA58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3）微生物限量：菌落总数、大肠菌群、沙门氏菌和金黄色葡萄球菌等指标应满足食品安全的规定，确保产品微生物安全。</w:t>
      </w:r>
    </w:p>
    <w:p w14:paraId="5FB46E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4）食品添加剂：使用应符合GB 2760及国家相关规定。</w:t>
      </w:r>
    </w:p>
    <w:p w14:paraId="037FCF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5）生产加工过程卫生要求：应符合GB 14881的规定 。</w:t>
      </w:r>
    </w:p>
    <w:p w14:paraId="257F9AC1">
      <w:pPr>
        <w:bidi w:val="0"/>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02包组：蔬菜类、豆制品、瓜果等</w:t>
      </w:r>
      <w:r>
        <w:rPr>
          <w:rFonts w:hint="eastAsia"/>
          <w:b/>
          <w:bCs/>
          <w:color w:val="auto"/>
          <w:highlight w:val="none"/>
          <w:lang w:eastAsia="zh-CN"/>
        </w:rPr>
        <w:t>配送服务</w:t>
      </w:r>
    </w:p>
    <w:p w14:paraId="1AD4BED7">
      <w:pPr>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1.蔬菜类</w:t>
      </w:r>
    </w:p>
    <w:p w14:paraId="29AE1CAC">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所有蔬菜瓜果食品质量要求如下</w:t>
      </w:r>
      <w:r>
        <w:rPr>
          <w:rFonts w:hint="eastAsia" w:ascii="宋体" w:hAnsi="宋体" w:eastAsia="宋体" w:cs="宋体"/>
          <w:color w:val="auto"/>
          <w:sz w:val="21"/>
          <w:szCs w:val="21"/>
          <w:highlight w:val="none"/>
          <w:lang w:eastAsia="zh-CN"/>
        </w:rPr>
        <w:t>；</w:t>
      </w:r>
    </w:p>
    <w:p w14:paraId="48914B5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食用农产品的指标。应提供食品检验合格证明，供应商对每批次食用农产品开展快检。</w:t>
      </w:r>
    </w:p>
    <w:p w14:paraId="36720B3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所有蔬菜瓜果均来自蔬菜生产基地。</w:t>
      </w:r>
    </w:p>
    <w:p w14:paraId="10F7014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所有蔬菜瓜果必须符合卫生质量指标，须提供农药残留检测合格的报告。</w:t>
      </w:r>
    </w:p>
    <w:p w14:paraId="6B0BFCA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所有蔬菜瓜果在交付</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前必须经过前期处理，可食用率达到95%以上</w:t>
      </w:r>
      <w:r>
        <w:rPr>
          <w:rFonts w:hint="eastAsia" w:ascii="宋体" w:hAnsi="宋体" w:eastAsia="宋体" w:cs="宋体"/>
          <w:color w:val="auto"/>
          <w:sz w:val="21"/>
          <w:szCs w:val="21"/>
          <w:highlight w:val="none"/>
          <w:lang w:eastAsia="zh-CN"/>
        </w:rPr>
        <w:t>。</w:t>
      </w:r>
    </w:p>
    <w:p w14:paraId="6F5AECE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使用速测设备检验藏菜农药含量，如含量超标要求</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无条件</w:t>
      </w:r>
      <w:r>
        <w:rPr>
          <w:rFonts w:hint="eastAsia" w:ascii="宋体" w:hAnsi="宋体" w:eastAsia="宋体" w:cs="宋体"/>
          <w:color w:val="auto"/>
          <w:sz w:val="21"/>
          <w:szCs w:val="21"/>
          <w:highlight w:val="none"/>
          <w:lang w:val="en-US" w:eastAsia="zh-CN"/>
        </w:rPr>
        <w:t>退换</w:t>
      </w:r>
      <w:r>
        <w:rPr>
          <w:rFonts w:hint="eastAsia" w:ascii="宋体" w:hAnsi="宋体" w:eastAsia="宋体" w:cs="宋体"/>
          <w:color w:val="auto"/>
          <w:sz w:val="21"/>
          <w:szCs w:val="21"/>
          <w:highlight w:val="none"/>
        </w:rPr>
        <w:t>，同时</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有权</w:t>
      </w:r>
      <w:r>
        <w:rPr>
          <w:rFonts w:hint="eastAsia" w:ascii="宋体" w:hAnsi="宋体" w:eastAsia="宋体" w:cs="宋体"/>
          <w:color w:val="auto"/>
          <w:sz w:val="21"/>
          <w:szCs w:val="21"/>
          <w:highlight w:val="none"/>
          <w:lang w:val="en-US" w:eastAsia="zh-CN"/>
        </w:rPr>
        <w:t>与</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终止合同。检测的同时，要从每批次每种食材中随机抽取一份封存并做好相关的标识记录，并要求</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予以确认。该封存食物封存时间应不少于48小时，以备核查。</w:t>
      </w:r>
    </w:p>
    <w:p w14:paraId="6855EE1C">
      <w:pPr>
        <w:snapToGrid w:val="0"/>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对食品的品质要求，必须符合国家，食品部门的有关标准</w:t>
      </w:r>
      <w:r>
        <w:rPr>
          <w:rFonts w:hint="eastAsia" w:ascii="宋体" w:hAnsi="宋体" w:eastAsia="宋体" w:cs="宋体"/>
          <w:color w:val="auto"/>
          <w:sz w:val="21"/>
          <w:szCs w:val="21"/>
          <w:highlight w:val="none"/>
          <w:lang w:eastAsia="zh-CN"/>
        </w:rPr>
        <w:t>。</w:t>
      </w:r>
    </w:p>
    <w:p w14:paraId="488AE077">
      <w:pPr>
        <w:snapToGrid w:val="0"/>
        <w:spacing w:line="360" w:lineRule="auto"/>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二</w:t>
      </w:r>
      <w:r>
        <w:rPr>
          <w:rFonts w:hint="eastAsia" w:ascii="宋体" w:hAnsi="宋体"/>
          <w:color w:val="auto"/>
          <w:highlight w:val="none"/>
        </w:rPr>
        <w:t>）中标供应商必须保证所供应的蔬菜符合卫生质量标准，同时承担因所供蔬菜问题引起的一切事故后果。卫生质量指标，应符合我国无公害</w:t>
      </w:r>
      <w:r>
        <w:rPr>
          <w:rFonts w:hint="eastAsia" w:ascii="宋体" w:hAnsi="宋体"/>
          <w:color w:val="auto"/>
          <w:highlight w:val="none"/>
          <w:lang w:eastAsia="zh-CN"/>
        </w:rPr>
        <w:t>蔬菜</w:t>
      </w:r>
      <w:r>
        <w:rPr>
          <w:rFonts w:hint="eastAsia" w:ascii="宋体" w:hAnsi="宋体"/>
          <w:color w:val="auto"/>
          <w:highlight w:val="none"/>
        </w:rPr>
        <w:t>的卫生指标规定。</w:t>
      </w:r>
    </w:p>
    <w:tbl>
      <w:tblPr>
        <w:tblStyle w:val="46"/>
        <w:tblW w:w="8182" w:type="dxa"/>
        <w:jc w:val="center"/>
        <w:tblLayout w:type="fixed"/>
        <w:tblCellMar>
          <w:top w:w="0" w:type="dxa"/>
          <w:left w:w="0" w:type="dxa"/>
          <w:bottom w:w="0" w:type="dxa"/>
          <w:right w:w="0" w:type="dxa"/>
        </w:tblCellMar>
      </w:tblPr>
      <w:tblGrid>
        <w:gridCol w:w="3963"/>
        <w:gridCol w:w="4219"/>
      </w:tblGrid>
      <w:tr w14:paraId="416C3F7F">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14:paraId="18026BDB">
            <w:pPr>
              <w:keepNext w:val="0"/>
              <w:keepLines w:val="0"/>
              <w:widowControl/>
              <w:suppressLineNumbers w:val="0"/>
              <w:spacing w:before="0" w:beforeAutospacing="0" w:after="0" w:afterAutospacing="0" w:line="360" w:lineRule="auto"/>
              <w:ind w:left="0" w:right="0"/>
              <w:jc w:val="center"/>
              <w:rPr>
                <w:rFonts w:hint="default" w:ascii="宋体" w:hAnsi="宋体"/>
                <w:b/>
                <w:bCs/>
                <w:color w:val="auto"/>
                <w:kern w:val="0"/>
                <w:highlight w:val="none"/>
              </w:rPr>
            </w:pPr>
            <w:r>
              <w:rPr>
                <w:rFonts w:hint="eastAsia" w:ascii="宋体" w:hAnsi="宋体"/>
                <w:b/>
                <w:bCs/>
                <w:color w:val="auto"/>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14:paraId="4B41A5AA">
            <w:pPr>
              <w:keepNext w:val="0"/>
              <w:keepLines w:val="0"/>
              <w:widowControl/>
              <w:suppressLineNumbers w:val="0"/>
              <w:spacing w:before="0" w:beforeAutospacing="0" w:after="0" w:afterAutospacing="0" w:line="360" w:lineRule="auto"/>
              <w:ind w:left="0" w:right="0"/>
              <w:jc w:val="center"/>
              <w:rPr>
                <w:rFonts w:hint="default" w:ascii="宋体" w:hAnsi="宋体"/>
                <w:b/>
                <w:bCs/>
                <w:color w:val="auto"/>
                <w:kern w:val="0"/>
                <w:highlight w:val="none"/>
              </w:rPr>
            </w:pPr>
            <w:r>
              <w:rPr>
                <w:rFonts w:hint="eastAsia" w:ascii="宋体" w:hAnsi="宋体"/>
                <w:b/>
                <w:bCs/>
                <w:color w:val="auto"/>
                <w:kern w:val="0"/>
                <w:highlight w:val="none"/>
              </w:rPr>
              <w:t>指标（</w:t>
            </w:r>
            <w:r>
              <w:rPr>
                <w:rFonts w:hint="eastAsia" w:ascii="宋体" w:hAnsi="宋体"/>
                <w:b/>
                <w:bCs/>
                <w:color w:val="auto"/>
                <w:highlight w:val="none"/>
              </w:rPr>
              <w:t>mg/kg</w:t>
            </w:r>
            <w:r>
              <w:rPr>
                <w:rFonts w:hint="eastAsia" w:ascii="宋体" w:hAnsi="宋体"/>
                <w:b/>
                <w:bCs/>
                <w:color w:val="auto"/>
                <w:kern w:val="0"/>
                <w:highlight w:val="none"/>
              </w:rPr>
              <w:t>）</w:t>
            </w:r>
          </w:p>
        </w:tc>
      </w:tr>
      <w:tr w14:paraId="60EBEA4C">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AB93915">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14:paraId="06995668">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不得检出</w:t>
            </w:r>
          </w:p>
        </w:tc>
      </w:tr>
      <w:tr w14:paraId="67DAD069">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761CBE9">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14:paraId="0C1D5918">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不得检出</w:t>
            </w:r>
          </w:p>
        </w:tc>
      </w:tr>
      <w:tr w14:paraId="1EDB92A2">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A7ED129">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14:paraId="56F25EF0">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不得检出</w:t>
            </w:r>
          </w:p>
        </w:tc>
      </w:tr>
      <w:tr w14:paraId="632F9B2A">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5FB300C">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14:paraId="24CCD879">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不得检出</w:t>
            </w:r>
          </w:p>
        </w:tc>
      </w:tr>
      <w:tr w14:paraId="6308A5C9">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25D68B8">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14:paraId="53FCAE98">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不得检出</w:t>
            </w:r>
          </w:p>
        </w:tc>
      </w:tr>
      <w:tr w14:paraId="2846306D">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60935B50">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14:paraId="36DE957D">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≤1.0</w:t>
            </w:r>
          </w:p>
        </w:tc>
      </w:tr>
      <w:tr w14:paraId="082E3D80">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40D949B4">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14:paraId="3AE51CBA">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≤0.5</w:t>
            </w:r>
          </w:p>
        </w:tc>
      </w:tr>
      <w:tr w14:paraId="09408B80">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0A87073D">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14:paraId="0EFC9A7D">
            <w:pPr>
              <w:keepNext w:val="0"/>
              <w:keepLines w:val="0"/>
              <w:widowControl/>
              <w:suppressLineNumbers w:val="0"/>
              <w:spacing w:before="0" w:beforeAutospacing="0" w:after="0" w:afterAutospacing="0" w:line="360" w:lineRule="auto"/>
              <w:ind w:left="0" w:right="0"/>
              <w:jc w:val="center"/>
              <w:rPr>
                <w:rFonts w:hint="default" w:ascii="宋体" w:hAnsi="宋体"/>
                <w:color w:val="auto"/>
                <w:kern w:val="0"/>
                <w:highlight w:val="none"/>
              </w:rPr>
            </w:pPr>
            <w:r>
              <w:rPr>
                <w:rFonts w:hint="eastAsia" w:ascii="宋体" w:hAnsi="宋体"/>
                <w:color w:val="auto"/>
                <w:highlight w:val="none"/>
              </w:rPr>
              <w:t>≤0.01</w:t>
            </w:r>
          </w:p>
        </w:tc>
      </w:tr>
      <w:tr w14:paraId="13B0C2E3">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1F3FDC6B">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14:paraId="6F02F438">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≤0.2</w:t>
            </w:r>
          </w:p>
        </w:tc>
      </w:tr>
      <w:tr w14:paraId="6D2D7FC3">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71BFE47A">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14:paraId="54DA9BD9">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≤0.5</w:t>
            </w:r>
          </w:p>
        </w:tc>
      </w:tr>
      <w:tr w14:paraId="6476A138">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3CBB0E84">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14:paraId="050566FD">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≤0.5</w:t>
            </w:r>
          </w:p>
        </w:tc>
      </w:tr>
      <w:tr w14:paraId="6640CA54">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20B81437">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14:paraId="6C67AFA5">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瓜果类≤600；叶菜根茎类≤1200</w:t>
            </w:r>
          </w:p>
        </w:tc>
      </w:tr>
      <w:tr w14:paraId="6BD0C7CB">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14:paraId="57F29515">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14:paraId="38AECD5D">
            <w:pPr>
              <w:keepNext w:val="0"/>
              <w:keepLines w:val="0"/>
              <w:widowControl/>
              <w:suppressLineNumbers w:val="0"/>
              <w:spacing w:before="0" w:beforeAutospacing="0" w:after="0" w:afterAutospacing="0" w:line="360" w:lineRule="auto"/>
              <w:ind w:left="0" w:right="0"/>
              <w:jc w:val="center"/>
              <w:rPr>
                <w:rFonts w:hint="default" w:ascii="宋体" w:hAnsi="宋体"/>
                <w:color w:val="auto"/>
                <w:highlight w:val="none"/>
              </w:rPr>
            </w:pPr>
            <w:r>
              <w:rPr>
                <w:rFonts w:hint="eastAsia" w:ascii="宋体" w:hAnsi="宋体"/>
                <w:color w:val="auto"/>
                <w:highlight w:val="none"/>
              </w:rPr>
              <w:t>≤4</w:t>
            </w:r>
          </w:p>
        </w:tc>
      </w:tr>
    </w:tbl>
    <w:p w14:paraId="041FB2B8">
      <w:pPr>
        <w:snapToGrid w:val="0"/>
        <w:spacing w:line="360" w:lineRule="auto"/>
        <w:ind w:firstLine="420" w:firstLineChars="200"/>
        <w:rPr>
          <w:rFonts w:ascii="宋体" w:hAnsi="宋体"/>
          <w:color w:val="auto"/>
          <w:highlight w:val="none"/>
        </w:rPr>
      </w:pPr>
      <w:r>
        <w:rPr>
          <w:rFonts w:hint="eastAsia" w:ascii="宋体" w:hAnsi="宋体"/>
          <w:color w:val="auto"/>
          <w:highlight w:val="none"/>
        </w:rPr>
        <w:t>（2）具体感观要求：</w:t>
      </w:r>
    </w:p>
    <w:p w14:paraId="2A462A9B">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从蔬菜色泽看，各种蔬菜都应具有本品种固有的颜色，大多数有发亮的光泽，以此显示蔬菜的成熟度及鲜嫩程度；</w:t>
      </w:r>
    </w:p>
    <w:p w14:paraId="4EB888E4">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从蔬菜气味看，多数蔬菜具有清馨、甘辛香、甜酸香等气味，可凭嗅觉识别不同品种的质量，不允许有腐烂变质的亚硝酸盐味和其他异常气味；</w:t>
      </w:r>
    </w:p>
    <w:p w14:paraId="714B64B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从蔬菜滋味看，因品种不同而各异，多数蔬菜滋味甘淡、甜酸、清爽鲜美，少数具有辛酸、苦涩等特殊风味以刺激食欲，如失去本品种原有的滋味即为异常；</w:t>
      </w:r>
    </w:p>
    <w:p w14:paraId="7DE3A41D">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从蔬菜形态看，应尽量避免由于客观因素而造成的各种非正常、不新鲜的蔬菜，例如萎蔫、枯塌、损伤、病变、虫害侵蚀等引起的形态异常等。</w:t>
      </w:r>
    </w:p>
    <w:p w14:paraId="2933AE2A">
      <w:pPr>
        <w:snapToGrid w:val="0"/>
        <w:spacing w:line="360" w:lineRule="auto"/>
        <w:ind w:firstLine="420" w:firstLineChars="200"/>
        <w:rPr>
          <w:rFonts w:hint="eastAsia" w:ascii="宋体" w:hAnsi="宋体"/>
          <w:bCs/>
          <w:color w:val="auto"/>
          <w:highlight w:val="none"/>
        </w:rPr>
      </w:pPr>
      <w:r>
        <w:rPr>
          <w:rFonts w:hint="eastAsia" w:ascii="宋体" w:hAnsi="宋体"/>
          <w:bCs/>
          <w:color w:val="auto"/>
          <w:highlight w:val="none"/>
        </w:rPr>
        <w:t xml:space="preserve">叶菜类： </w:t>
      </w:r>
    </w:p>
    <w:p w14:paraId="5C44C6D7">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4A6EE5A2">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茄果类： </w:t>
      </w:r>
    </w:p>
    <w:p w14:paraId="57D64B68">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属同一品种规格，果实整洁，成熟度适中，番茄花蒂不明显，无裂果及空洞现象，茄果不能有裂蒂及果皮变硬现象，无腐烂、畸形、异味，无明显机械伤。</w:t>
      </w:r>
    </w:p>
    <w:p w14:paraId="438E2FE3">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瓜果类： </w:t>
      </w:r>
    </w:p>
    <w:p w14:paraId="573013F0">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属同一品种规格，形状、色泽一致，瓜条均匀，无疤点，无断裂，无腐烂、畸形、异味、明显机械伤，不带泥土。</w:t>
      </w:r>
    </w:p>
    <w:p w14:paraId="3818E464">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根菜类： </w:t>
      </w:r>
    </w:p>
    <w:p w14:paraId="008A9E4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属同一品种规格，皮细光滑，大小均匀，肉质脆嫩致密新鲜，无腐烂、畸形、裂痕、糠心、异味，不带泥沙，不带茎叶和须根。</w:t>
      </w:r>
    </w:p>
    <w:p w14:paraId="62896AF3">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薯芋类： </w:t>
      </w:r>
    </w:p>
    <w:p w14:paraId="30C6308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属同一品种规格，色泽一致，不带泥沙，不带须根、茎叶，不干瘪，无腐烂、畸形、异味、明显机械伤、病虫害斑，马铃薯无发芽，皮不变绿。</w:t>
      </w:r>
    </w:p>
    <w:p w14:paraId="5491ACBA">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葱蒜类： </w:t>
      </w:r>
    </w:p>
    <w:p w14:paraId="0DDC99C7">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属同一品种规格，允许葱、青蒜类保留干净须根，葱、蒜、韭菜不带老叶，蒜头、洋葱去根去枯叶，可食部分新鲜幼嫩，无腐烂、畸形、异味。</w:t>
      </w:r>
    </w:p>
    <w:p w14:paraId="46A5F534">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豆类： </w:t>
      </w:r>
    </w:p>
    <w:p w14:paraId="23EB5902">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属同一品种规格，形态完整，成熟度适中，无腐烂、畸形、异味，豆荚类新鲜、幼嫩、均匀，豆仁类籽粒饱满，较均匀，无发芽，不带泥土杂质。</w:t>
      </w:r>
    </w:p>
    <w:p w14:paraId="0A8B450B">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水生菜类： </w:t>
      </w:r>
    </w:p>
    <w:p w14:paraId="6024C19D">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属同一品种规格，肉质嫩，成熟度适中，无腐烂、畸形、异味，无明显机械伤，不带泥土和杂质，不干瘪，茭白不黑心。</w:t>
      </w:r>
    </w:p>
    <w:p w14:paraId="2B80D32D">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食用菌类： </w:t>
      </w:r>
    </w:p>
    <w:p w14:paraId="7840C387">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属同一品种规格，蘑菇、草菇菌盖圆整略展开，柄粗壮，菌膜紧，菇柄切削平整，不浸泡水（蘑菇允许浸盐水保鲜），新鲜，无杂质，无畸形菇，无腐烂、异味。</w:t>
      </w:r>
    </w:p>
    <w:p w14:paraId="6D992741">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芽苗类： </w:t>
      </w:r>
    </w:p>
    <w:p w14:paraId="6809493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芽苗幼嫩，不带豆壳杂质，新鲜，不浸水，无腐烂、异味。</w:t>
      </w:r>
    </w:p>
    <w:p w14:paraId="6146F0C5">
      <w:pPr>
        <w:numPr>
          <w:ilvl w:val="0"/>
          <w:numId w:val="0"/>
        </w:num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（三）</w:t>
      </w:r>
      <w:r>
        <w:rPr>
          <w:rFonts w:hint="eastAsia" w:ascii="宋体" w:hAnsi="宋体" w:eastAsia="宋体" w:cs="宋体"/>
          <w:color w:val="auto"/>
          <w:highlight w:val="none"/>
        </w:rPr>
        <w:t>食品供应链要求：所有食品的来源必须清晰。蔬菜来源应当为受到地方政府部门监管的自有基地、商品菜基地或蔬菜专业流通市场。</w:t>
      </w:r>
    </w:p>
    <w:p w14:paraId="74767676">
      <w:pPr>
        <w:snapToGrid w:val="0"/>
        <w:spacing w:line="360" w:lineRule="auto"/>
        <w:rPr>
          <w:rFonts w:hint="eastAsia" w:ascii="宋体" w:hAnsi="宋体" w:cs="宋体"/>
          <w:b/>
          <w:bCs w:val="0"/>
          <w:color w:val="auto"/>
          <w:szCs w:val="21"/>
          <w:highlight w:val="none"/>
        </w:rPr>
      </w:pPr>
      <w:r>
        <w:rPr>
          <w:rFonts w:hint="eastAsia" w:ascii="宋体" w:hAnsi="宋体" w:cs="宋体"/>
          <w:b/>
          <w:bCs w:val="0"/>
          <w:color w:val="auto"/>
          <w:szCs w:val="21"/>
          <w:highlight w:val="none"/>
          <w:lang w:val="en-US" w:eastAsia="zh-CN"/>
        </w:rPr>
        <w:t>2</w:t>
      </w:r>
      <w:r>
        <w:rPr>
          <w:rFonts w:hint="eastAsia" w:ascii="宋体" w:hAnsi="宋体" w:eastAsia="宋体" w:cs="宋体"/>
          <w:b/>
          <w:bCs w:val="0"/>
          <w:color w:val="auto"/>
          <w:sz w:val="21"/>
          <w:szCs w:val="21"/>
          <w:highlight w:val="none"/>
          <w:lang w:val="en-US" w:eastAsia="zh-CN"/>
        </w:rPr>
        <w:t>.</w:t>
      </w:r>
      <w:r>
        <w:rPr>
          <w:rFonts w:hint="eastAsia" w:ascii="宋体" w:hAnsi="宋体" w:cs="宋体"/>
          <w:b/>
          <w:bCs w:val="0"/>
          <w:color w:val="auto"/>
          <w:szCs w:val="21"/>
          <w:highlight w:val="none"/>
        </w:rPr>
        <w:t>豆制品</w:t>
      </w:r>
    </w:p>
    <w:p w14:paraId="7F434E80">
      <w:pPr>
        <w:snapToGrid w:val="0"/>
        <w:spacing w:line="360" w:lineRule="auto"/>
        <w:ind w:firstLine="420" w:firstLineChars="200"/>
        <w:rPr>
          <w:rFonts w:hint="eastAsia" w:ascii="宋体" w:hAnsi="宋体" w:cs="宋体"/>
          <w:bCs/>
          <w:color w:val="auto"/>
          <w:szCs w:val="21"/>
          <w:highlight w:val="none"/>
          <w:lang w:val="zh-CN"/>
        </w:rPr>
      </w:pPr>
      <w:r>
        <w:rPr>
          <w:rFonts w:hint="eastAsia" w:ascii="宋体" w:hAnsi="宋体" w:cs="宋体"/>
          <w:bCs/>
          <w:color w:val="auto"/>
          <w:szCs w:val="21"/>
          <w:highlight w:val="none"/>
        </w:rPr>
        <w:t>（1）</w:t>
      </w:r>
      <w:r>
        <w:rPr>
          <w:rFonts w:hint="eastAsia" w:ascii="宋体" w:hAnsi="宋体" w:cs="宋体"/>
          <w:bCs/>
          <w:color w:val="auto"/>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14:paraId="35E25103">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zh-CN"/>
        </w:rPr>
        <w:t>（</w:t>
      </w:r>
      <w:r>
        <w:rPr>
          <w:rFonts w:hint="eastAsia" w:ascii="宋体" w:hAnsi="宋体" w:cs="宋体"/>
          <w:bCs/>
          <w:color w:val="auto"/>
          <w:szCs w:val="21"/>
          <w:highlight w:val="none"/>
        </w:rPr>
        <w:t>2</w:t>
      </w:r>
      <w:r>
        <w:rPr>
          <w:rFonts w:hint="eastAsia" w:ascii="宋体" w:hAnsi="宋体" w:cs="宋体"/>
          <w:bCs/>
          <w:color w:val="auto"/>
          <w:szCs w:val="21"/>
          <w:highlight w:val="none"/>
          <w:lang w:val="zh-CN"/>
        </w:rPr>
        <w:t>）油炸豆卜：金黄色或棕黄色，色彩鲜艳而有光泽，块形整齐，有弹性，皮脆，内质呈蜂窝状，不粘不散，无杂质</w:t>
      </w:r>
      <w:r>
        <w:rPr>
          <w:rFonts w:hint="eastAsia" w:ascii="宋体" w:hAnsi="宋体" w:cs="宋体"/>
          <w:bCs/>
          <w:color w:val="auto"/>
          <w:szCs w:val="21"/>
          <w:highlight w:val="none"/>
        </w:rPr>
        <w:t>,</w:t>
      </w:r>
      <w:r>
        <w:rPr>
          <w:rFonts w:hint="eastAsia" w:ascii="宋体" w:hAnsi="宋体" w:cs="宋体"/>
          <w:bCs/>
          <w:color w:val="auto"/>
          <w:szCs w:val="21"/>
          <w:highlight w:val="none"/>
          <w:lang w:val="zh-CN"/>
        </w:rPr>
        <w:t>具有豆腐泡特有的清香风味，无其他任何不良气味，取样品细细咀嚼，外皮酥脆适口，泡内软嫩，咸香适度，具有豆腐泡固有的滋味。</w:t>
      </w:r>
    </w:p>
    <w:p w14:paraId="781BBF85">
      <w:pPr>
        <w:pStyle w:val="44"/>
        <w:ind w:left="0" w:leftChars="0" w:firstLine="0" w:firstLineChars="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3.水果</w:t>
      </w:r>
    </w:p>
    <w:p w14:paraId="5D1D6D77">
      <w:pPr>
        <w:pStyle w:val="35"/>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1）有害物质:农药、重金属等必须符合中国国家标准 GB2763、GB2762无检验检疫局不允许的虫害和微生物。</w:t>
      </w:r>
    </w:p>
    <w:p w14:paraId="3413850C">
      <w:pPr>
        <w:pStyle w:val="35"/>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外观:果实外观应整齐，无明显外伤、破损、腐烂等。果皮应光滑，颜色应鲜艳，与同类水果相符合。果实大小均匀一致，无明显变形和凹陷。3.感官要求:严重缺陷包括发霉/腐烂，果肉组织破损，变质，果皮色泽暗淡，果肉变色，油胞下陷，干性油胞面积&gt;㎡，机械伤，失水，病虫害等。</w:t>
      </w:r>
    </w:p>
    <w:p w14:paraId="326FC6F9">
      <w:pPr>
        <w:pStyle w:val="35"/>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4）糖度:糖度 9%以上。</w:t>
      </w:r>
    </w:p>
    <w:p w14:paraId="7AEA2874">
      <w:pPr>
        <w:pStyle w:val="35"/>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5）尺寸:整体大小均匀。个体之间果重最大允许差不超过 100g。</w:t>
      </w:r>
    </w:p>
    <w:p w14:paraId="3233DF40">
      <w:pPr>
        <w:pStyle w:val="35"/>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6）色泽:着色面积&lt;90%</w:t>
      </w:r>
    </w:p>
    <w:p w14:paraId="4D6EAA00">
      <w:pPr>
        <w:pStyle w:val="35"/>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7）口感:果肉应饱满，口感应具有水嫩、脆甜等特点。果肉应紧实，不松软无渗漏多余汁液。口感应与水果的品种相符合，不应有异味或苦味。</w:t>
      </w:r>
    </w:p>
    <w:p w14:paraId="5607BEAC">
      <w:pPr>
        <w:pStyle w:val="35"/>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8）内部质量:果实应无虫蛀、虫侵或内部腐烂等现象。</w:t>
      </w:r>
    </w:p>
    <w:p w14:paraId="28430CCE">
      <w:pPr>
        <w:pStyle w:val="35"/>
        <w:spacing w:line="360" w:lineRule="auto"/>
        <w:ind w:left="0" w:leftChars="0" w:firstLine="0" w:firstLineChars="0"/>
        <w:rPr>
          <w:rFonts w:hint="eastAsia" w:ascii="宋体" w:hAnsi="宋体" w:eastAsia="宋体"/>
          <w:b/>
          <w:bCs w:val="0"/>
          <w:color w:val="auto"/>
          <w:sz w:val="21"/>
          <w:szCs w:val="21"/>
          <w:highlight w:val="none"/>
          <w:lang w:val="en-US" w:eastAsia="zh-CN"/>
        </w:rPr>
      </w:pPr>
      <w:r>
        <w:rPr>
          <w:rFonts w:hint="eastAsia" w:ascii="宋体" w:hAnsi="宋体" w:eastAsia="宋体"/>
          <w:b/>
          <w:bCs w:val="0"/>
          <w:color w:val="auto"/>
          <w:sz w:val="21"/>
          <w:szCs w:val="21"/>
          <w:highlight w:val="none"/>
          <w:lang w:val="en-US" w:eastAsia="zh-CN"/>
        </w:rPr>
        <w:t>03包组：</w:t>
      </w:r>
      <w:r>
        <w:rPr>
          <w:rFonts w:hint="eastAsia" w:ascii="宋体" w:hAnsi="宋体" w:eastAsia="宋体" w:cs="宋体"/>
          <w:b/>
          <w:bCs w:val="0"/>
          <w:i w:val="0"/>
          <w:iCs w:val="0"/>
          <w:color w:val="auto"/>
          <w:kern w:val="0"/>
          <w:sz w:val="21"/>
          <w:szCs w:val="21"/>
          <w:highlight w:val="none"/>
          <w:u w:val="none"/>
          <w:lang w:val="en-US" w:eastAsia="zh-CN" w:bidi="ar"/>
        </w:rPr>
        <w:t>鸡、鹅、鸭 、鱼类等</w:t>
      </w:r>
      <w:r>
        <w:rPr>
          <w:rFonts w:hint="eastAsia"/>
          <w:b/>
          <w:bCs/>
          <w:color w:val="auto"/>
          <w:highlight w:val="none"/>
          <w:lang w:eastAsia="zh-CN"/>
        </w:rPr>
        <w:t>配送服务</w:t>
      </w:r>
    </w:p>
    <w:p w14:paraId="19CD83B3">
      <w:pPr>
        <w:snapToGrid w:val="0"/>
        <w:spacing w:line="360" w:lineRule="auto"/>
        <w:ind w:firstLine="422" w:firstLineChars="200"/>
        <w:rPr>
          <w:rFonts w:hint="eastAsia" w:ascii="宋体" w:hAnsi="宋体"/>
          <w:b/>
          <w:color w:val="auto"/>
          <w:highlight w:val="none"/>
        </w:rPr>
      </w:pPr>
      <w:r>
        <w:rPr>
          <w:rFonts w:hint="eastAsia" w:ascii="宋体" w:hAnsi="宋体" w:eastAsia="宋体"/>
          <w:b/>
          <w:color w:val="auto"/>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b/>
          <w:color w:val="auto"/>
          <w:highlight w:val="none"/>
        </w:rPr>
        <w:t>家禽</w:t>
      </w:r>
      <w:r>
        <w:rPr>
          <w:rFonts w:hint="eastAsia" w:ascii="宋体" w:hAnsi="宋体"/>
          <w:b/>
          <w:color w:val="auto"/>
          <w:highlight w:val="none"/>
          <w:lang w:eastAsia="zh-CN"/>
        </w:rPr>
        <w:t>肉类</w:t>
      </w:r>
      <w:r>
        <w:rPr>
          <w:rFonts w:hint="eastAsia" w:ascii="宋体" w:hAnsi="宋体"/>
          <w:b/>
          <w:color w:val="auto"/>
          <w:highlight w:val="none"/>
        </w:rPr>
        <w:t>基本要求</w:t>
      </w:r>
    </w:p>
    <w:p w14:paraId="74110DA9">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a）所供货物应保持较好的外观和质量等级，严格遵守《动物检疫法》和《食物卫生法》等相关规定。符合国家食品部门的有关标准，保证无异味、无霉烂变质，新鲜肉确保每日新鲜。</w:t>
      </w:r>
    </w:p>
    <w:p w14:paraId="544C816E">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b）鸡、鹅、鸭需去毛、去内脏。</w:t>
      </w:r>
    </w:p>
    <w:p w14:paraId="6DE91DE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d</w:t>
      </w:r>
      <w:r>
        <w:rPr>
          <w:rFonts w:hint="eastAsia" w:ascii="宋体" w:hAnsi="宋体"/>
          <w:color w:val="auto"/>
          <w:highlight w:val="none"/>
        </w:rPr>
        <w:t>）所有货物规格符合采购人提交的日采购计划中明确的具体需求，所有的肉类产品不得有注水现象。</w:t>
      </w:r>
    </w:p>
    <w:p w14:paraId="49D026CC">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lang w:val="en-US" w:eastAsia="zh-CN"/>
        </w:rPr>
        <w:t>e</w:t>
      </w:r>
      <w:r>
        <w:rPr>
          <w:rFonts w:hint="eastAsia" w:ascii="宋体" w:hAnsi="宋体"/>
          <w:color w:val="auto"/>
          <w:highlight w:val="none"/>
        </w:rPr>
        <w:t>）不得供应冷冻禽类食品。</w:t>
      </w:r>
    </w:p>
    <w:p w14:paraId="2925A16F">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质量描述</w:t>
      </w:r>
    </w:p>
    <w:p w14:paraId="4E1702E8">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禽肉</w:t>
      </w:r>
      <w:r>
        <w:rPr>
          <w:rFonts w:hint="eastAsia" w:ascii="宋体" w:hAnsi="宋体"/>
          <w:color w:val="auto"/>
          <w:highlight w:val="none"/>
          <w:lang w:eastAsia="zh-CN"/>
        </w:rPr>
        <w:t>：宰杀后放血良好，脂肪淡黄，肉色鲜红皮色乳白或粉色；刀口不平整；肉质结实紧密弹性好；皮肤光洁、紧缩，肛门粉红。</w:t>
      </w:r>
      <w:r>
        <w:rPr>
          <w:rFonts w:hint="eastAsia" w:ascii="宋体" w:hAnsi="宋体"/>
          <w:color w:val="auto"/>
          <w:highlight w:val="none"/>
        </w:rPr>
        <w:t>肉质不易过老，应无异味，皮完整，无於血积于体内，无毛附于肉体上，肉体颜色应光洁。肉体发黑不应验收。</w:t>
      </w:r>
    </w:p>
    <w:p w14:paraId="63C98D9E">
      <w:pPr>
        <w:pStyle w:val="308"/>
        <w:ind w:firstLine="0" w:firstLineChars="0"/>
        <w:rPr>
          <w:rFonts w:hint="eastAsia" w:ascii="宋体" w:hAnsi="宋体" w:eastAsia="宋体" w:cs="宋体"/>
          <w:b/>
          <w:bCs/>
          <w:color w:val="auto"/>
          <w:kern w:val="2"/>
          <w:sz w:val="21"/>
          <w:szCs w:val="21"/>
          <w:highlight w:val="none"/>
          <w:lang w:eastAsia="zh-CN"/>
        </w:rPr>
      </w:pPr>
      <w:r>
        <w:rPr>
          <w:rFonts w:hint="eastAsia" w:ascii="宋体" w:hAnsi="宋体" w:eastAsia="宋体" w:cs="宋体"/>
          <w:b/>
          <w:bCs/>
          <w:color w:val="auto"/>
          <w:sz w:val="21"/>
          <w:szCs w:val="21"/>
          <w:highlight w:val="none"/>
          <w:lang w:val="en-US" w:eastAsia="zh-CN"/>
        </w:rPr>
        <w:t xml:space="preserve">   2</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水产海鲜</w:t>
      </w:r>
      <w:r>
        <w:rPr>
          <w:rFonts w:hint="eastAsia" w:ascii="宋体" w:hAnsi="宋体" w:eastAsia="宋体" w:cs="宋体"/>
          <w:b/>
          <w:bCs/>
          <w:color w:val="auto"/>
          <w:kern w:val="2"/>
          <w:sz w:val="21"/>
          <w:szCs w:val="21"/>
          <w:highlight w:val="none"/>
          <w:lang w:eastAsia="zh-CN"/>
        </w:rPr>
        <w:t>鱼</w:t>
      </w:r>
      <w:r>
        <w:rPr>
          <w:rFonts w:hint="eastAsia" w:ascii="宋体" w:hAnsi="宋体" w:eastAsia="宋体" w:cs="宋体"/>
          <w:b/>
          <w:bCs/>
          <w:color w:val="auto"/>
          <w:kern w:val="2"/>
          <w:sz w:val="21"/>
          <w:szCs w:val="21"/>
          <w:highlight w:val="none"/>
        </w:rPr>
        <w:t>类</w:t>
      </w:r>
      <w:r>
        <w:rPr>
          <w:rFonts w:hint="eastAsia" w:ascii="宋体" w:hAnsi="宋体" w:eastAsia="宋体" w:cs="宋体"/>
          <w:b/>
          <w:bCs/>
          <w:color w:val="auto"/>
          <w:kern w:val="2"/>
          <w:sz w:val="21"/>
          <w:szCs w:val="21"/>
          <w:highlight w:val="none"/>
          <w:lang w:eastAsia="zh-CN"/>
        </w:rPr>
        <w:t>基本要求</w:t>
      </w:r>
    </w:p>
    <w:p w14:paraId="2499DB26">
      <w:pPr>
        <w:pStyle w:val="308"/>
        <w:rPr>
          <w:rFonts w:hint="eastAsia" w:cs="Times New Roman"/>
          <w:bCs/>
          <w:color w:val="auto"/>
          <w:kern w:val="2"/>
          <w:sz w:val="21"/>
          <w:highlight w:val="none"/>
        </w:rPr>
      </w:pPr>
      <w:r>
        <w:rPr>
          <w:rFonts w:hint="eastAsia" w:cs="Times New Roman"/>
          <w:bCs/>
          <w:color w:val="auto"/>
          <w:kern w:val="2"/>
          <w:sz w:val="21"/>
          <w:highlight w:val="none"/>
        </w:rPr>
        <w:t>1）海鲜、河鲜类必须鲜活，身体饱满结实，无腐烂异味，肉质紧密有弹性，来源可靠放心，无毒，无害，无污染（利用率不低于95%）。</w:t>
      </w:r>
    </w:p>
    <w:p w14:paraId="0D5627E0">
      <w:pPr>
        <w:pStyle w:val="308"/>
        <w:rPr>
          <w:rFonts w:hint="eastAsia" w:cs="Times New Roman"/>
          <w:bCs/>
          <w:color w:val="auto"/>
          <w:kern w:val="2"/>
          <w:sz w:val="21"/>
          <w:highlight w:val="none"/>
        </w:rPr>
      </w:pPr>
      <w:r>
        <w:rPr>
          <w:rFonts w:hint="eastAsia" w:cs="Times New Roman"/>
          <w:bCs/>
          <w:color w:val="auto"/>
          <w:kern w:val="2"/>
          <w:sz w:val="21"/>
          <w:highlight w:val="none"/>
        </w:rPr>
        <w:t>2）新鲜水产品的具体要求：要体态完整，体色正常，捞离水后，挣扎力。</w:t>
      </w:r>
    </w:p>
    <w:p w14:paraId="2AD9930B">
      <w:pPr>
        <w:pStyle w:val="308"/>
        <w:ind w:firstLine="420" w:firstLineChars="200"/>
        <w:rPr>
          <w:rFonts w:hint="eastAsia" w:cs="Times New Roman"/>
          <w:bCs/>
          <w:color w:val="auto"/>
          <w:kern w:val="2"/>
          <w:sz w:val="21"/>
          <w:highlight w:val="none"/>
        </w:rPr>
      </w:pPr>
      <w:r>
        <w:rPr>
          <w:rFonts w:hint="eastAsia" w:cs="Times New Roman"/>
          <w:bCs/>
          <w:color w:val="auto"/>
          <w:kern w:val="2"/>
          <w:sz w:val="21"/>
          <w:highlight w:val="none"/>
        </w:rPr>
        <w:t>3）冷冻鱼类要求鱼眼睛清亮，角膜透明，鳞片上覆盖有冻结的透明</w:t>
      </w:r>
      <w:r>
        <w:rPr>
          <w:rFonts w:hint="eastAsia" w:cs="Times New Roman"/>
          <w:bCs/>
          <w:color w:val="auto"/>
          <w:kern w:val="2"/>
          <w:sz w:val="21"/>
          <w:highlight w:val="none"/>
          <w:lang w:eastAsia="zh-CN"/>
        </w:rPr>
        <w:t>黏液</w:t>
      </w:r>
      <w:r>
        <w:rPr>
          <w:rFonts w:hint="eastAsia" w:cs="Times New Roman"/>
          <w:bCs/>
          <w:color w:val="auto"/>
          <w:kern w:val="2"/>
          <w:sz w:val="21"/>
          <w:highlight w:val="none"/>
        </w:rPr>
        <w:t xml:space="preserve">层，皮肤天然色泽明显。鱼体完整无伤残，带鳞鱼应体表鳞片完整无损。去鳞鱼不应有残鳞片。另外鱼体富有弹性，手指轻按鱼体后，手指凹陷处可马上恢复。鱼应无异味有较温和的鱼腥味。 </w:t>
      </w:r>
    </w:p>
    <w:p w14:paraId="1CB12C4E">
      <w:pPr>
        <w:pStyle w:val="308"/>
        <w:ind w:firstLine="420" w:firstLineChars="200"/>
        <w:rPr>
          <w:rFonts w:hint="eastAsia" w:cs="Times New Roman"/>
          <w:bCs/>
          <w:color w:val="auto"/>
          <w:kern w:val="2"/>
          <w:sz w:val="21"/>
          <w:highlight w:val="none"/>
        </w:rPr>
      </w:pPr>
      <w:r>
        <w:rPr>
          <w:rFonts w:hint="eastAsia" w:cs="Times New Roman"/>
          <w:bCs/>
          <w:color w:val="auto"/>
          <w:kern w:val="2"/>
          <w:sz w:val="21"/>
          <w:highlight w:val="none"/>
        </w:rPr>
        <w:t xml:space="preserve">4）虾的头胸甲与躯干连接紧密，无断头现象。虾身清洁无污染无异味，虾眼突起，虾身较挺，肉质坚实；虾壳发亮、发硬，呈青绿色或青白色。  </w:t>
      </w:r>
    </w:p>
    <w:p w14:paraId="19939E06">
      <w:pPr>
        <w:pStyle w:val="308"/>
        <w:ind w:firstLine="420" w:firstLineChars="200"/>
        <w:rPr>
          <w:rFonts w:hint="eastAsia" w:cs="Times New Roman"/>
          <w:bCs/>
          <w:color w:val="auto"/>
          <w:kern w:val="2"/>
          <w:sz w:val="21"/>
          <w:highlight w:val="none"/>
        </w:rPr>
      </w:pPr>
      <w:r>
        <w:rPr>
          <w:rFonts w:hint="eastAsia" w:cs="Times New Roman"/>
          <w:bCs/>
          <w:color w:val="auto"/>
          <w:kern w:val="2"/>
          <w:sz w:val="21"/>
          <w:highlight w:val="none"/>
          <w:lang w:val="en-US" w:eastAsia="zh-CN"/>
        </w:rPr>
        <w:t>5</w:t>
      </w:r>
      <w:r>
        <w:rPr>
          <w:rFonts w:hint="eastAsia" w:cs="Times New Roman"/>
          <w:bCs/>
          <w:color w:val="auto"/>
          <w:kern w:val="2"/>
          <w:sz w:val="21"/>
          <w:highlight w:val="none"/>
        </w:rPr>
        <w:t xml:space="preserve">）贝壳类要求肉质新鲜，无臭味，两贝壳相碰发出实响，且响声均匀，在静水中会伸出触角；表面清洁完整，无寄生物，外观完美，有光泽。 </w:t>
      </w:r>
    </w:p>
    <w:p w14:paraId="1B427EEB">
      <w:pPr>
        <w:pStyle w:val="308"/>
        <w:ind w:firstLine="420" w:firstLineChars="200"/>
        <w:rPr>
          <w:rFonts w:hint="eastAsia" w:ascii="宋体" w:hAnsi="宋体" w:eastAsia="宋体" w:cs="宋体"/>
          <w:bCs/>
          <w:color w:val="auto"/>
          <w:kern w:val="2"/>
          <w:sz w:val="21"/>
          <w:highlight w:val="none"/>
        </w:rPr>
      </w:pPr>
      <w:r>
        <w:rPr>
          <w:rFonts w:hint="eastAsia" w:cs="Times New Roman"/>
          <w:bCs/>
          <w:color w:val="auto"/>
          <w:kern w:val="2"/>
          <w:sz w:val="21"/>
          <w:highlight w:val="none"/>
          <w:lang w:val="en-US" w:eastAsia="zh-CN"/>
        </w:rPr>
        <w:t>6</w:t>
      </w:r>
      <w:r>
        <w:rPr>
          <w:rFonts w:hint="eastAsia" w:cs="Times New Roman"/>
          <w:bCs/>
          <w:color w:val="auto"/>
          <w:kern w:val="2"/>
          <w:sz w:val="21"/>
          <w:highlight w:val="none"/>
        </w:rPr>
        <w:t>）</w:t>
      </w:r>
      <w:r>
        <w:rPr>
          <w:rFonts w:hint="eastAsia" w:ascii="宋体" w:hAnsi="宋体" w:eastAsia="宋体" w:cs="宋体"/>
          <w:bCs/>
          <w:color w:val="auto"/>
          <w:kern w:val="2"/>
          <w:sz w:val="21"/>
          <w:highlight w:val="none"/>
        </w:rPr>
        <w:t>水产品须出具贮存地的出入库检疫证明。</w:t>
      </w:r>
    </w:p>
    <w:p w14:paraId="5CBE3D9B">
      <w:pPr>
        <w:pStyle w:val="39"/>
        <w:ind w:firstLine="420" w:firstLineChars="200"/>
        <w:rPr>
          <w:rFonts w:hint="default"/>
          <w:color w:val="auto"/>
          <w:highlight w:val="none"/>
          <w:lang w:val="en-US" w:eastAsia="zh-CN"/>
        </w:rPr>
      </w:pPr>
      <w:r>
        <w:rPr>
          <w:rFonts w:hint="eastAsia" w:ascii="宋体" w:hAnsi="宋体" w:eastAsia="宋体" w:cs="宋体"/>
          <w:bCs/>
          <w:color w:val="auto"/>
          <w:kern w:val="2"/>
          <w:sz w:val="21"/>
          <w:highlight w:val="none"/>
          <w:lang w:val="en-US" w:eastAsia="zh-CN"/>
        </w:rPr>
        <w:t>7</w:t>
      </w:r>
      <w:r>
        <w:rPr>
          <w:rFonts w:hint="eastAsia" w:ascii="宋体" w:hAnsi="宋体" w:eastAsia="宋体" w:cs="宋体"/>
          <w:bCs/>
          <w:color w:val="auto"/>
          <w:kern w:val="2"/>
          <w:sz w:val="21"/>
          <w:highlight w:val="none"/>
        </w:rPr>
        <w:t>）海鲜制品类：海鲜制品类包括但不限于鱼丸、墨鱼丸、鱼蛋、鱼腐等。</w:t>
      </w:r>
    </w:p>
    <w:p w14:paraId="574F8618">
      <w:pPr>
        <w:pStyle w:val="44"/>
        <w:ind w:left="0" w:leftChars="0" w:firstLine="0" w:firstLineChars="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04包组：</w:t>
      </w:r>
      <w:r>
        <w:rPr>
          <w:rFonts w:hint="eastAsia" w:ascii="宋体" w:hAnsi="宋体" w:eastAsia="宋体" w:cs="宋体"/>
          <w:b/>
          <w:bCs/>
          <w:i w:val="0"/>
          <w:iCs w:val="0"/>
          <w:color w:val="auto"/>
          <w:kern w:val="0"/>
          <w:sz w:val="21"/>
          <w:szCs w:val="21"/>
          <w:highlight w:val="none"/>
          <w:u w:val="none"/>
          <w:lang w:val="en-US" w:eastAsia="zh-CN" w:bidi="ar"/>
        </w:rPr>
        <w:t>大米、油、蛋、调味品、包点、面、米线、干货类等</w:t>
      </w:r>
      <w:r>
        <w:rPr>
          <w:rFonts w:hint="eastAsia"/>
          <w:b/>
          <w:bCs/>
          <w:color w:val="auto"/>
          <w:highlight w:val="none"/>
          <w:lang w:eastAsia="zh-CN"/>
        </w:rPr>
        <w:t>配送服务</w:t>
      </w:r>
    </w:p>
    <w:p w14:paraId="76E7D80C">
      <w:pPr>
        <w:snapToGrid w:val="0"/>
        <w:spacing w:line="360" w:lineRule="auto"/>
        <w:ind w:firstLine="420" w:firstLineChars="200"/>
        <w:rPr>
          <w:rFonts w:hint="eastAsia" w:ascii="宋体" w:hAnsi="宋体" w:cs="宋体"/>
          <w:b/>
          <w:bCs w:val="0"/>
          <w:color w:val="auto"/>
          <w:szCs w:val="21"/>
          <w:highlight w:val="none"/>
          <w:lang w:val="en-US" w:eastAsia="zh-CN"/>
        </w:rPr>
      </w:pPr>
      <w:r>
        <w:rPr>
          <w:rFonts w:hint="eastAsia" w:ascii="宋体" w:hAnsi="宋体" w:cs="宋体"/>
          <w:color w:val="auto"/>
          <w:highlight w:val="none"/>
          <w:lang w:val="en-US" w:eastAsia="zh-CN"/>
        </w:rPr>
        <w:t>在04包组里所有中标购买的谷物及其制品、豆类及其制品、坚果及籽类、油脂及其制品、乳及乳制品、调味品以及特殊膳食用食品食材检测需均</w:t>
      </w:r>
      <w:r>
        <w:rPr>
          <w:rFonts w:hint="eastAsia" w:ascii="宋体" w:hAnsi="宋体" w:cs="宋体"/>
          <w:color w:val="auto"/>
          <w:highlight w:val="none"/>
          <w:lang w:eastAsia="zh-CN"/>
        </w:rPr>
        <w:t>符合</w:t>
      </w:r>
      <w:r>
        <w:rPr>
          <w:rFonts w:hint="eastAsia" w:ascii="宋体" w:hAnsi="宋体" w:cs="宋体"/>
          <w:color w:val="auto"/>
          <w:highlight w:val="none"/>
          <w:lang w:val="en-US" w:eastAsia="zh-CN"/>
        </w:rPr>
        <w:t>GB2761-2017《食品安全国家标准 食品中真菌毒素限量》AFTB1、AFTM1标准和GB-5009.22-2016《食品安全国家标准食品中黄曲霉毒素B组和G组的测定》</w:t>
      </w:r>
      <w:r>
        <w:rPr>
          <w:rFonts w:hint="eastAsia" w:ascii="宋体" w:hAnsi="宋体"/>
          <w:color w:val="auto"/>
          <w:highlight w:val="none"/>
          <w:lang w:val="en-US" w:eastAsia="zh-CN"/>
        </w:rPr>
        <w:t>标准。</w:t>
      </w:r>
    </w:p>
    <w:p w14:paraId="0EEBE90F">
      <w:pPr>
        <w:snapToGrid w:val="0"/>
        <w:spacing w:line="360" w:lineRule="auto"/>
        <w:ind w:firstLine="422" w:firstLineChars="200"/>
        <w:rPr>
          <w:rFonts w:hint="default" w:ascii="宋体" w:hAnsi="宋体" w:cs="宋体" w:eastAsiaTheme="minorEastAsia"/>
          <w:b/>
          <w:bCs w:val="0"/>
          <w:color w:val="auto"/>
          <w:szCs w:val="21"/>
          <w:highlight w:val="none"/>
          <w:lang w:val="en-US" w:eastAsia="zh-CN"/>
        </w:rPr>
      </w:pPr>
      <w:r>
        <w:rPr>
          <w:rFonts w:hint="eastAsia" w:ascii="宋体" w:hAnsi="宋体" w:cs="宋体"/>
          <w:b/>
          <w:bCs w:val="0"/>
          <w:color w:val="auto"/>
          <w:szCs w:val="21"/>
          <w:highlight w:val="none"/>
          <w:lang w:val="en-US" w:eastAsia="zh-CN"/>
        </w:rPr>
        <w:t>1.大米</w:t>
      </w:r>
    </w:p>
    <w:p w14:paraId="7722175F">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 xml:space="preserve">供应产品的质量要求： </w:t>
      </w:r>
    </w:p>
    <w:p w14:paraId="52CE5C55">
      <w:pPr>
        <w:snapToGrid w:val="0"/>
        <w:spacing w:line="360" w:lineRule="auto"/>
        <w:ind w:firstLine="420" w:firstLineChars="200"/>
        <w:rPr>
          <w:rFonts w:hint="eastAsia" w:ascii="宋体" w:hAnsi="宋体"/>
          <w:color w:val="auto"/>
          <w:highlight w:val="none"/>
        </w:rPr>
      </w:pPr>
      <w:r>
        <w:rPr>
          <w:rFonts w:hint="eastAsia" w:ascii="宋体" w:hAnsi="宋体" w:cs="宋体"/>
          <w:bCs/>
          <w:color w:val="auto"/>
          <w:szCs w:val="21"/>
          <w:highlight w:val="none"/>
        </w:rPr>
        <w:t>①</w:t>
      </w:r>
      <w:r>
        <w:rPr>
          <w:rFonts w:hint="eastAsia" w:ascii="宋体" w:hAnsi="宋体" w:cs="宋体"/>
          <w:bCs/>
          <w:color w:val="auto"/>
          <w:szCs w:val="21"/>
          <w:highlight w:val="none"/>
          <w:lang w:val="en-US" w:eastAsia="zh-CN"/>
        </w:rPr>
        <w:t>米类</w:t>
      </w:r>
      <w:r>
        <w:rPr>
          <w:rFonts w:hint="eastAsia" w:ascii="宋体" w:hAnsi="宋体" w:cs="宋体"/>
          <w:bCs/>
          <w:color w:val="auto"/>
          <w:szCs w:val="21"/>
          <w:highlight w:val="none"/>
        </w:rPr>
        <w:t>货物必须符合卫生，不得有腐烂、变质、油脂酸败、霉变、生虫、污秽</w:t>
      </w:r>
      <w:r>
        <w:rPr>
          <w:rFonts w:hint="eastAsia" w:ascii="宋体" w:hAnsi="宋体" w:cs="宋体"/>
          <w:bCs/>
          <w:color w:val="auto"/>
          <w:szCs w:val="21"/>
          <w:highlight w:val="none"/>
          <w:lang w:eastAsia="zh-CN"/>
        </w:rPr>
        <w:t>不洁</w:t>
      </w:r>
      <w:r>
        <w:rPr>
          <w:rFonts w:hint="eastAsia" w:ascii="宋体" w:hAnsi="宋体" w:cs="宋体"/>
          <w:bCs/>
          <w:color w:val="auto"/>
          <w:szCs w:val="21"/>
          <w:highlight w:val="none"/>
        </w:rPr>
        <w:t>、混有异物</w:t>
      </w:r>
      <w:r>
        <w:rPr>
          <w:rFonts w:hint="eastAsia" w:ascii="宋体" w:hAnsi="宋体"/>
          <w:bCs/>
          <w:color w:val="auto"/>
          <w:highlight w:val="none"/>
        </w:rPr>
        <w:t>或者</w:t>
      </w:r>
      <w:r>
        <w:rPr>
          <w:rFonts w:hint="eastAsia" w:ascii="宋体" w:hAnsi="宋体"/>
          <w:color w:val="auto"/>
          <w:highlight w:val="none"/>
        </w:rPr>
        <w:t>其他感官性状异常，并可能对人体健康有害的物质。</w:t>
      </w:r>
    </w:p>
    <w:p w14:paraId="5EF45A84">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②</w:t>
      </w:r>
      <w:r>
        <w:rPr>
          <w:rFonts w:hint="eastAsia" w:ascii="宋体" w:hAnsi="宋体"/>
          <w:color w:val="auto"/>
          <w:highlight w:val="none"/>
          <w:lang w:val="en-US" w:eastAsia="zh-CN"/>
        </w:rPr>
        <w:t>米类</w:t>
      </w:r>
      <w:r>
        <w:rPr>
          <w:rFonts w:hint="eastAsia" w:ascii="宋体" w:hAnsi="宋体"/>
          <w:color w:val="auto"/>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0C0BF7A2">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③</w:t>
      </w:r>
      <w:r>
        <w:rPr>
          <w:rFonts w:hint="eastAsia" w:ascii="宋体" w:hAnsi="宋体"/>
          <w:color w:val="auto"/>
          <w:highlight w:val="none"/>
          <w:lang w:val="en-US" w:eastAsia="zh-CN"/>
        </w:rPr>
        <w:t>成品粮（大米、小麦粉或面粉）的食品安全指标。应符合 GB 2715 的规定，其中：大米的质量指标不低于 GB/T 1354一级定等指标的技术要求，小麦粉（面粉）的质量指标不低于GB/T 1355 的精制粉指标的技术要求。</w:t>
      </w:r>
    </w:p>
    <w:p w14:paraId="2F733D19">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lang w:eastAsia="zh-CN"/>
        </w:rPr>
        <w:t>④</w:t>
      </w:r>
      <w:r>
        <w:rPr>
          <w:rFonts w:hint="eastAsia" w:ascii="宋体" w:hAnsi="宋体"/>
          <w:color w:val="auto"/>
          <w:highlight w:val="none"/>
        </w:rPr>
        <w:t>中标供应商在供应过程中，如果发生出现质量问题或造成食物中毒,如变质等情况，经查实后确属中标供应商责任，中标供应商应承担全部责任，主要包括食物中毒人员医疗费、误工费、事故处理费等，直至追究刑事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52DD8F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507DB006">
            <w:pPr>
              <w:pStyle w:val="307"/>
              <w:keepNext w:val="0"/>
              <w:keepLines w:val="0"/>
              <w:suppressLineNumbers w:val="0"/>
              <w:spacing w:before="79" w:beforeAutospacing="0" w:after="0" w:afterAutospacing="0"/>
              <w:ind w:left="268" w:right="269"/>
              <w:jc w:val="center"/>
              <w:rPr>
                <w:rFonts w:hint="default"/>
                <w:b/>
                <w:color w:val="auto"/>
                <w:sz w:val="21"/>
                <w:szCs w:val="21"/>
                <w:highlight w:val="none"/>
              </w:rPr>
            </w:pPr>
            <w:r>
              <w:rPr>
                <w:rFonts w:hint="default"/>
                <w:b/>
                <w:color w:val="auto"/>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3BB864BE">
            <w:pPr>
              <w:pStyle w:val="307"/>
              <w:keepNext w:val="0"/>
              <w:keepLines w:val="0"/>
              <w:suppressLineNumbers w:val="0"/>
              <w:spacing w:before="79" w:beforeAutospacing="0" w:after="0" w:afterAutospacing="0"/>
              <w:ind w:left="0" w:right="546"/>
              <w:jc w:val="center"/>
              <w:rPr>
                <w:rFonts w:hint="default"/>
                <w:b/>
                <w:color w:val="auto"/>
                <w:sz w:val="21"/>
                <w:szCs w:val="21"/>
                <w:highlight w:val="none"/>
              </w:rPr>
            </w:pPr>
            <w:r>
              <w:rPr>
                <w:rFonts w:hint="default"/>
                <w:b/>
                <w:color w:val="auto"/>
                <w:sz w:val="21"/>
                <w:szCs w:val="21"/>
                <w:highlight w:val="none"/>
              </w:rPr>
              <w:t>品名</w:t>
            </w:r>
          </w:p>
        </w:tc>
        <w:tc>
          <w:tcPr>
            <w:tcW w:w="7052" w:type="dxa"/>
            <w:tcBorders>
              <w:left w:val="single" w:color="000000" w:sz="6" w:space="0"/>
              <w:bottom w:val="single" w:color="000000" w:sz="6" w:space="0"/>
            </w:tcBorders>
            <w:noWrap w:val="0"/>
            <w:vAlign w:val="top"/>
          </w:tcPr>
          <w:p w14:paraId="3F6FF69C">
            <w:pPr>
              <w:pStyle w:val="307"/>
              <w:keepNext w:val="0"/>
              <w:keepLines w:val="0"/>
              <w:suppressLineNumbers w:val="0"/>
              <w:spacing w:before="79" w:beforeAutospacing="0" w:after="0" w:afterAutospacing="0"/>
              <w:ind w:left="0" w:right="3434"/>
              <w:jc w:val="center"/>
              <w:rPr>
                <w:rFonts w:hint="default"/>
                <w:b/>
                <w:color w:val="auto"/>
                <w:sz w:val="21"/>
                <w:szCs w:val="21"/>
                <w:highlight w:val="none"/>
              </w:rPr>
            </w:pPr>
            <w:r>
              <w:rPr>
                <w:rFonts w:hint="default"/>
                <w:b/>
                <w:color w:val="auto"/>
                <w:sz w:val="21"/>
                <w:szCs w:val="21"/>
                <w:highlight w:val="none"/>
              </w:rPr>
              <w:t>质量描述</w:t>
            </w:r>
          </w:p>
        </w:tc>
      </w:tr>
      <w:tr w14:paraId="6FECA63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14:paraId="1EAB9E1B">
            <w:pPr>
              <w:pStyle w:val="307"/>
              <w:keepNext w:val="0"/>
              <w:keepLines w:val="0"/>
              <w:suppressLineNumbers w:val="0"/>
              <w:spacing w:before="3" w:beforeAutospacing="0" w:after="0" w:afterAutospacing="0"/>
              <w:ind w:left="0" w:right="0"/>
              <w:jc w:val="center"/>
              <w:rPr>
                <w:rFonts w:hint="eastAsia"/>
                <w:color w:val="auto"/>
                <w:szCs w:val="21"/>
                <w:highlight w:val="none"/>
              </w:rPr>
            </w:pPr>
          </w:p>
          <w:p w14:paraId="6B8B556D">
            <w:pPr>
              <w:pStyle w:val="307"/>
              <w:keepNext w:val="0"/>
              <w:keepLines w:val="0"/>
              <w:suppressLineNumbers w:val="0"/>
              <w:spacing w:before="3" w:beforeAutospacing="0" w:after="0" w:afterAutospacing="0"/>
              <w:ind w:left="0" w:right="0"/>
              <w:jc w:val="center"/>
              <w:rPr>
                <w:rFonts w:hint="eastAsia"/>
                <w:color w:val="auto"/>
                <w:szCs w:val="21"/>
                <w:highlight w:val="none"/>
              </w:rPr>
            </w:pPr>
            <w:r>
              <w:rPr>
                <w:rFonts w:hint="eastAsia"/>
                <w:color w:val="auto"/>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782DB183">
            <w:pPr>
              <w:pStyle w:val="307"/>
              <w:keepNext w:val="0"/>
              <w:keepLines w:val="0"/>
              <w:suppressLineNumbers w:val="0"/>
              <w:spacing w:before="3" w:beforeAutospacing="0" w:after="0" w:afterAutospacing="0"/>
              <w:ind w:left="0" w:right="0"/>
              <w:jc w:val="center"/>
              <w:rPr>
                <w:rFonts w:hint="eastAsia"/>
                <w:color w:val="auto"/>
                <w:szCs w:val="21"/>
                <w:highlight w:val="none"/>
              </w:rPr>
            </w:pPr>
          </w:p>
          <w:p w14:paraId="2F10174E">
            <w:pPr>
              <w:pStyle w:val="307"/>
              <w:keepNext w:val="0"/>
              <w:keepLines w:val="0"/>
              <w:suppressLineNumbers w:val="0"/>
              <w:spacing w:before="3" w:beforeAutospacing="0" w:after="0" w:afterAutospacing="0"/>
              <w:ind w:left="0" w:right="0"/>
              <w:jc w:val="center"/>
              <w:rPr>
                <w:rFonts w:hint="eastAsia"/>
                <w:color w:val="auto"/>
                <w:szCs w:val="21"/>
                <w:highlight w:val="none"/>
              </w:rPr>
            </w:pPr>
            <w:r>
              <w:rPr>
                <w:rFonts w:hint="eastAsia"/>
                <w:color w:val="auto"/>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14:paraId="2553F4E0">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大米须达GB/T 1354-2018</w:t>
            </w:r>
            <w:r>
              <w:rPr>
                <w:rFonts w:hint="eastAsia"/>
                <w:color w:val="auto"/>
                <w:szCs w:val="21"/>
                <w:highlight w:val="none"/>
                <w:lang w:val="en-US" w:eastAsia="zh-CN"/>
              </w:rPr>
              <w:t>一</w:t>
            </w:r>
            <w:r>
              <w:rPr>
                <w:rFonts w:hint="eastAsia"/>
                <w:color w:val="auto"/>
                <w:szCs w:val="21"/>
                <w:highlight w:val="none"/>
              </w:rPr>
              <w:t>级标准，不含添加剂</w:t>
            </w:r>
            <w:r>
              <w:rPr>
                <w:rFonts w:hint="eastAsia"/>
                <w:color w:val="auto"/>
                <w:szCs w:val="21"/>
                <w:highlight w:val="none"/>
                <w:lang w:eastAsia="zh-CN"/>
              </w:rPr>
              <w:t>，</w:t>
            </w:r>
            <w:r>
              <w:rPr>
                <w:rFonts w:hint="eastAsia"/>
                <w:color w:val="auto"/>
                <w:szCs w:val="21"/>
                <w:highlight w:val="none"/>
              </w:rPr>
              <w:t>水分含量在12°以下，无掺杂、无沙石，碎米少，无黄粒米；</w:t>
            </w:r>
          </w:p>
          <w:p w14:paraId="21F9D3F0">
            <w:pPr>
              <w:pStyle w:val="307"/>
              <w:keepNext w:val="0"/>
              <w:keepLines w:val="0"/>
              <w:suppressLineNumbers w:val="0"/>
              <w:spacing w:before="3" w:beforeAutospacing="0" w:after="0" w:afterAutospacing="0"/>
              <w:ind w:left="0" w:right="0"/>
              <w:rPr>
                <w:rFonts w:hint="eastAsia" w:eastAsia="宋体"/>
                <w:color w:val="auto"/>
                <w:szCs w:val="21"/>
                <w:highlight w:val="none"/>
                <w:lang w:eastAsia="zh-CN"/>
              </w:rPr>
            </w:pPr>
            <w:r>
              <w:rPr>
                <w:rFonts w:hint="eastAsia"/>
                <w:color w:val="auto"/>
                <w:szCs w:val="21"/>
                <w:highlight w:val="none"/>
                <w:lang w:val="en-US"/>
              </w:rPr>
              <w:t>2.</w:t>
            </w:r>
            <w:r>
              <w:rPr>
                <w:rFonts w:hint="eastAsia"/>
                <w:color w:val="auto"/>
                <w:szCs w:val="21"/>
                <w:highlight w:val="none"/>
              </w:rPr>
              <w:t>大米包装袋上印有大米品名、等级、数量、出厂名、厂家地址及其电话</w:t>
            </w:r>
            <w:r>
              <w:rPr>
                <w:rFonts w:hint="eastAsia"/>
                <w:color w:val="auto"/>
                <w:szCs w:val="21"/>
                <w:highlight w:val="none"/>
                <w:lang w:val="en-US" w:eastAsia="zh-CN"/>
              </w:rPr>
              <w:t>；</w:t>
            </w:r>
          </w:p>
          <w:p w14:paraId="1C996793">
            <w:pPr>
              <w:pStyle w:val="307"/>
              <w:keepNext w:val="0"/>
              <w:keepLines w:val="0"/>
              <w:suppressLineNumbers w:val="0"/>
              <w:spacing w:before="3" w:beforeAutospacing="0" w:after="0" w:afterAutospacing="0"/>
              <w:ind w:left="0" w:right="0"/>
              <w:rPr>
                <w:rFonts w:hint="eastAsia"/>
                <w:color w:val="auto"/>
                <w:szCs w:val="21"/>
                <w:highlight w:val="none"/>
                <w:lang w:val="en-US" w:eastAsia="zh-CN"/>
              </w:rPr>
            </w:pPr>
            <w:r>
              <w:rPr>
                <w:rFonts w:hint="eastAsia"/>
                <w:color w:val="auto"/>
                <w:szCs w:val="21"/>
                <w:highlight w:val="none"/>
                <w:lang w:val="en-US" w:eastAsia="zh-CN"/>
              </w:rPr>
              <w:t>3.产品有出厂检验报告，符合国家标准；</w:t>
            </w:r>
          </w:p>
          <w:p w14:paraId="697597F4">
            <w:pPr>
              <w:pStyle w:val="307"/>
              <w:keepNext w:val="0"/>
              <w:keepLines w:val="0"/>
              <w:suppressLineNumbers w:val="0"/>
              <w:spacing w:before="3" w:beforeAutospacing="0" w:after="0" w:afterAutospacing="0"/>
              <w:ind w:left="0" w:right="0"/>
              <w:rPr>
                <w:rFonts w:hint="default"/>
                <w:color w:val="auto"/>
                <w:szCs w:val="21"/>
                <w:highlight w:val="none"/>
                <w:lang w:val="en-US" w:eastAsia="zh-CN"/>
              </w:rPr>
            </w:pPr>
            <w:r>
              <w:rPr>
                <w:rFonts w:hint="eastAsia"/>
                <w:color w:val="auto"/>
                <w:szCs w:val="21"/>
                <w:highlight w:val="none"/>
                <w:lang w:val="en-US" w:eastAsia="zh-CN"/>
              </w:rPr>
              <w:t>4.半年出具一份第三方的检验报告。</w:t>
            </w:r>
          </w:p>
        </w:tc>
      </w:tr>
    </w:tbl>
    <w:p w14:paraId="73F0D506">
      <w:pPr>
        <w:pStyle w:val="192"/>
        <w:tabs>
          <w:tab w:val="left" w:pos="545"/>
        </w:tabs>
        <w:spacing w:before="86"/>
        <w:ind w:left="0" w:leftChars="0" w:firstLine="420" w:firstLineChars="200"/>
        <w:jc w:val="left"/>
        <w:rPr>
          <w:rFonts w:hint="eastAsia" w:ascii="宋体" w:hAnsi="宋体" w:eastAsia="宋体" w:cs="宋体"/>
          <w:color w:val="auto"/>
          <w:sz w:val="15"/>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大米检测标准要求</w:t>
      </w:r>
    </w:p>
    <w:tbl>
      <w:tblPr>
        <w:tblStyle w:val="46"/>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14:paraId="55664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254E8633">
            <w:pPr>
              <w:keepNext w:val="0"/>
              <w:keepLines w:val="0"/>
              <w:suppressLineNumbers w:val="0"/>
              <w:spacing w:before="0" w:beforeAutospacing="0" w:after="0" w:afterAutospacing="0"/>
              <w:ind w:left="0" w:right="0"/>
              <w:jc w:val="center"/>
              <w:rPr>
                <w:rFonts w:hint="eastAsia" w:ascii="宋体" w:hAnsi="宋体" w:cs="宋体"/>
                <w:b/>
                <w:bCs/>
                <w:color w:val="auto"/>
                <w:highlight w:val="none"/>
              </w:rPr>
            </w:pPr>
            <w:r>
              <w:rPr>
                <w:rFonts w:hint="eastAsia" w:ascii="宋体" w:hAnsi="宋体" w:cs="宋体"/>
                <w:b/>
                <w:bCs/>
                <w:color w:val="auto"/>
                <w:highlight w:val="none"/>
              </w:rPr>
              <w:t>序号</w:t>
            </w:r>
          </w:p>
        </w:tc>
        <w:tc>
          <w:tcPr>
            <w:tcW w:w="4144" w:type="dxa"/>
            <w:gridSpan w:val="2"/>
            <w:noWrap w:val="0"/>
            <w:vAlign w:val="center"/>
          </w:tcPr>
          <w:p w14:paraId="4C2DCE24">
            <w:pPr>
              <w:keepNext w:val="0"/>
              <w:keepLines w:val="0"/>
              <w:suppressLineNumbers w:val="0"/>
              <w:spacing w:before="0" w:beforeAutospacing="0" w:after="0" w:afterAutospacing="0"/>
              <w:ind w:left="0" w:right="0"/>
              <w:jc w:val="center"/>
              <w:rPr>
                <w:rFonts w:hint="eastAsia" w:ascii="宋体" w:hAnsi="宋体" w:cs="宋体"/>
                <w:b/>
                <w:bCs/>
                <w:color w:val="auto"/>
                <w:highlight w:val="none"/>
              </w:rPr>
            </w:pPr>
            <w:r>
              <w:rPr>
                <w:rFonts w:hint="eastAsia" w:ascii="宋体" w:hAnsi="宋体" w:cs="宋体"/>
                <w:b/>
                <w:bCs/>
                <w:color w:val="auto"/>
                <w:highlight w:val="none"/>
              </w:rPr>
              <w:t>内容</w:t>
            </w:r>
          </w:p>
        </w:tc>
        <w:tc>
          <w:tcPr>
            <w:tcW w:w="3987" w:type="dxa"/>
            <w:noWrap w:val="0"/>
            <w:vAlign w:val="center"/>
          </w:tcPr>
          <w:p w14:paraId="3971F989">
            <w:pPr>
              <w:keepNext w:val="0"/>
              <w:keepLines w:val="0"/>
              <w:suppressLineNumbers w:val="0"/>
              <w:spacing w:before="0" w:beforeAutospacing="0" w:after="0" w:afterAutospacing="0"/>
              <w:ind w:left="0" w:right="0"/>
              <w:jc w:val="center"/>
              <w:rPr>
                <w:rFonts w:hint="eastAsia" w:ascii="宋体" w:hAnsi="宋体" w:cs="宋体"/>
                <w:b/>
                <w:bCs/>
                <w:color w:val="auto"/>
                <w:highlight w:val="none"/>
              </w:rPr>
            </w:pPr>
            <w:r>
              <w:rPr>
                <w:rFonts w:hint="eastAsia" w:ascii="宋体" w:hAnsi="宋体" w:cs="宋体"/>
                <w:b/>
                <w:bCs/>
                <w:color w:val="auto"/>
                <w:highlight w:val="none"/>
              </w:rPr>
              <w:t>质量标准</w:t>
            </w:r>
          </w:p>
        </w:tc>
      </w:tr>
      <w:tr w14:paraId="1146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50E6FD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4144" w:type="dxa"/>
            <w:gridSpan w:val="2"/>
            <w:noWrap w:val="0"/>
            <w:vAlign w:val="center"/>
          </w:tcPr>
          <w:p w14:paraId="6810080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加工精度</w:t>
            </w:r>
          </w:p>
        </w:tc>
        <w:tc>
          <w:tcPr>
            <w:tcW w:w="3987" w:type="dxa"/>
            <w:noWrap w:val="0"/>
            <w:vAlign w:val="center"/>
          </w:tcPr>
          <w:p w14:paraId="4C9A253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符合</w:t>
            </w:r>
            <w:r>
              <w:rPr>
                <w:rFonts w:hint="eastAsia" w:ascii="宋体" w:hAnsi="宋体" w:cs="宋体"/>
                <w:color w:val="auto"/>
                <w:highlight w:val="none"/>
                <w:lang w:val="en-US" w:eastAsia="zh-CN"/>
              </w:rPr>
              <w:t>一</w:t>
            </w:r>
            <w:r>
              <w:rPr>
                <w:rFonts w:hint="eastAsia" w:ascii="宋体" w:hAnsi="宋体" w:cs="宋体"/>
                <w:color w:val="auto"/>
                <w:highlight w:val="none"/>
              </w:rPr>
              <w:t>等品或以上要求</w:t>
            </w:r>
          </w:p>
        </w:tc>
      </w:tr>
      <w:tr w14:paraId="7BB2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096160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4144" w:type="dxa"/>
            <w:gridSpan w:val="2"/>
            <w:noWrap w:val="0"/>
            <w:vAlign w:val="center"/>
          </w:tcPr>
          <w:p w14:paraId="2CA58F8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不完善粒</w:t>
            </w:r>
          </w:p>
        </w:tc>
        <w:tc>
          <w:tcPr>
            <w:tcW w:w="3987" w:type="dxa"/>
            <w:noWrap w:val="0"/>
            <w:vAlign w:val="center"/>
          </w:tcPr>
          <w:p w14:paraId="458ED02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≤6.0%</w:t>
            </w:r>
          </w:p>
        </w:tc>
      </w:tr>
      <w:tr w14:paraId="63C33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94A2EA4">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2156" w:type="dxa"/>
            <w:vMerge w:val="restart"/>
            <w:noWrap w:val="0"/>
            <w:vAlign w:val="center"/>
          </w:tcPr>
          <w:p w14:paraId="75E50757">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23B0C230">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05A5E2E0">
            <w:pPr>
              <w:keepNext w:val="0"/>
              <w:keepLines w:val="0"/>
              <w:suppressLineNumbers w:val="0"/>
              <w:spacing w:before="0" w:beforeAutospacing="0" w:after="0" w:afterAutospacing="0"/>
              <w:ind w:left="0" w:right="0"/>
              <w:jc w:val="center"/>
              <w:rPr>
                <w:rFonts w:hint="eastAsia" w:ascii="宋体" w:hAnsi="宋体" w:cs="宋体"/>
                <w:color w:val="auto"/>
                <w:highlight w:val="none"/>
              </w:rPr>
            </w:pPr>
          </w:p>
          <w:p w14:paraId="5F8B6917">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最大限度杂质</w:t>
            </w:r>
          </w:p>
        </w:tc>
        <w:tc>
          <w:tcPr>
            <w:tcW w:w="1988" w:type="dxa"/>
            <w:noWrap w:val="0"/>
            <w:vAlign w:val="center"/>
          </w:tcPr>
          <w:p w14:paraId="23A21E92">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总量</w:t>
            </w:r>
          </w:p>
        </w:tc>
        <w:tc>
          <w:tcPr>
            <w:tcW w:w="3987" w:type="dxa"/>
            <w:noWrap w:val="0"/>
            <w:vAlign w:val="center"/>
          </w:tcPr>
          <w:p w14:paraId="3E6E0D38">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≤0.40%</w:t>
            </w:r>
          </w:p>
        </w:tc>
      </w:tr>
      <w:tr w14:paraId="6702C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14:paraId="46605D94">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2156" w:type="dxa"/>
            <w:vMerge w:val="continue"/>
            <w:tcBorders>
              <w:top w:val="nil"/>
            </w:tcBorders>
            <w:noWrap w:val="0"/>
            <w:vAlign w:val="center"/>
          </w:tcPr>
          <w:p w14:paraId="5218FA6C">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988" w:type="dxa"/>
            <w:noWrap w:val="0"/>
            <w:vAlign w:val="center"/>
          </w:tcPr>
          <w:p w14:paraId="6482366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糠粉</w:t>
            </w:r>
          </w:p>
        </w:tc>
        <w:tc>
          <w:tcPr>
            <w:tcW w:w="3987" w:type="dxa"/>
            <w:noWrap w:val="0"/>
            <w:vAlign w:val="center"/>
          </w:tcPr>
          <w:p w14:paraId="0D2FF40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≤0.20%</w:t>
            </w:r>
          </w:p>
        </w:tc>
      </w:tr>
      <w:tr w14:paraId="4F39A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9BE4E3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2156" w:type="dxa"/>
            <w:vMerge w:val="continue"/>
            <w:tcBorders>
              <w:top w:val="nil"/>
            </w:tcBorders>
            <w:noWrap w:val="0"/>
            <w:vAlign w:val="center"/>
          </w:tcPr>
          <w:p w14:paraId="4D5B5BB7">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988" w:type="dxa"/>
            <w:noWrap w:val="0"/>
            <w:vAlign w:val="center"/>
          </w:tcPr>
          <w:p w14:paraId="6BC7239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矿物质</w:t>
            </w:r>
          </w:p>
        </w:tc>
        <w:tc>
          <w:tcPr>
            <w:tcW w:w="3987" w:type="dxa"/>
            <w:noWrap w:val="0"/>
            <w:vAlign w:val="center"/>
          </w:tcPr>
          <w:p w14:paraId="4AEFBE8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≤0.02%</w:t>
            </w:r>
          </w:p>
        </w:tc>
      </w:tr>
      <w:tr w14:paraId="4E8C0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14:paraId="497CDDA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6</w:t>
            </w:r>
          </w:p>
        </w:tc>
        <w:tc>
          <w:tcPr>
            <w:tcW w:w="2156" w:type="dxa"/>
            <w:vMerge w:val="continue"/>
            <w:tcBorders>
              <w:top w:val="nil"/>
            </w:tcBorders>
            <w:noWrap w:val="0"/>
            <w:vAlign w:val="center"/>
          </w:tcPr>
          <w:p w14:paraId="112E214D">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988" w:type="dxa"/>
            <w:noWrap w:val="0"/>
            <w:vAlign w:val="center"/>
          </w:tcPr>
          <w:p w14:paraId="781AAF4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 xml:space="preserve">带壳稞 </w:t>
            </w:r>
          </w:p>
        </w:tc>
        <w:tc>
          <w:tcPr>
            <w:tcW w:w="3987" w:type="dxa"/>
            <w:noWrap w:val="0"/>
            <w:vAlign w:val="center"/>
          </w:tcPr>
          <w:p w14:paraId="4E183184">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≤70粒/kg</w:t>
            </w:r>
          </w:p>
        </w:tc>
      </w:tr>
      <w:tr w14:paraId="5A10D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0D70202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7</w:t>
            </w:r>
          </w:p>
        </w:tc>
        <w:tc>
          <w:tcPr>
            <w:tcW w:w="2156" w:type="dxa"/>
            <w:vMerge w:val="continue"/>
            <w:tcBorders>
              <w:top w:val="nil"/>
            </w:tcBorders>
            <w:noWrap w:val="0"/>
            <w:vAlign w:val="center"/>
          </w:tcPr>
          <w:p w14:paraId="5813D12A">
            <w:pPr>
              <w:keepNext w:val="0"/>
              <w:keepLines w:val="0"/>
              <w:suppressLineNumbers w:val="0"/>
              <w:spacing w:before="0" w:beforeAutospacing="0" w:after="0" w:afterAutospacing="0"/>
              <w:ind w:left="0" w:right="0"/>
              <w:jc w:val="center"/>
              <w:rPr>
                <w:rFonts w:hint="eastAsia" w:ascii="宋体" w:hAnsi="宋体" w:cs="宋体"/>
                <w:color w:val="auto"/>
                <w:highlight w:val="none"/>
              </w:rPr>
            </w:pPr>
          </w:p>
        </w:tc>
        <w:tc>
          <w:tcPr>
            <w:tcW w:w="1988" w:type="dxa"/>
            <w:noWrap w:val="0"/>
            <w:vAlign w:val="center"/>
          </w:tcPr>
          <w:p w14:paraId="0372D49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 xml:space="preserve">稻谷粒 </w:t>
            </w:r>
          </w:p>
        </w:tc>
        <w:tc>
          <w:tcPr>
            <w:tcW w:w="3987" w:type="dxa"/>
            <w:noWrap w:val="0"/>
            <w:vAlign w:val="center"/>
          </w:tcPr>
          <w:p w14:paraId="11399D4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≤16粒/kg</w:t>
            </w:r>
          </w:p>
        </w:tc>
      </w:tr>
      <w:tr w14:paraId="1EBF3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8E5431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8</w:t>
            </w:r>
          </w:p>
        </w:tc>
        <w:tc>
          <w:tcPr>
            <w:tcW w:w="4144" w:type="dxa"/>
            <w:gridSpan w:val="2"/>
            <w:noWrap w:val="0"/>
            <w:vAlign w:val="center"/>
          </w:tcPr>
          <w:p w14:paraId="17F5708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碎米总量</w:t>
            </w:r>
          </w:p>
        </w:tc>
        <w:tc>
          <w:tcPr>
            <w:tcW w:w="3987" w:type="dxa"/>
            <w:noWrap w:val="0"/>
            <w:vAlign w:val="center"/>
          </w:tcPr>
          <w:p w14:paraId="6DD0D96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≤35.0%</w:t>
            </w:r>
          </w:p>
        </w:tc>
      </w:tr>
      <w:tr w14:paraId="2471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B009A7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9</w:t>
            </w:r>
          </w:p>
        </w:tc>
        <w:tc>
          <w:tcPr>
            <w:tcW w:w="4144" w:type="dxa"/>
            <w:gridSpan w:val="2"/>
            <w:noWrap w:val="0"/>
            <w:vAlign w:val="center"/>
          </w:tcPr>
          <w:p w14:paraId="4F3DF358">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小碎米</w:t>
            </w:r>
          </w:p>
        </w:tc>
        <w:tc>
          <w:tcPr>
            <w:tcW w:w="3987" w:type="dxa"/>
            <w:noWrap w:val="0"/>
            <w:vAlign w:val="center"/>
          </w:tcPr>
          <w:p w14:paraId="6020D91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≤2.5%</w:t>
            </w:r>
          </w:p>
        </w:tc>
      </w:tr>
      <w:tr w14:paraId="0D8BF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4DC4FE66">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10</w:t>
            </w:r>
          </w:p>
        </w:tc>
        <w:tc>
          <w:tcPr>
            <w:tcW w:w="4144" w:type="dxa"/>
            <w:gridSpan w:val="2"/>
            <w:noWrap w:val="0"/>
            <w:vAlign w:val="center"/>
          </w:tcPr>
          <w:p w14:paraId="748B1B3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黄粒米</w:t>
            </w:r>
          </w:p>
        </w:tc>
        <w:tc>
          <w:tcPr>
            <w:tcW w:w="3987" w:type="dxa"/>
            <w:noWrap w:val="0"/>
            <w:vAlign w:val="center"/>
          </w:tcPr>
          <w:p w14:paraId="54AAC89B">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≤2.0%</w:t>
            </w:r>
          </w:p>
        </w:tc>
      </w:tr>
      <w:tr w14:paraId="18758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1656EB1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11</w:t>
            </w:r>
          </w:p>
        </w:tc>
        <w:tc>
          <w:tcPr>
            <w:tcW w:w="4144" w:type="dxa"/>
            <w:gridSpan w:val="2"/>
            <w:noWrap w:val="0"/>
            <w:vAlign w:val="center"/>
          </w:tcPr>
          <w:p w14:paraId="5EB2951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水份</w:t>
            </w:r>
          </w:p>
        </w:tc>
        <w:tc>
          <w:tcPr>
            <w:tcW w:w="3987" w:type="dxa"/>
            <w:noWrap w:val="0"/>
            <w:vAlign w:val="center"/>
          </w:tcPr>
          <w:p w14:paraId="77D8990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≤14.0%</w:t>
            </w:r>
          </w:p>
        </w:tc>
      </w:tr>
      <w:tr w14:paraId="053B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A53A11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12</w:t>
            </w:r>
          </w:p>
        </w:tc>
        <w:tc>
          <w:tcPr>
            <w:tcW w:w="4144" w:type="dxa"/>
            <w:gridSpan w:val="2"/>
            <w:noWrap w:val="0"/>
            <w:vAlign w:val="center"/>
          </w:tcPr>
          <w:p w14:paraId="38FB3418">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 xml:space="preserve">六六六 </w:t>
            </w:r>
          </w:p>
        </w:tc>
        <w:tc>
          <w:tcPr>
            <w:tcW w:w="3987" w:type="dxa"/>
            <w:noWrap w:val="0"/>
            <w:vAlign w:val="center"/>
          </w:tcPr>
          <w:p w14:paraId="5A968C5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≤0.05mg/kg</w:t>
            </w:r>
          </w:p>
        </w:tc>
      </w:tr>
      <w:tr w14:paraId="5845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308C00E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13</w:t>
            </w:r>
          </w:p>
        </w:tc>
        <w:tc>
          <w:tcPr>
            <w:tcW w:w="4144" w:type="dxa"/>
            <w:gridSpan w:val="2"/>
            <w:noWrap w:val="0"/>
            <w:vAlign w:val="center"/>
          </w:tcPr>
          <w:p w14:paraId="48513F9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 xml:space="preserve">滴滴涕 </w:t>
            </w:r>
          </w:p>
        </w:tc>
        <w:tc>
          <w:tcPr>
            <w:tcW w:w="3987" w:type="dxa"/>
            <w:noWrap w:val="0"/>
            <w:vAlign w:val="center"/>
          </w:tcPr>
          <w:p w14:paraId="068B2639">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≤0.05mg/kg</w:t>
            </w:r>
          </w:p>
        </w:tc>
      </w:tr>
      <w:tr w14:paraId="2313A0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14:paraId="4F1E72F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14</w:t>
            </w:r>
          </w:p>
        </w:tc>
        <w:tc>
          <w:tcPr>
            <w:tcW w:w="4144" w:type="dxa"/>
            <w:gridSpan w:val="2"/>
            <w:noWrap w:val="0"/>
            <w:vAlign w:val="center"/>
          </w:tcPr>
          <w:p w14:paraId="24E3A4D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色泽、气味、口味</w:t>
            </w:r>
          </w:p>
        </w:tc>
        <w:tc>
          <w:tcPr>
            <w:tcW w:w="3987" w:type="dxa"/>
            <w:noWrap w:val="0"/>
            <w:vAlign w:val="center"/>
          </w:tcPr>
          <w:p w14:paraId="4DCB180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正常</w:t>
            </w:r>
          </w:p>
        </w:tc>
      </w:tr>
      <w:tr w14:paraId="4801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958DFE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15</w:t>
            </w:r>
          </w:p>
        </w:tc>
        <w:tc>
          <w:tcPr>
            <w:tcW w:w="4144" w:type="dxa"/>
            <w:gridSpan w:val="2"/>
            <w:noWrap w:val="0"/>
            <w:vAlign w:val="center"/>
          </w:tcPr>
          <w:p w14:paraId="1584823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标签检验</w:t>
            </w:r>
          </w:p>
        </w:tc>
        <w:tc>
          <w:tcPr>
            <w:tcW w:w="3987" w:type="dxa"/>
            <w:noWrap w:val="0"/>
            <w:vAlign w:val="center"/>
          </w:tcPr>
          <w:p w14:paraId="1035F5A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符合 GB2715-2016 标准第九款要求</w:t>
            </w:r>
          </w:p>
        </w:tc>
      </w:tr>
      <w:tr w14:paraId="20470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5066A64B">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16</w:t>
            </w:r>
          </w:p>
        </w:tc>
        <w:tc>
          <w:tcPr>
            <w:tcW w:w="4144" w:type="dxa"/>
            <w:gridSpan w:val="2"/>
            <w:noWrap w:val="0"/>
            <w:vAlign w:val="center"/>
          </w:tcPr>
          <w:p w14:paraId="3FCC570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镉</w:t>
            </w:r>
          </w:p>
        </w:tc>
        <w:tc>
          <w:tcPr>
            <w:tcW w:w="3987" w:type="dxa"/>
            <w:noWrap w:val="0"/>
            <w:vAlign w:val="center"/>
          </w:tcPr>
          <w:p w14:paraId="7FFEA78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≤0.2mg/kg</w:t>
            </w:r>
          </w:p>
        </w:tc>
      </w:tr>
      <w:tr w14:paraId="08804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14:paraId="7680397D">
            <w:pPr>
              <w:keepNext w:val="0"/>
              <w:keepLines w:val="0"/>
              <w:suppressLineNumbers w:val="0"/>
              <w:spacing w:before="0" w:beforeAutospacing="0" w:after="0" w:afterAutospacing="0"/>
              <w:ind w:left="0" w:right="0"/>
              <w:jc w:val="center"/>
              <w:rPr>
                <w:rFonts w:hint="default" w:ascii="宋体" w:hAnsi="宋体" w:cs="宋体" w:eastAsiaTheme="minorEastAsia"/>
                <w:color w:val="auto"/>
                <w:highlight w:val="none"/>
                <w:lang w:val="en-US" w:eastAsia="zh-CN"/>
              </w:rPr>
            </w:pPr>
            <w:r>
              <w:rPr>
                <w:rFonts w:hint="eastAsia" w:ascii="宋体" w:hAnsi="宋体" w:cs="宋体"/>
                <w:color w:val="auto"/>
                <w:highlight w:val="none"/>
                <w:lang w:val="en-US" w:eastAsia="zh-CN"/>
              </w:rPr>
              <w:t>17</w:t>
            </w:r>
          </w:p>
        </w:tc>
        <w:tc>
          <w:tcPr>
            <w:tcW w:w="4144" w:type="dxa"/>
            <w:gridSpan w:val="2"/>
            <w:noWrap w:val="0"/>
            <w:vAlign w:val="center"/>
          </w:tcPr>
          <w:p w14:paraId="3B13605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color w:val="auto"/>
                <w:szCs w:val="21"/>
                <w:highlight w:val="none"/>
                <w:lang w:val="en-US" w:eastAsia="zh-CN"/>
              </w:rPr>
              <w:t>黄曲霉毒素检测</w:t>
            </w:r>
          </w:p>
        </w:tc>
        <w:tc>
          <w:tcPr>
            <w:tcW w:w="3987" w:type="dxa"/>
            <w:noWrap w:val="0"/>
            <w:vAlign w:val="center"/>
          </w:tcPr>
          <w:p w14:paraId="0BBF572C">
            <w:pPr>
              <w:keepNext w:val="0"/>
              <w:keepLines w:val="0"/>
              <w:suppressLineNumbers w:val="0"/>
              <w:spacing w:before="0" w:beforeAutospacing="0" w:after="0" w:afterAutospacing="0" w:line="240" w:lineRule="auto"/>
              <w:ind w:left="0" w:right="0"/>
              <w:jc w:val="center"/>
              <w:rPr>
                <w:rFonts w:hint="eastAsia" w:ascii="宋体" w:hAnsi="宋体" w:cs="宋体"/>
                <w:color w:val="auto"/>
                <w:highlight w:val="none"/>
                <w:lang w:val="en-US" w:eastAsia="zh-CN"/>
              </w:rPr>
            </w:pPr>
            <w:r>
              <w:rPr>
                <w:rFonts w:hint="eastAsia" w:ascii="宋体" w:hAnsi="宋体" w:cs="宋体"/>
                <w:color w:val="auto"/>
                <w:highlight w:val="none"/>
                <w:lang w:eastAsia="zh-CN"/>
              </w:rPr>
              <w:t>符合</w:t>
            </w:r>
            <w:r>
              <w:rPr>
                <w:rFonts w:hint="eastAsia" w:ascii="宋体" w:hAnsi="宋体" w:cs="宋体"/>
                <w:color w:val="auto"/>
                <w:highlight w:val="none"/>
                <w:lang w:val="en-US" w:eastAsia="zh-CN"/>
              </w:rPr>
              <w:t>GB2761-2017《食品安全国家标准 食品中真菌毒素限量》AFTB1、AFTM1标准</w:t>
            </w:r>
          </w:p>
          <w:p w14:paraId="234FD7DF">
            <w:pPr>
              <w:keepNext w:val="0"/>
              <w:keepLines w:val="0"/>
              <w:suppressLineNumbers w:val="0"/>
              <w:spacing w:before="0" w:beforeAutospacing="0" w:after="0" w:afterAutospacing="0" w:line="240" w:lineRule="auto"/>
              <w:ind w:left="0" w:right="0"/>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GB-5009.22-2016《食品安全国家标准 食品中黄曲霉毒素B组和G组的测定》</w:t>
            </w:r>
            <w:r>
              <w:rPr>
                <w:rFonts w:hint="eastAsia" w:ascii="宋体" w:hAnsi="宋体"/>
                <w:color w:val="auto"/>
                <w:highlight w:val="none"/>
                <w:lang w:val="en-US" w:eastAsia="zh-CN"/>
              </w:rPr>
              <w:t>标准</w:t>
            </w:r>
          </w:p>
          <w:p w14:paraId="4B8D5790">
            <w:pPr>
              <w:keepNext w:val="0"/>
              <w:keepLines w:val="0"/>
              <w:suppressLineNumbers w:val="0"/>
              <w:spacing w:before="0" w:beforeAutospacing="0" w:after="0" w:afterAutospacing="0" w:line="240" w:lineRule="auto"/>
              <w:ind w:left="0" w:right="0"/>
              <w:jc w:val="center"/>
              <w:rPr>
                <w:rFonts w:hint="eastAsia" w:ascii="宋体" w:hAnsi="宋体" w:cs="宋体"/>
                <w:color w:val="auto"/>
                <w:highlight w:val="none"/>
                <w:lang w:val="en-US" w:eastAsia="zh-CN"/>
              </w:rPr>
            </w:pPr>
          </w:p>
        </w:tc>
      </w:tr>
    </w:tbl>
    <w:p w14:paraId="2B349044">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原料要求：大米应符合相应的国家标准，如GB/T</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1354，糙米应符合GB/T</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18810，加工用水应符合GB</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5749的要求。</w:t>
      </w:r>
    </w:p>
    <w:p w14:paraId="31181885">
      <w:pPr>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感官要求：色泽应呈现主要原料固有的色泽，具有本产品固有的气味、滋味，无异味，口感滑爽、柔韧，不夹生，不粘牙，组织形态基本均匀一致，表面平滑，无杂质。</w:t>
      </w:r>
    </w:p>
    <w:p w14:paraId="190B67B6">
      <w:pPr>
        <w:pStyle w:val="44"/>
        <w:ind w:left="0" w:leftChars="0" w:firstLine="0" w:firstLineChars="0"/>
        <w:rPr>
          <w:rFonts w:hint="default"/>
          <w:b/>
          <w:bCs/>
          <w:color w:val="auto"/>
          <w:highlight w:val="none"/>
          <w:lang w:val="en-US" w:eastAsia="zh-CN"/>
        </w:rPr>
      </w:pPr>
      <w:r>
        <w:rPr>
          <w:rFonts w:hint="eastAsia" w:ascii="宋体" w:hAnsi="宋体" w:eastAsia="宋体" w:cs="宋体"/>
          <w:b/>
          <w:bCs/>
          <w:color w:val="auto"/>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b/>
          <w:bCs/>
          <w:color w:val="auto"/>
          <w:highlight w:val="none"/>
          <w:lang w:val="en-US" w:eastAsia="zh-CN"/>
        </w:rPr>
        <w:t>油类</w:t>
      </w:r>
    </w:p>
    <w:p w14:paraId="3834B183">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 xml:space="preserve">供应产品的质量要求： </w:t>
      </w:r>
    </w:p>
    <w:p w14:paraId="5DBACF18">
      <w:pPr>
        <w:snapToGrid w:val="0"/>
        <w:spacing w:line="360" w:lineRule="auto"/>
        <w:ind w:firstLine="420" w:firstLineChars="200"/>
        <w:rPr>
          <w:rFonts w:hint="eastAsia" w:ascii="宋体" w:hAnsi="宋体" w:eastAsiaTheme="minorEastAsia"/>
          <w:color w:val="auto"/>
          <w:highlight w:val="none"/>
          <w:lang w:eastAsia="zh-CN"/>
        </w:rPr>
      </w:pPr>
      <w:r>
        <w:rPr>
          <w:rFonts w:hint="eastAsia" w:ascii="宋体" w:hAnsi="宋体" w:cs="宋体"/>
          <w:bCs/>
          <w:color w:val="auto"/>
          <w:szCs w:val="21"/>
          <w:highlight w:val="none"/>
        </w:rPr>
        <w:t>①油</w:t>
      </w:r>
      <w:r>
        <w:rPr>
          <w:rFonts w:hint="eastAsia" w:ascii="宋体" w:hAnsi="宋体" w:cs="宋体"/>
          <w:bCs/>
          <w:color w:val="auto"/>
          <w:szCs w:val="21"/>
          <w:highlight w:val="none"/>
          <w:lang w:val="en-US" w:eastAsia="zh-CN"/>
        </w:rPr>
        <w:t>类</w:t>
      </w:r>
      <w:r>
        <w:rPr>
          <w:rFonts w:hint="eastAsia" w:ascii="宋体" w:hAnsi="宋体" w:cs="宋体"/>
          <w:bCs/>
          <w:color w:val="auto"/>
          <w:szCs w:val="21"/>
          <w:highlight w:val="none"/>
        </w:rPr>
        <w:t>必须符合卫生，不得有腐烂、变质、油脂酸败、霉变、生虫、污秽</w:t>
      </w:r>
      <w:r>
        <w:rPr>
          <w:rFonts w:hint="eastAsia" w:ascii="宋体" w:hAnsi="宋体" w:cs="宋体"/>
          <w:bCs/>
          <w:color w:val="auto"/>
          <w:szCs w:val="21"/>
          <w:highlight w:val="none"/>
          <w:lang w:eastAsia="zh-CN"/>
        </w:rPr>
        <w:t>不洁</w:t>
      </w:r>
      <w:r>
        <w:rPr>
          <w:rFonts w:hint="eastAsia" w:ascii="宋体" w:hAnsi="宋体" w:cs="宋体"/>
          <w:bCs/>
          <w:color w:val="auto"/>
          <w:szCs w:val="21"/>
          <w:highlight w:val="none"/>
        </w:rPr>
        <w:t>、混有异物</w:t>
      </w:r>
      <w:r>
        <w:rPr>
          <w:rFonts w:hint="eastAsia" w:ascii="宋体" w:hAnsi="宋体"/>
          <w:bCs/>
          <w:color w:val="auto"/>
          <w:highlight w:val="none"/>
        </w:rPr>
        <w:t>或者</w:t>
      </w:r>
      <w:r>
        <w:rPr>
          <w:rFonts w:hint="eastAsia" w:ascii="宋体" w:hAnsi="宋体"/>
          <w:color w:val="auto"/>
          <w:highlight w:val="none"/>
        </w:rPr>
        <w:t>其他感官性状异常，并可能对人体健康有害的物质。</w:t>
      </w:r>
      <w:r>
        <w:rPr>
          <w:rFonts w:hint="eastAsia" w:ascii="宋体" w:hAnsi="宋体"/>
          <w:color w:val="auto"/>
          <w:highlight w:val="none"/>
          <w:lang w:eastAsia="zh-CN"/>
        </w:rPr>
        <w:t>不能检测存在</w:t>
      </w:r>
      <w:r>
        <w:rPr>
          <w:rFonts w:hint="eastAsia"/>
          <w:color w:val="auto"/>
          <w:szCs w:val="21"/>
          <w:highlight w:val="none"/>
          <w:lang w:val="en-US" w:eastAsia="zh-CN"/>
        </w:rPr>
        <w:t>黄曲霉毒素。</w:t>
      </w:r>
    </w:p>
    <w:p w14:paraId="2D526F46">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②</w:t>
      </w:r>
      <w:r>
        <w:rPr>
          <w:rFonts w:hint="eastAsia" w:ascii="宋体" w:hAnsi="宋体"/>
          <w:color w:val="auto"/>
          <w:highlight w:val="none"/>
          <w:lang w:val="en-US" w:eastAsia="zh-CN"/>
        </w:rPr>
        <w:t>成品食用油的食品的安全指标。应符合 GB 2716 的规定，不建议采购使用含转基因原料的食用油和棕榈油或含棕榈油成分（棕榈油成分占比超过50%）的食用调和油。如确需采购，应持审慎态度，必须在显著位置公示。严禁配送使用循环包装容器（周转桶）盛装的食用油。</w:t>
      </w:r>
    </w:p>
    <w:p w14:paraId="2985A9CB">
      <w:pPr>
        <w:snapToGrid w:val="0"/>
        <w:spacing w:line="360" w:lineRule="auto"/>
        <w:ind w:firstLine="420" w:firstLineChars="200"/>
        <w:rPr>
          <w:rFonts w:hint="eastAsia" w:ascii="宋体" w:hAnsi="宋体"/>
          <w:color w:val="auto"/>
          <w:highlight w:val="none"/>
        </w:rPr>
      </w:pPr>
      <w:r>
        <w:rPr>
          <w:rFonts w:hint="eastAsia" w:ascii="宋体" w:hAnsi="宋体" w:cs="宋体"/>
          <w:bCs/>
          <w:color w:val="auto"/>
          <w:szCs w:val="21"/>
          <w:highlight w:val="none"/>
          <w:lang w:eastAsia="zh-CN"/>
        </w:rPr>
        <w:t>③</w:t>
      </w:r>
      <w:r>
        <w:rPr>
          <w:rFonts w:hint="eastAsia" w:ascii="宋体" w:hAnsi="宋体" w:cs="宋体"/>
          <w:bCs/>
          <w:color w:val="auto"/>
          <w:szCs w:val="21"/>
          <w:highlight w:val="none"/>
        </w:rPr>
        <w:t>油</w:t>
      </w:r>
      <w:r>
        <w:rPr>
          <w:rFonts w:hint="eastAsia" w:ascii="宋体" w:hAnsi="宋体" w:cs="宋体"/>
          <w:bCs/>
          <w:color w:val="auto"/>
          <w:szCs w:val="21"/>
          <w:highlight w:val="none"/>
          <w:lang w:val="en-US" w:eastAsia="zh-CN"/>
        </w:rPr>
        <w:t>类</w:t>
      </w:r>
      <w:r>
        <w:rPr>
          <w:rFonts w:hint="eastAsia" w:ascii="宋体" w:hAnsi="宋体"/>
          <w:color w:val="auto"/>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4B6A28AD">
      <w:pPr>
        <w:snapToGrid w:val="0"/>
        <w:spacing w:line="360" w:lineRule="auto"/>
        <w:ind w:firstLine="420" w:firstLineChars="200"/>
        <w:rPr>
          <w:rFonts w:hint="eastAsia" w:ascii="宋体" w:hAnsi="宋体"/>
          <w:color w:val="auto"/>
          <w:highlight w:val="none"/>
        </w:rPr>
      </w:pPr>
      <w:r>
        <w:rPr>
          <w:rFonts w:hint="eastAsia" w:ascii="宋体" w:hAnsi="宋体" w:cs="宋体"/>
          <w:color w:val="auto"/>
          <w:highlight w:val="none"/>
        </w:rPr>
        <w:t>④</w:t>
      </w:r>
      <w:r>
        <w:rPr>
          <w:rFonts w:hint="eastAsia" w:ascii="宋体" w:hAnsi="宋体"/>
          <w:color w:val="auto"/>
          <w:highlight w:val="none"/>
        </w:rPr>
        <w:t>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56E804B3">
      <w:pPr>
        <w:snapToGrid w:val="0"/>
        <w:spacing w:line="360" w:lineRule="auto"/>
        <w:ind w:firstLine="420" w:firstLineChars="200"/>
        <w:rPr>
          <w:rFonts w:hint="eastAsia" w:ascii="宋体" w:hAnsi="宋体"/>
          <w:color w:val="auto"/>
          <w:highlight w:val="none"/>
        </w:rPr>
      </w:pPr>
      <w:r>
        <w:rPr>
          <w:rFonts w:hint="default" w:ascii="Times New Roman" w:hAnsi="Times New Roman" w:eastAsia="宋体" w:cs="Times New Roman"/>
          <w:color w:val="auto"/>
          <w:kern w:val="2"/>
          <w:sz w:val="21"/>
          <w:szCs w:val="24"/>
          <w:highlight w:val="none"/>
          <w:lang w:val="en-US" w:eastAsia="zh-CN" w:bidi="ar"/>
        </w:rPr>
        <w:fldChar w:fldCharType="begin"/>
      </w:r>
      <w:r>
        <w:rPr>
          <w:rFonts w:hint="default" w:ascii="Times New Roman" w:hAnsi="Times New Roman" w:eastAsia="宋体" w:cs="Times New Roman"/>
          <w:color w:val="auto"/>
          <w:kern w:val="2"/>
          <w:sz w:val="21"/>
          <w:szCs w:val="24"/>
          <w:highlight w:val="none"/>
          <w:lang w:val="en-US" w:eastAsia="zh-CN" w:bidi="ar"/>
        </w:rPr>
        <w:instrText xml:space="preserve"> = 5 \* GB3 </w:instrText>
      </w:r>
      <w:r>
        <w:rPr>
          <w:rFonts w:hint="default" w:ascii="Times New Roman" w:hAnsi="Times New Roman" w:eastAsia="宋体" w:cs="Times New Roman"/>
          <w:color w:val="auto"/>
          <w:kern w:val="2"/>
          <w:sz w:val="21"/>
          <w:szCs w:val="24"/>
          <w:highlight w:val="none"/>
          <w:lang w:val="en-US" w:eastAsia="zh-CN" w:bidi="ar"/>
        </w:rPr>
        <w:fldChar w:fldCharType="separate"/>
      </w:r>
      <w:r>
        <w:rPr>
          <w:rFonts w:hint="eastAsia" w:ascii="Times New Roman" w:hAnsi="Times New Roman" w:eastAsia="宋体" w:cs="宋体"/>
          <w:color w:val="auto"/>
          <w:kern w:val="2"/>
          <w:sz w:val="21"/>
          <w:szCs w:val="24"/>
          <w:highlight w:val="none"/>
          <w:lang w:val="en-US" w:eastAsia="zh-CN" w:bidi="ar"/>
        </w:rPr>
        <w:t>⑤</w:t>
      </w:r>
      <w:r>
        <w:rPr>
          <w:rFonts w:hint="default" w:ascii="Times New Roman" w:hAnsi="Times New Roman" w:eastAsia="宋体" w:cs="Times New Roman"/>
          <w:color w:val="auto"/>
          <w:kern w:val="2"/>
          <w:sz w:val="21"/>
          <w:szCs w:val="24"/>
          <w:highlight w:val="none"/>
          <w:lang w:val="en-US" w:eastAsia="zh-CN" w:bidi="ar"/>
        </w:rPr>
        <w:fldChar w:fldCharType="end"/>
      </w:r>
      <w:r>
        <w:rPr>
          <w:rFonts w:hint="eastAsia" w:ascii="宋体" w:hAnsi="宋体"/>
          <w:color w:val="auto"/>
          <w:highlight w:val="none"/>
        </w:rPr>
        <w:t>要求提供的食用油生产厂家信誉良好，有明确的商品标签，有生产日期、保质期、质量等级，并标明初制油的加工工艺</w:t>
      </w:r>
      <w:r>
        <w:rPr>
          <w:rFonts w:hint="eastAsia" w:ascii="宋体" w:hAnsi="宋体"/>
          <w:color w:val="auto"/>
          <w:highlight w:val="none"/>
          <w:lang w:eastAsia="zh-CN"/>
        </w:rPr>
        <w:t>（</w:t>
      </w:r>
      <w:r>
        <w:rPr>
          <w:rFonts w:hint="eastAsia" w:ascii="宋体" w:hAnsi="宋体"/>
          <w:color w:val="auto"/>
          <w:highlight w:val="none"/>
        </w:rPr>
        <w:t>即用浸出法生产，还是用压榨法生产的</w:t>
      </w:r>
      <w:r>
        <w:rPr>
          <w:rFonts w:hint="eastAsia" w:ascii="宋体" w:hAnsi="宋体"/>
          <w:color w:val="auto"/>
          <w:highlight w:val="none"/>
          <w:lang w:eastAsia="zh-CN"/>
        </w:rPr>
        <w:t>）</w:t>
      </w:r>
      <w:r>
        <w:rPr>
          <w:rFonts w:hint="eastAsia" w:ascii="宋体" w:hAnsi="宋体"/>
          <w:color w:val="auto"/>
          <w:highlight w:val="none"/>
        </w:rPr>
        <w:t>和是否用转基因油料生产，不许以次充好、以假充真。如将毛油当一级或二级油进行销售，将低价位的植物油掺入高价位植物油中进行销售，牟取暴利，一经查处，中标供应商将承担全部责任。</w:t>
      </w:r>
    </w:p>
    <w:p w14:paraId="65759665">
      <w:pPr>
        <w:keepNext w:val="0"/>
        <w:keepLines w:val="0"/>
        <w:widowControl w:val="0"/>
        <w:suppressLineNumbers w:val="0"/>
        <w:spacing w:before="0" w:beforeAutospacing="0" w:after="0" w:afterAutospacing="0"/>
        <w:ind w:left="0" w:right="0" w:firstLine="420" w:firstLineChars="200"/>
        <w:jc w:val="both"/>
        <w:rPr>
          <w:rFonts w:hint="eastAsia" w:ascii="宋体" w:hAnsi="宋体"/>
          <w:color w:val="auto"/>
          <w:highlight w:val="none"/>
        </w:rPr>
      </w:pPr>
      <w:r>
        <w:rPr>
          <w:rFonts w:hint="eastAsia" w:ascii="Times New Roman" w:hAnsi="Times New Roman" w:eastAsia="宋体" w:cs="Times New Roman"/>
          <w:color w:val="auto"/>
          <w:kern w:val="2"/>
          <w:sz w:val="21"/>
          <w:szCs w:val="24"/>
          <w:highlight w:val="none"/>
          <w:lang w:val="en-US" w:eastAsia="zh-CN" w:bidi="ar"/>
        </w:rPr>
        <w:t>⑥</w:t>
      </w:r>
      <w:r>
        <w:rPr>
          <w:rFonts w:hint="eastAsia" w:ascii="宋体" w:hAnsi="宋体" w:cs="宋体"/>
          <w:color w:val="auto"/>
          <w:highlight w:val="none"/>
          <w:lang w:val="en-US" w:eastAsia="zh-CN"/>
        </w:rPr>
        <w:t>所有花生油、调和油类食材检测需均</w:t>
      </w:r>
      <w:r>
        <w:rPr>
          <w:rFonts w:hint="eastAsia" w:ascii="宋体" w:hAnsi="宋体" w:cs="宋体"/>
          <w:color w:val="auto"/>
          <w:highlight w:val="none"/>
          <w:lang w:eastAsia="zh-CN"/>
        </w:rPr>
        <w:t>符合</w:t>
      </w:r>
      <w:r>
        <w:rPr>
          <w:rFonts w:hint="eastAsia" w:ascii="宋体" w:hAnsi="宋体" w:cs="宋体"/>
          <w:color w:val="auto"/>
          <w:highlight w:val="none"/>
          <w:lang w:val="en-US" w:eastAsia="zh-CN"/>
        </w:rPr>
        <w:t>GB2761-2017《食品安全国家标准食品中真菌毒素限量》AFTB1、AFTM1标准。</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16E417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3D3B4A6F">
            <w:pPr>
              <w:pStyle w:val="307"/>
              <w:keepNext w:val="0"/>
              <w:keepLines w:val="0"/>
              <w:suppressLineNumbers w:val="0"/>
              <w:spacing w:before="79" w:beforeAutospacing="0" w:after="0" w:afterAutospacing="0"/>
              <w:ind w:left="268" w:right="269"/>
              <w:jc w:val="center"/>
              <w:rPr>
                <w:rFonts w:hint="default"/>
                <w:b/>
                <w:color w:val="auto"/>
                <w:sz w:val="21"/>
                <w:szCs w:val="21"/>
                <w:highlight w:val="none"/>
              </w:rPr>
            </w:pPr>
            <w:r>
              <w:rPr>
                <w:rFonts w:hint="default"/>
                <w:b/>
                <w:color w:val="auto"/>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2A9F4D6A">
            <w:pPr>
              <w:pStyle w:val="307"/>
              <w:keepNext w:val="0"/>
              <w:keepLines w:val="0"/>
              <w:suppressLineNumbers w:val="0"/>
              <w:spacing w:before="79" w:beforeAutospacing="0" w:after="0" w:afterAutospacing="0"/>
              <w:ind w:left="0" w:right="546"/>
              <w:jc w:val="center"/>
              <w:rPr>
                <w:rFonts w:hint="default"/>
                <w:b/>
                <w:color w:val="auto"/>
                <w:sz w:val="21"/>
                <w:szCs w:val="21"/>
                <w:highlight w:val="none"/>
              </w:rPr>
            </w:pPr>
            <w:r>
              <w:rPr>
                <w:rFonts w:hint="eastAsia"/>
                <w:b/>
                <w:color w:val="auto"/>
                <w:sz w:val="21"/>
                <w:szCs w:val="21"/>
                <w:highlight w:val="none"/>
                <w:lang w:val="en-US" w:eastAsia="zh-CN"/>
              </w:rPr>
              <w:t xml:space="preserve">  </w:t>
            </w:r>
            <w:r>
              <w:rPr>
                <w:rFonts w:hint="default"/>
                <w:b/>
                <w:color w:val="auto"/>
                <w:sz w:val="21"/>
                <w:szCs w:val="21"/>
                <w:highlight w:val="none"/>
              </w:rPr>
              <w:t>品名</w:t>
            </w:r>
          </w:p>
        </w:tc>
        <w:tc>
          <w:tcPr>
            <w:tcW w:w="7052" w:type="dxa"/>
            <w:tcBorders>
              <w:left w:val="single" w:color="000000" w:sz="6" w:space="0"/>
              <w:bottom w:val="single" w:color="000000" w:sz="6" w:space="0"/>
            </w:tcBorders>
            <w:noWrap w:val="0"/>
            <w:vAlign w:val="top"/>
          </w:tcPr>
          <w:p w14:paraId="5CC423B7">
            <w:pPr>
              <w:pStyle w:val="307"/>
              <w:keepNext w:val="0"/>
              <w:keepLines w:val="0"/>
              <w:suppressLineNumbers w:val="0"/>
              <w:spacing w:before="79" w:beforeAutospacing="0" w:after="0" w:afterAutospacing="0"/>
              <w:ind w:left="0" w:right="3434"/>
              <w:jc w:val="center"/>
              <w:rPr>
                <w:rFonts w:hint="default"/>
                <w:b/>
                <w:color w:val="auto"/>
                <w:sz w:val="21"/>
                <w:szCs w:val="21"/>
                <w:highlight w:val="none"/>
              </w:rPr>
            </w:pPr>
            <w:r>
              <w:rPr>
                <w:rFonts w:hint="default"/>
                <w:b/>
                <w:color w:val="auto"/>
                <w:sz w:val="21"/>
                <w:szCs w:val="21"/>
                <w:highlight w:val="none"/>
              </w:rPr>
              <w:t>质量描述</w:t>
            </w:r>
          </w:p>
        </w:tc>
      </w:tr>
      <w:tr w14:paraId="1391D8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center"/>
          </w:tcPr>
          <w:p w14:paraId="7806111A">
            <w:pPr>
              <w:pStyle w:val="307"/>
              <w:keepNext w:val="0"/>
              <w:keepLines w:val="0"/>
              <w:suppressLineNumbers w:val="0"/>
              <w:spacing w:before="3"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center"/>
          </w:tcPr>
          <w:p w14:paraId="2F93201C">
            <w:pPr>
              <w:pStyle w:val="307"/>
              <w:keepNext w:val="0"/>
              <w:keepLines w:val="0"/>
              <w:suppressLineNumbers w:val="0"/>
              <w:spacing w:before="3"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14:paraId="3D8BCE9E">
            <w:pPr>
              <w:pStyle w:val="307"/>
              <w:keepNext w:val="0"/>
              <w:keepLines w:val="0"/>
              <w:numPr>
                <w:ilvl w:val="0"/>
                <w:numId w:val="0"/>
              </w:numPr>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按国家食用调和油质量标准SB/T 10292-1998；</w:t>
            </w:r>
          </w:p>
          <w:p w14:paraId="4399AB55">
            <w:pPr>
              <w:pStyle w:val="307"/>
              <w:keepNext w:val="0"/>
              <w:keepLines w:val="0"/>
              <w:numPr>
                <w:ilvl w:val="0"/>
                <w:numId w:val="0"/>
              </w:numPr>
              <w:suppressLineNumbers w:val="0"/>
              <w:spacing w:before="3" w:beforeAutospacing="0" w:after="0" w:afterAutospacing="0"/>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花生油质量标准GB1534-2003</w:t>
            </w:r>
            <w:r>
              <w:rPr>
                <w:rFonts w:hint="eastAsia" w:ascii="宋体" w:hAnsi="宋体" w:eastAsia="宋体" w:cs="宋体"/>
                <w:color w:val="auto"/>
                <w:szCs w:val="21"/>
                <w:highlight w:val="none"/>
                <w:lang w:val="en-US" w:eastAsia="zh-CN"/>
              </w:rPr>
              <w:t>；</w:t>
            </w:r>
          </w:p>
          <w:p w14:paraId="3F2176F2">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有合格检疫报告，外观的色泽、透明度、气味滋味等无异常；</w:t>
            </w:r>
          </w:p>
          <w:p w14:paraId="2917A026">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en-US"/>
              </w:rPr>
              <w:t>.</w:t>
            </w:r>
            <w:r>
              <w:rPr>
                <w:rFonts w:hint="eastAsia" w:ascii="宋体" w:hAnsi="宋体" w:eastAsia="宋体" w:cs="宋体"/>
                <w:color w:val="auto"/>
                <w:szCs w:val="21"/>
                <w:highlight w:val="none"/>
              </w:rPr>
              <w:t>定型包装</w:t>
            </w:r>
            <w:r>
              <w:rPr>
                <w:rFonts w:hint="eastAsia" w:ascii="宋体" w:hAnsi="宋体" w:eastAsia="宋体" w:cs="宋体"/>
                <w:color w:val="auto"/>
                <w:szCs w:val="21"/>
                <w:highlight w:val="none"/>
                <w:lang w:val="en-US" w:eastAsia="zh-CN"/>
              </w:rPr>
              <w:t>；</w:t>
            </w:r>
          </w:p>
          <w:p w14:paraId="5700A328">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质量要求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必须符合国家有关标准，并标明“非转基因产品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w:t>
            </w:r>
          </w:p>
          <w:p w14:paraId="106C9D18">
            <w:pPr>
              <w:pStyle w:val="307"/>
              <w:keepNext w:val="0"/>
              <w:keepLines w:val="0"/>
              <w:suppressLineNumbers w:val="0"/>
              <w:spacing w:before="3" w:beforeAutospacing="0" w:after="0" w:afterAutospacing="0"/>
              <w:ind w:left="0" w:right="0"/>
              <w:rPr>
                <w:rFonts w:hint="eastAsia"/>
                <w:color w:val="auto"/>
                <w:szCs w:val="21"/>
                <w:highlight w:val="none"/>
                <w:lang w:val="en-US" w:eastAsia="zh-CN"/>
              </w:rPr>
            </w:pPr>
            <w:r>
              <w:rPr>
                <w:rFonts w:hint="eastAsia"/>
                <w:color w:val="auto"/>
                <w:szCs w:val="21"/>
                <w:highlight w:val="none"/>
                <w:lang w:val="en-US" w:eastAsia="zh-CN"/>
              </w:rPr>
              <w:t>6.产品有出厂检验报告，符合国家标准；</w:t>
            </w:r>
          </w:p>
          <w:p w14:paraId="06F29B7A">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lang w:eastAsia="zh-CN"/>
              </w:rPr>
            </w:pPr>
            <w:r>
              <w:rPr>
                <w:rFonts w:hint="eastAsia"/>
                <w:color w:val="auto"/>
                <w:szCs w:val="21"/>
                <w:highlight w:val="none"/>
                <w:lang w:val="en-US" w:eastAsia="zh-CN"/>
              </w:rPr>
              <w:t>7.半年出具一份第三方的检验报告。</w:t>
            </w:r>
          </w:p>
        </w:tc>
      </w:tr>
    </w:tbl>
    <w:p w14:paraId="2A36C7EA">
      <w:pPr>
        <w:pStyle w:val="192"/>
        <w:tabs>
          <w:tab w:val="left" w:pos="545"/>
        </w:tabs>
        <w:spacing w:before="86"/>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花生原油质量指标</w:t>
      </w:r>
    </w:p>
    <w:tbl>
      <w:tblPr>
        <w:tblStyle w:val="46"/>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14:paraId="0AEFD0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14:paraId="60B703E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5205" w:type="dxa"/>
            <w:tcBorders>
              <w:left w:val="single" w:color="000000" w:sz="6" w:space="0"/>
              <w:bottom w:val="single" w:color="000000" w:sz="6" w:space="0"/>
            </w:tcBorders>
            <w:noWrap w:val="0"/>
            <w:vAlign w:val="center"/>
          </w:tcPr>
          <w:p w14:paraId="57B985C0">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质量指标</w:t>
            </w:r>
          </w:p>
        </w:tc>
      </w:tr>
      <w:tr w14:paraId="77C5618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14:paraId="2C1C86A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14:paraId="3BF0F4D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具有花生原油固有的气味和滋味，无异味</w:t>
            </w:r>
          </w:p>
        </w:tc>
      </w:tr>
      <w:tr w14:paraId="5FEC3E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64C0A8C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14:paraId="4D8D6A4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≤0.20%</w:t>
            </w:r>
          </w:p>
        </w:tc>
      </w:tr>
      <w:tr w14:paraId="53C742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6380C2B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14:paraId="7DFA535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≤0.20%</w:t>
            </w:r>
          </w:p>
        </w:tc>
      </w:tr>
      <w:tr w14:paraId="1830F55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4881E0E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酸值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KOH</w:t>
            </w:r>
            <w:r>
              <w:rPr>
                <w:rFonts w:hint="eastAsia" w:ascii="宋体" w:hAnsi="宋体" w:eastAsia="宋体" w:cs="宋体"/>
                <w:color w:val="auto"/>
                <w:szCs w:val="21"/>
                <w:highlight w:val="none"/>
                <w:lang w:eastAsia="zh-CN"/>
              </w:rPr>
              <w:t>）</w:t>
            </w:r>
          </w:p>
        </w:tc>
        <w:tc>
          <w:tcPr>
            <w:tcW w:w="5205" w:type="dxa"/>
            <w:tcBorders>
              <w:top w:val="single" w:color="000000" w:sz="6" w:space="0"/>
              <w:left w:val="single" w:color="000000" w:sz="6" w:space="0"/>
              <w:bottom w:val="single" w:color="000000" w:sz="6" w:space="0"/>
            </w:tcBorders>
            <w:noWrap w:val="0"/>
            <w:vAlign w:val="center"/>
          </w:tcPr>
          <w:p w14:paraId="03E9916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≤4.0mg/g</w:t>
            </w:r>
          </w:p>
        </w:tc>
      </w:tr>
      <w:tr w14:paraId="781881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14:paraId="783722F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14:paraId="22929C8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≤7.5mmol/kg</w:t>
            </w:r>
          </w:p>
        </w:tc>
      </w:tr>
      <w:tr w14:paraId="1360C9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14:paraId="61F083F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溶剂残留量</w:t>
            </w:r>
          </w:p>
        </w:tc>
        <w:tc>
          <w:tcPr>
            <w:tcW w:w="5205" w:type="dxa"/>
            <w:tcBorders>
              <w:top w:val="single" w:color="000000" w:sz="6" w:space="0"/>
              <w:left w:val="single" w:color="000000" w:sz="6" w:space="0"/>
            </w:tcBorders>
            <w:noWrap w:val="0"/>
            <w:vAlign w:val="center"/>
          </w:tcPr>
          <w:p w14:paraId="0827A48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≤100mg/kg</w:t>
            </w:r>
          </w:p>
        </w:tc>
      </w:tr>
    </w:tbl>
    <w:p w14:paraId="312881A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压榨成品花生油质量指标</w:t>
      </w:r>
    </w:p>
    <w:tbl>
      <w:tblPr>
        <w:tblStyle w:val="46"/>
        <w:tblW w:w="9711"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256"/>
        <w:gridCol w:w="3739"/>
        <w:gridCol w:w="3716"/>
      </w:tblGrid>
      <w:tr w14:paraId="3F9230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256" w:type="dxa"/>
            <w:vMerge w:val="restart"/>
            <w:tcBorders>
              <w:bottom w:val="single" w:color="000000" w:sz="6" w:space="0"/>
              <w:right w:val="single" w:color="000000" w:sz="6" w:space="0"/>
            </w:tcBorders>
            <w:noWrap w:val="0"/>
            <w:vAlign w:val="center"/>
          </w:tcPr>
          <w:p w14:paraId="7A20ADF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14:paraId="7986F78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7455" w:type="dxa"/>
            <w:gridSpan w:val="2"/>
            <w:tcBorders>
              <w:left w:val="single" w:color="000000" w:sz="6" w:space="0"/>
              <w:bottom w:val="single" w:color="000000" w:sz="6" w:space="0"/>
            </w:tcBorders>
            <w:noWrap w:val="0"/>
            <w:vAlign w:val="center"/>
          </w:tcPr>
          <w:p w14:paraId="19CAB34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质量指标</w:t>
            </w:r>
          </w:p>
        </w:tc>
      </w:tr>
      <w:tr w14:paraId="1CEDA7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vMerge w:val="continue"/>
            <w:tcBorders>
              <w:top w:val="nil"/>
              <w:bottom w:val="single" w:color="000000" w:sz="6" w:space="0"/>
              <w:right w:val="single" w:color="000000" w:sz="6" w:space="0"/>
            </w:tcBorders>
            <w:noWrap w:val="0"/>
            <w:vAlign w:val="center"/>
          </w:tcPr>
          <w:p w14:paraId="7F1A09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4B0BEEC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w:t>
            </w:r>
          </w:p>
        </w:tc>
        <w:tc>
          <w:tcPr>
            <w:tcW w:w="3716" w:type="dxa"/>
            <w:tcBorders>
              <w:top w:val="single" w:color="000000" w:sz="6" w:space="0"/>
              <w:left w:val="single" w:color="000000" w:sz="6" w:space="0"/>
              <w:bottom w:val="single" w:color="000000" w:sz="6" w:space="0"/>
            </w:tcBorders>
            <w:noWrap w:val="0"/>
            <w:vAlign w:val="center"/>
          </w:tcPr>
          <w:p w14:paraId="58A0FE5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w:t>
            </w:r>
          </w:p>
        </w:tc>
      </w:tr>
      <w:tr w14:paraId="2644DFF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256" w:type="dxa"/>
            <w:tcBorders>
              <w:top w:val="single" w:color="000000" w:sz="6" w:space="0"/>
              <w:bottom w:val="single" w:color="000000" w:sz="6" w:space="0"/>
              <w:right w:val="single" w:color="000000" w:sz="6" w:space="0"/>
            </w:tcBorders>
            <w:noWrap w:val="0"/>
            <w:vAlign w:val="center"/>
          </w:tcPr>
          <w:p w14:paraId="07BD5C7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色泽</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罗维朋比色槽 25.4mm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528A01A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黄15  红1.5</w:t>
            </w:r>
          </w:p>
        </w:tc>
        <w:tc>
          <w:tcPr>
            <w:tcW w:w="3716" w:type="dxa"/>
            <w:tcBorders>
              <w:top w:val="single" w:color="000000" w:sz="6" w:space="0"/>
              <w:left w:val="single" w:color="000000" w:sz="6" w:space="0"/>
              <w:bottom w:val="single" w:color="000000" w:sz="6" w:space="0"/>
            </w:tcBorders>
            <w:noWrap w:val="0"/>
            <w:vAlign w:val="center"/>
          </w:tcPr>
          <w:p w14:paraId="19E5649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黄25  红4.0</w:t>
            </w:r>
          </w:p>
        </w:tc>
      </w:tr>
      <w:tr w14:paraId="1EF2EC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2256" w:type="dxa"/>
            <w:tcBorders>
              <w:top w:val="single" w:color="000000" w:sz="6" w:space="0"/>
              <w:bottom w:val="single" w:color="000000" w:sz="6" w:space="0"/>
              <w:right w:val="single" w:color="000000" w:sz="6" w:space="0"/>
            </w:tcBorders>
            <w:noWrap w:val="0"/>
            <w:vAlign w:val="center"/>
          </w:tcPr>
          <w:p w14:paraId="6681A5B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气味、滋味</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8660AEF">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具有花生油固有的香味和滋味，无异味。</w:t>
            </w:r>
          </w:p>
        </w:tc>
        <w:tc>
          <w:tcPr>
            <w:tcW w:w="3716" w:type="dxa"/>
            <w:tcBorders>
              <w:top w:val="single" w:color="000000" w:sz="6" w:space="0"/>
              <w:left w:val="single" w:color="000000" w:sz="6" w:space="0"/>
              <w:bottom w:val="single" w:color="000000" w:sz="6" w:space="0"/>
            </w:tcBorders>
            <w:noWrap w:val="0"/>
            <w:vAlign w:val="center"/>
          </w:tcPr>
          <w:p w14:paraId="2239630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具有花生油固有的香味和滋味，无异味。</w:t>
            </w:r>
          </w:p>
        </w:tc>
      </w:tr>
      <w:tr w14:paraId="7104DC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1F58FBC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透明度</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6768AD6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澄清、透明</w:t>
            </w:r>
          </w:p>
        </w:tc>
        <w:tc>
          <w:tcPr>
            <w:tcW w:w="3716" w:type="dxa"/>
            <w:tcBorders>
              <w:top w:val="single" w:color="000000" w:sz="6" w:space="0"/>
              <w:left w:val="single" w:color="000000" w:sz="6" w:space="0"/>
              <w:bottom w:val="single" w:color="000000" w:sz="6" w:space="0"/>
            </w:tcBorders>
            <w:noWrap w:val="0"/>
            <w:vAlign w:val="center"/>
          </w:tcPr>
          <w:p w14:paraId="4FEF978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澄清、透明</w:t>
            </w:r>
          </w:p>
        </w:tc>
      </w:tr>
      <w:tr w14:paraId="0E80D5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6" w:hRule="atLeast"/>
          <w:jc w:val="center"/>
        </w:trPr>
        <w:tc>
          <w:tcPr>
            <w:tcW w:w="2256" w:type="dxa"/>
            <w:tcBorders>
              <w:top w:val="single" w:color="000000" w:sz="6" w:space="0"/>
              <w:bottom w:val="single" w:color="000000" w:sz="6" w:space="0"/>
              <w:right w:val="single" w:color="000000" w:sz="6" w:space="0"/>
            </w:tcBorders>
            <w:noWrap w:val="0"/>
            <w:vAlign w:val="center"/>
          </w:tcPr>
          <w:p w14:paraId="293DB0D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水分及挥发物</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73EAC0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0.10</w:t>
            </w:r>
          </w:p>
        </w:tc>
        <w:tc>
          <w:tcPr>
            <w:tcW w:w="3716" w:type="dxa"/>
            <w:tcBorders>
              <w:top w:val="single" w:color="000000" w:sz="6" w:space="0"/>
              <w:left w:val="single" w:color="000000" w:sz="6" w:space="0"/>
              <w:bottom w:val="single" w:color="000000" w:sz="6" w:space="0"/>
            </w:tcBorders>
            <w:noWrap w:val="0"/>
            <w:vAlign w:val="center"/>
          </w:tcPr>
          <w:p w14:paraId="660164F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0.15</w:t>
            </w:r>
          </w:p>
        </w:tc>
      </w:tr>
      <w:tr w14:paraId="09E12F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38E6EEDD">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不溶性杂质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79F8DA0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3716" w:type="dxa"/>
            <w:tcBorders>
              <w:top w:val="single" w:color="000000" w:sz="6" w:space="0"/>
              <w:left w:val="single" w:color="000000" w:sz="6" w:space="0"/>
              <w:bottom w:val="single" w:color="000000" w:sz="6" w:space="0"/>
            </w:tcBorders>
            <w:noWrap w:val="0"/>
            <w:vAlign w:val="center"/>
          </w:tcPr>
          <w:p w14:paraId="4A5EF66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607BF9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125F9BF4">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酸值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KOH</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mg/g</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3D35867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716" w:type="dxa"/>
            <w:tcBorders>
              <w:top w:val="single" w:color="000000" w:sz="6" w:space="0"/>
              <w:left w:val="single" w:color="000000" w:sz="6" w:space="0"/>
              <w:bottom w:val="single" w:color="000000" w:sz="6" w:space="0"/>
            </w:tcBorders>
            <w:noWrap w:val="0"/>
            <w:vAlign w:val="center"/>
          </w:tcPr>
          <w:p w14:paraId="208EA63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r>
      <w:tr w14:paraId="05F3FD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9" w:hRule="atLeast"/>
          <w:jc w:val="center"/>
        </w:trPr>
        <w:tc>
          <w:tcPr>
            <w:tcW w:w="2256" w:type="dxa"/>
            <w:tcBorders>
              <w:top w:val="single" w:color="000000" w:sz="6" w:space="0"/>
              <w:bottom w:val="single" w:color="000000" w:sz="6" w:space="0"/>
              <w:right w:val="single" w:color="000000" w:sz="6" w:space="0"/>
            </w:tcBorders>
            <w:noWrap w:val="0"/>
            <w:vAlign w:val="center"/>
          </w:tcPr>
          <w:p w14:paraId="74C381F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过氧化值/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mmol/g</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BC63EB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c>
          <w:tcPr>
            <w:tcW w:w="3716" w:type="dxa"/>
            <w:tcBorders>
              <w:top w:val="single" w:color="000000" w:sz="6" w:space="0"/>
              <w:left w:val="single" w:color="000000" w:sz="6" w:space="0"/>
              <w:bottom w:val="single" w:color="000000" w:sz="6" w:space="0"/>
            </w:tcBorders>
            <w:noWrap w:val="0"/>
            <w:vAlign w:val="center"/>
          </w:tcPr>
          <w:p w14:paraId="65523B3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7.5</w:t>
            </w:r>
          </w:p>
        </w:tc>
      </w:tr>
      <w:tr w14:paraId="695E38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256" w:type="dxa"/>
            <w:tcBorders>
              <w:top w:val="single" w:color="000000" w:sz="6" w:space="0"/>
              <w:bottom w:val="single" w:color="000000" w:sz="6" w:space="0"/>
              <w:right w:val="single" w:color="000000" w:sz="6" w:space="0"/>
            </w:tcBorders>
            <w:noWrap w:val="0"/>
            <w:vAlign w:val="center"/>
          </w:tcPr>
          <w:p w14:paraId="5A61F42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溶剂残留量/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mg/kg</w:t>
            </w:r>
            <w:r>
              <w:rPr>
                <w:rFonts w:hint="eastAsia" w:ascii="宋体" w:hAnsi="宋体" w:eastAsia="宋体" w:cs="宋体"/>
                <w:color w:val="auto"/>
                <w:szCs w:val="21"/>
                <w:highlight w:val="none"/>
                <w:lang w:eastAsia="zh-CN"/>
              </w:rPr>
              <w:t>）</w:t>
            </w:r>
          </w:p>
        </w:tc>
        <w:tc>
          <w:tcPr>
            <w:tcW w:w="3739" w:type="dxa"/>
            <w:tcBorders>
              <w:top w:val="single" w:color="000000" w:sz="6" w:space="0"/>
              <w:left w:val="single" w:color="000000" w:sz="6" w:space="0"/>
              <w:bottom w:val="single" w:color="000000" w:sz="6" w:space="0"/>
              <w:right w:val="single" w:color="000000" w:sz="6" w:space="0"/>
            </w:tcBorders>
            <w:noWrap w:val="0"/>
            <w:vAlign w:val="center"/>
          </w:tcPr>
          <w:p w14:paraId="2C499F1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不得检出</w:t>
            </w:r>
          </w:p>
        </w:tc>
        <w:tc>
          <w:tcPr>
            <w:tcW w:w="3716" w:type="dxa"/>
            <w:tcBorders>
              <w:top w:val="single" w:color="000000" w:sz="6" w:space="0"/>
              <w:left w:val="single" w:color="000000" w:sz="6" w:space="0"/>
              <w:bottom w:val="single" w:color="000000" w:sz="6" w:space="0"/>
            </w:tcBorders>
            <w:noWrap w:val="0"/>
            <w:vAlign w:val="center"/>
          </w:tcPr>
          <w:p w14:paraId="34FC39D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不得检出</w:t>
            </w:r>
          </w:p>
        </w:tc>
      </w:tr>
      <w:tr w14:paraId="5BA5EEF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31" w:hRule="atLeast"/>
          <w:jc w:val="center"/>
        </w:trPr>
        <w:tc>
          <w:tcPr>
            <w:tcW w:w="2256" w:type="dxa"/>
            <w:tcBorders>
              <w:top w:val="single" w:color="000000" w:sz="6" w:space="0"/>
              <w:right w:val="single" w:color="000000" w:sz="6" w:space="0"/>
            </w:tcBorders>
            <w:noWrap w:val="0"/>
            <w:vAlign w:val="center"/>
          </w:tcPr>
          <w:p w14:paraId="58291E0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p>
          <w:p w14:paraId="7C4AD7A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加热试验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280℃</w:t>
            </w:r>
            <w:r>
              <w:rPr>
                <w:rFonts w:hint="eastAsia" w:ascii="宋体" w:hAnsi="宋体" w:eastAsia="宋体" w:cs="宋体"/>
                <w:color w:val="auto"/>
                <w:szCs w:val="21"/>
                <w:highlight w:val="none"/>
                <w:lang w:eastAsia="zh-CN"/>
              </w:rPr>
              <w:t>）</w:t>
            </w:r>
          </w:p>
        </w:tc>
        <w:tc>
          <w:tcPr>
            <w:tcW w:w="3739" w:type="dxa"/>
            <w:tcBorders>
              <w:top w:val="single" w:color="000000" w:sz="6" w:space="0"/>
              <w:left w:val="single" w:color="000000" w:sz="6" w:space="0"/>
              <w:right w:val="single" w:color="000000" w:sz="6" w:space="0"/>
            </w:tcBorders>
            <w:noWrap w:val="0"/>
            <w:vAlign w:val="center"/>
          </w:tcPr>
          <w:p w14:paraId="649081D9">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无析出物，罗维朋比色：黄色值不变，红色值增加小于0.4。</w:t>
            </w:r>
          </w:p>
        </w:tc>
        <w:tc>
          <w:tcPr>
            <w:tcW w:w="3716" w:type="dxa"/>
            <w:tcBorders>
              <w:top w:val="single" w:color="000000" w:sz="6" w:space="0"/>
              <w:left w:val="single" w:color="000000" w:sz="6" w:space="0"/>
            </w:tcBorders>
            <w:noWrap w:val="0"/>
            <w:vAlign w:val="center"/>
          </w:tcPr>
          <w:p w14:paraId="7B7D303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微量析出物，罗维朋比色：黄色值不变，红色值增加小于4.0，蓝色值增加小于0.5。</w:t>
            </w:r>
          </w:p>
        </w:tc>
      </w:tr>
    </w:tbl>
    <w:p w14:paraId="124ADBA5">
      <w:pP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浸出成品花生油质量指标</w:t>
      </w:r>
    </w:p>
    <w:tbl>
      <w:tblPr>
        <w:tblStyle w:val="46"/>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14:paraId="5AA9998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14:paraId="508E6AE7">
            <w:pPr>
              <w:pStyle w:val="307"/>
              <w:keepNext w:val="0"/>
              <w:keepLines w:val="0"/>
              <w:suppressLineNumbers w:val="0"/>
              <w:spacing w:before="1" w:beforeAutospacing="0" w:after="0" w:afterAutospacing="0"/>
              <w:ind w:left="0" w:right="0"/>
              <w:rPr>
                <w:rFonts w:hint="eastAsia" w:ascii="宋体" w:hAnsi="宋体" w:eastAsia="宋体" w:cs="宋体"/>
                <w:color w:val="auto"/>
                <w:szCs w:val="21"/>
                <w:highlight w:val="none"/>
              </w:rPr>
            </w:pPr>
          </w:p>
          <w:p w14:paraId="09DB9510">
            <w:pPr>
              <w:pStyle w:val="307"/>
              <w:keepNext w:val="0"/>
              <w:keepLines w:val="0"/>
              <w:suppressLineNumbers w:val="0"/>
              <w:spacing w:before="0" w:beforeAutospacing="0" w:after="0" w:afterAutospacing="0"/>
              <w:ind w:left="1001" w:right="1002"/>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w:t>
            </w:r>
          </w:p>
        </w:tc>
        <w:tc>
          <w:tcPr>
            <w:tcW w:w="7245" w:type="dxa"/>
            <w:gridSpan w:val="4"/>
            <w:tcBorders>
              <w:left w:val="single" w:color="000000" w:sz="6" w:space="0"/>
              <w:bottom w:val="single" w:color="000000" w:sz="6" w:space="0"/>
            </w:tcBorders>
            <w:noWrap w:val="0"/>
            <w:vAlign w:val="top"/>
          </w:tcPr>
          <w:p w14:paraId="55139261">
            <w:pPr>
              <w:pStyle w:val="307"/>
              <w:keepNext w:val="0"/>
              <w:keepLines w:val="0"/>
              <w:suppressLineNumbers w:val="0"/>
              <w:spacing w:before="79" w:beforeAutospacing="0" w:after="0" w:afterAutospacing="0"/>
              <w:ind w:left="1484" w:right="1473"/>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质量指标</w:t>
            </w:r>
          </w:p>
        </w:tc>
      </w:tr>
      <w:tr w14:paraId="6C957D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14:paraId="65397A1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3498CDB">
            <w:pPr>
              <w:pStyle w:val="307"/>
              <w:keepNext w:val="0"/>
              <w:keepLines w:val="0"/>
              <w:suppressLineNumbers w:val="0"/>
              <w:spacing w:before="92" w:beforeAutospacing="0" w:after="0" w:afterAutospacing="0"/>
              <w:ind w:left="417" w:right="38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2C44571">
            <w:pPr>
              <w:pStyle w:val="307"/>
              <w:keepNext w:val="0"/>
              <w:keepLines w:val="0"/>
              <w:suppressLineNumbers w:val="0"/>
              <w:spacing w:before="92" w:beforeAutospacing="0" w:after="0" w:afterAutospacing="0"/>
              <w:ind w:left="417" w:right="383"/>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A1EF9CC">
            <w:pPr>
              <w:pStyle w:val="307"/>
              <w:keepNext w:val="0"/>
              <w:keepLines w:val="0"/>
              <w:suppressLineNumbers w:val="0"/>
              <w:spacing w:before="92" w:beforeAutospacing="0" w:after="0" w:afterAutospacing="0"/>
              <w:ind w:left="357"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14:paraId="6A6590DE">
            <w:pPr>
              <w:pStyle w:val="307"/>
              <w:keepNext w:val="0"/>
              <w:keepLines w:val="0"/>
              <w:suppressLineNumbers w:val="0"/>
              <w:spacing w:before="92" w:beforeAutospacing="0" w:after="0" w:afterAutospacing="0"/>
              <w:ind w:left="0" w:right="796"/>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四极</w:t>
            </w:r>
          </w:p>
        </w:tc>
      </w:tr>
      <w:tr w14:paraId="2DA8286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7238E695">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罗维朋比色槽 25.4mm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3D958C6">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8CD4D6A">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AD64E81">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14:paraId="0DF08D73">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黄25红4.0</w:t>
            </w:r>
          </w:p>
        </w:tc>
      </w:tr>
      <w:tr w14:paraId="0A5884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14:paraId="1DEF5844">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罗维朋比色槽 133.4mm</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34BC191">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F902255">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D76E855">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0FB02541">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0F1A08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55EB3375">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14:paraId="584ADCA1">
            <w:pPr>
              <w:pStyle w:val="307"/>
              <w:keepNext w:val="0"/>
              <w:keepLines w:val="0"/>
              <w:suppressLineNumbers w:val="0"/>
              <w:spacing w:before="3"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无气味、口感好，具有花生油固有的气味和滋味，无异味</w:t>
            </w:r>
          </w:p>
        </w:tc>
      </w:tr>
      <w:tr w14:paraId="05A559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1573FE5">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3084FF4">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ACB0AFE">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4A50621">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7FEF8212">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r>
      <w:tr w14:paraId="345552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1A24078F">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水分及挥发物/</w:t>
            </w:r>
            <w:r>
              <w:rPr>
                <w:rFonts w:hint="eastAsia"/>
                <w:color w:val="auto"/>
                <w:szCs w:val="21"/>
                <w:highlight w:val="none"/>
                <w:lang w:eastAsia="zh-CN"/>
              </w:rPr>
              <w:t>（</w:t>
            </w:r>
            <w:r>
              <w:rPr>
                <w:rFonts w:hint="default"/>
                <w:color w:val="auto"/>
                <w:szCs w:val="21"/>
                <w:highlight w:val="none"/>
              </w:rPr>
              <w:t>%</w:t>
            </w:r>
            <w:r>
              <w:rPr>
                <w:rFonts w:hint="eastAsia"/>
                <w:color w:val="auto"/>
                <w:szCs w:val="21"/>
                <w:highlight w:val="none"/>
                <w:lang w:eastAsia="zh-CN"/>
              </w:rPr>
              <w:t>）</w:t>
            </w: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890433D">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9645837">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5738FB8D">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14:paraId="64E85D63">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0.20</w:t>
            </w:r>
          </w:p>
        </w:tc>
      </w:tr>
      <w:tr w14:paraId="7BB917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98767F1">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不溶性杂质/</w:t>
            </w:r>
            <w:r>
              <w:rPr>
                <w:rFonts w:hint="eastAsia"/>
                <w:color w:val="auto"/>
                <w:szCs w:val="21"/>
                <w:highlight w:val="none"/>
                <w:lang w:eastAsia="zh-CN"/>
              </w:rPr>
              <w:t>（</w:t>
            </w:r>
            <w:r>
              <w:rPr>
                <w:rFonts w:hint="default"/>
                <w:color w:val="auto"/>
                <w:szCs w:val="21"/>
                <w:highlight w:val="none"/>
              </w:rPr>
              <w:t>%</w:t>
            </w:r>
            <w:r>
              <w:rPr>
                <w:rFonts w:hint="eastAsia"/>
                <w:color w:val="auto"/>
                <w:szCs w:val="21"/>
                <w:highlight w:val="none"/>
                <w:lang w:eastAsia="zh-CN"/>
              </w:rPr>
              <w:t>）</w:t>
            </w: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6979236">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762E96D">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9E0277C">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14:paraId="4BC4FDE6">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0.05</w:t>
            </w:r>
          </w:p>
        </w:tc>
      </w:tr>
      <w:tr w14:paraId="2B1FE68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D87C7FE">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酸值</w:t>
            </w:r>
            <w:r>
              <w:rPr>
                <w:rFonts w:hint="eastAsia"/>
                <w:color w:val="auto"/>
                <w:szCs w:val="21"/>
                <w:highlight w:val="none"/>
                <w:lang w:eastAsia="zh-CN"/>
              </w:rPr>
              <w:t>（</w:t>
            </w:r>
            <w:r>
              <w:rPr>
                <w:rFonts w:hint="default"/>
                <w:color w:val="auto"/>
                <w:szCs w:val="21"/>
                <w:highlight w:val="none"/>
              </w:rPr>
              <w:t>KOH</w:t>
            </w:r>
            <w:r>
              <w:rPr>
                <w:rFonts w:hint="eastAsia"/>
                <w:color w:val="auto"/>
                <w:szCs w:val="21"/>
                <w:highlight w:val="none"/>
                <w:lang w:eastAsia="zh-CN"/>
              </w:rPr>
              <w:t>）</w:t>
            </w:r>
            <w:r>
              <w:rPr>
                <w:rFonts w:hint="default"/>
                <w:color w:val="auto"/>
                <w:szCs w:val="21"/>
                <w:highlight w:val="none"/>
              </w:rPr>
              <w:t>/</w:t>
            </w:r>
            <w:r>
              <w:rPr>
                <w:rFonts w:hint="eastAsia"/>
                <w:color w:val="auto"/>
                <w:szCs w:val="21"/>
                <w:highlight w:val="none"/>
                <w:lang w:eastAsia="zh-CN"/>
              </w:rPr>
              <w:t>（</w:t>
            </w:r>
            <w:r>
              <w:rPr>
                <w:rFonts w:hint="default"/>
                <w:color w:val="auto"/>
                <w:szCs w:val="21"/>
                <w:highlight w:val="none"/>
              </w:rPr>
              <w:t>mg/g</w:t>
            </w:r>
            <w:r>
              <w:rPr>
                <w:rFonts w:hint="eastAsia"/>
                <w:color w:val="auto"/>
                <w:szCs w:val="21"/>
                <w:highlight w:val="none"/>
                <w:lang w:eastAsia="zh-CN"/>
              </w:rPr>
              <w:t>）</w:t>
            </w: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457E6EC">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27E514E">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1F17CB1">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1.0</w:t>
            </w:r>
          </w:p>
        </w:tc>
        <w:tc>
          <w:tcPr>
            <w:tcW w:w="2070" w:type="dxa"/>
            <w:tcBorders>
              <w:top w:val="single" w:color="000000" w:sz="6" w:space="0"/>
              <w:left w:val="single" w:color="000000" w:sz="6" w:space="0"/>
              <w:bottom w:val="single" w:color="000000" w:sz="6" w:space="0"/>
            </w:tcBorders>
            <w:noWrap w:val="0"/>
            <w:vAlign w:val="top"/>
          </w:tcPr>
          <w:p w14:paraId="3EE8AAAC">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3.0</w:t>
            </w:r>
          </w:p>
        </w:tc>
      </w:tr>
      <w:tr w14:paraId="723D20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6A0F3496">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过氧化值/</w:t>
            </w:r>
            <w:r>
              <w:rPr>
                <w:rFonts w:hint="eastAsia"/>
                <w:color w:val="auto"/>
                <w:szCs w:val="21"/>
                <w:highlight w:val="none"/>
                <w:lang w:eastAsia="zh-CN"/>
              </w:rPr>
              <w:t>（</w:t>
            </w:r>
            <w:r>
              <w:rPr>
                <w:rFonts w:hint="default"/>
                <w:color w:val="auto"/>
                <w:szCs w:val="21"/>
                <w:highlight w:val="none"/>
              </w:rPr>
              <w:t>mmol/g</w:t>
            </w:r>
            <w:r>
              <w:rPr>
                <w:rFonts w:hint="eastAsia"/>
                <w:color w:val="auto"/>
                <w:szCs w:val="21"/>
                <w:highlight w:val="none"/>
                <w:lang w:eastAsia="zh-CN"/>
              </w:rPr>
              <w:t>）</w:t>
            </w: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B9767F2">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67FA391">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0631F713">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7.5</w:t>
            </w:r>
          </w:p>
        </w:tc>
        <w:tc>
          <w:tcPr>
            <w:tcW w:w="2070" w:type="dxa"/>
            <w:tcBorders>
              <w:top w:val="single" w:color="000000" w:sz="6" w:space="0"/>
              <w:left w:val="single" w:color="000000" w:sz="6" w:space="0"/>
              <w:bottom w:val="single" w:color="000000" w:sz="6" w:space="0"/>
            </w:tcBorders>
            <w:noWrap w:val="0"/>
            <w:vAlign w:val="top"/>
          </w:tcPr>
          <w:p w14:paraId="2AEB613D">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7.5</w:t>
            </w:r>
          </w:p>
        </w:tc>
      </w:tr>
      <w:tr w14:paraId="142312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14:paraId="6853B1B4">
            <w:pPr>
              <w:pStyle w:val="307"/>
              <w:keepNext w:val="0"/>
              <w:keepLines w:val="0"/>
              <w:suppressLineNumbers w:val="0"/>
              <w:spacing w:before="3" w:beforeAutospacing="0" w:after="0" w:afterAutospacing="0"/>
              <w:ind w:left="0" w:right="0"/>
              <w:rPr>
                <w:rFonts w:hint="default"/>
                <w:color w:val="auto"/>
                <w:szCs w:val="21"/>
                <w:highlight w:val="none"/>
              </w:rPr>
            </w:pPr>
          </w:p>
          <w:p w14:paraId="34B48B11">
            <w:pPr>
              <w:pStyle w:val="307"/>
              <w:keepNext w:val="0"/>
              <w:keepLines w:val="0"/>
              <w:suppressLineNumbers w:val="0"/>
              <w:spacing w:before="3" w:beforeAutospacing="0" w:after="0" w:afterAutospacing="0"/>
              <w:ind w:left="0" w:right="0"/>
              <w:rPr>
                <w:rFonts w:hint="default"/>
                <w:color w:val="auto"/>
                <w:szCs w:val="21"/>
                <w:highlight w:val="none"/>
              </w:rPr>
            </w:pPr>
          </w:p>
          <w:p w14:paraId="742D7DC8">
            <w:pPr>
              <w:pStyle w:val="307"/>
              <w:keepNext w:val="0"/>
              <w:keepLines w:val="0"/>
              <w:suppressLineNumbers w:val="0"/>
              <w:spacing w:before="3" w:beforeAutospacing="0" w:after="0" w:afterAutospacing="0"/>
              <w:ind w:left="0" w:right="0"/>
              <w:rPr>
                <w:rFonts w:hint="eastAsia" w:eastAsia="宋体"/>
                <w:color w:val="auto"/>
                <w:szCs w:val="21"/>
                <w:highlight w:val="none"/>
                <w:lang w:eastAsia="zh-CN"/>
              </w:rPr>
            </w:pPr>
            <w:r>
              <w:rPr>
                <w:rFonts w:hint="default"/>
                <w:color w:val="auto"/>
                <w:szCs w:val="21"/>
                <w:highlight w:val="none"/>
              </w:rPr>
              <w:t>加热试验</w:t>
            </w:r>
            <w:r>
              <w:rPr>
                <w:rFonts w:hint="eastAsia"/>
                <w:color w:val="auto"/>
                <w:szCs w:val="21"/>
                <w:highlight w:val="none"/>
                <w:lang w:eastAsia="zh-CN"/>
              </w:rPr>
              <w:t>（</w:t>
            </w:r>
            <w:r>
              <w:rPr>
                <w:rFonts w:hint="default"/>
                <w:color w:val="auto"/>
                <w:szCs w:val="21"/>
                <w:highlight w:val="none"/>
              </w:rPr>
              <w:t>280℃</w:t>
            </w:r>
            <w:r>
              <w:rPr>
                <w:rFonts w:hint="eastAsia"/>
                <w:color w:val="auto"/>
                <w:szCs w:val="21"/>
                <w:highlight w:val="none"/>
                <w:lang w:eastAsia="zh-CN"/>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98C2AF3">
            <w:pPr>
              <w:pStyle w:val="307"/>
              <w:keepNext w:val="0"/>
              <w:keepLines w:val="0"/>
              <w:suppressLineNumbers w:val="0"/>
              <w:spacing w:before="3" w:beforeAutospacing="0" w:after="0" w:afterAutospacing="0"/>
              <w:ind w:left="0" w:right="0"/>
              <w:rPr>
                <w:rFonts w:hint="default"/>
                <w:color w:val="auto"/>
                <w:szCs w:val="21"/>
                <w:highlight w:val="none"/>
              </w:rPr>
            </w:pPr>
          </w:p>
          <w:p w14:paraId="13D1A4B8">
            <w:pPr>
              <w:pStyle w:val="307"/>
              <w:keepNext w:val="0"/>
              <w:keepLines w:val="0"/>
              <w:suppressLineNumbers w:val="0"/>
              <w:spacing w:before="3" w:beforeAutospacing="0" w:after="0" w:afterAutospacing="0"/>
              <w:ind w:left="0" w:right="0"/>
              <w:rPr>
                <w:rFonts w:hint="default"/>
                <w:color w:val="auto"/>
                <w:szCs w:val="21"/>
                <w:highlight w:val="none"/>
              </w:rPr>
            </w:pPr>
          </w:p>
          <w:p w14:paraId="1D5AE719">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8B88CDB">
            <w:pPr>
              <w:pStyle w:val="307"/>
              <w:keepNext w:val="0"/>
              <w:keepLines w:val="0"/>
              <w:suppressLineNumbers w:val="0"/>
              <w:spacing w:before="3" w:beforeAutospacing="0" w:after="0" w:afterAutospacing="0"/>
              <w:ind w:left="0" w:right="0"/>
              <w:rPr>
                <w:rFonts w:hint="default"/>
                <w:color w:val="auto"/>
                <w:szCs w:val="21"/>
                <w:highlight w:val="none"/>
              </w:rPr>
            </w:pPr>
          </w:p>
          <w:p w14:paraId="5DFF0202">
            <w:pPr>
              <w:pStyle w:val="307"/>
              <w:keepNext w:val="0"/>
              <w:keepLines w:val="0"/>
              <w:suppressLineNumbers w:val="0"/>
              <w:spacing w:before="3" w:beforeAutospacing="0" w:after="0" w:afterAutospacing="0"/>
              <w:ind w:left="0" w:right="0"/>
              <w:rPr>
                <w:rFonts w:hint="default"/>
                <w:color w:val="auto"/>
                <w:szCs w:val="21"/>
                <w:highlight w:val="none"/>
              </w:rPr>
            </w:pPr>
          </w:p>
          <w:p w14:paraId="14254D9E">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A3F334E">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14:paraId="409DA8AB">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微量析出物，罗维朋比色：黄色值不变，红色值增加小于4.0，蓝色值增加小于0.5</w:t>
            </w:r>
          </w:p>
        </w:tc>
      </w:tr>
      <w:tr w14:paraId="3AE236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4DB34F73">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含皂量/</w:t>
            </w:r>
            <w:r>
              <w:rPr>
                <w:rFonts w:hint="eastAsia"/>
                <w:color w:val="auto"/>
                <w:szCs w:val="21"/>
                <w:highlight w:val="none"/>
                <w:lang w:eastAsia="zh-CN"/>
              </w:rPr>
              <w:t>（</w:t>
            </w:r>
            <w:r>
              <w:rPr>
                <w:rFonts w:hint="default"/>
                <w:color w:val="auto"/>
                <w:szCs w:val="21"/>
                <w:highlight w:val="none"/>
              </w:rPr>
              <w:t>%</w:t>
            </w:r>
            <w:r>
              <w:rPr>
                <w:rFonts w:hint="eastAsia"/>
                <w:color w:val="auto"/>
                <w:szCs w:val="21"/>
                <w:highlight w:val="none"/>
                <w:lang w:eastAsia="zh-CN"/>
              </w:rPr>
              <w:t>）</w:t>
            </w: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1A5AC2A7">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695D57F9">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34DABB01">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14:paraId="213B30D0">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r>
      <w:tr w14:paraId="25D0A0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14:paraId="20CBA1DD">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73B30DB1">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4303AA8C">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14:paraId="2045C015">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c>
          <w:tcPr>
            <w:tcW w:w="2070" w:type="dxa"/>
            <w:tcBorders>
              <w:top w:val="single" w:color="000000" w:sz="6" w:space="0"/>
              <w:left w:val="single" w:color="000000" w:sz="6" w:space="0"/>
              <w:bottom w:val="single" w:color="000000" w:sz="6" w:space="0"/>
            </w:tcBorders>
            <w:noWrap w:val="0"/>
            <w:vAlign w:val="top"/>
          </w:tcPr>
          <w:p w14:paraId="0AA8B343">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w:t>
            </w:r>
          </w:p>
        </w:tc>
      </w:tr>
      <w:tr w14:paraId="732D3F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14:paraId="7197F8B6">
            <w:pPr>
              <w:pStyle w:val="307"/>
              <w:keepNext w:val="0"/>
              <w:keepLines w:val="0"/>
              <w:suppressLineNumbers w:val="0"/>
              <w:spacing w:before="3" w:beforeAutospacing="0" w:after="0" w:afterAutospacing="0"/>
              <w:ind w:left="0" w:right="0"/>
              <w:rPr>
                <w:rFonts w:hint="eastAsia" w:eastAsia="宋体"/>
                <w:color w:val="auto"/>
                <w:szCs w:val="21"/>
                <w:highlight w:val="none"/>
                <w:lang w:eastAsia="zh-CN"/>
              </w:rPr>
            </w:pPr>
            <w:r>
              <w:rPr>
                <w:rFonts w:hint="default"/>
                <w:color w:val="auto"/>
                <w:szCs w:val="21"/>
                <w:highlight w:val="none"/>
              </w:rPr>
              <w:t>溶剂残留量/</w:t>
            </w:r>
            <w:r>
              <w:rPr>
                <w:rFonts w:hint="eastAsia"/>
                <w:color w:val="auto"/>
                <w:szCs w:val="21"/>
                <w:highlight w:val="none"/>
                <w:lang w:eastAsia="zh-CN"/>
              </w:rPr>
              <w:t>（</w:t>
            </w:r>
            <w:r>
              <w:rPr>
                <w:rFonts w:hint="default"/>
                <w:color w:val="auto"/>
                <w:szCs w:val="21"/>
                <w:highlight w:val="none"/>
              </w:rPr>
              <w:t>mg／kg</w:t>
            </w:r>
            <w:r>
              <w:rPr>
                <w:rFonts w:hint="eastAsia"/>
                <w:color w:val="auto"/>
                <w:szCs w:val="21"/>
                <w:highlight w:val="none"/>
                <w:lang w:eastAsia="zh-CN"/>
              </w:rPr>
              <w:t>）</w:t>
            </w:r>
          </w:p>
        </w:tc>
        <w:tc>
          <w:tcPr>
            <w:tcW w:w="1725" w:type="dxa"/>
            <w:tcBorders>
              <w:top w:val="single" w:color="000000" w:sz="6" w:space="0"/>
              <w:left w:val="single" w:color="000000" w:sz="6" w:space="0"/>
              <w:right w:val="single" w:color="000000" w:sz="6" w:space="0"/>
            </w:tcBorders>
            <w:noWrap w:val="0"/>
            <w:vAlign w:val="top"/>
          </w:tcPr>
          <w:p w14:paraId="05D096AC">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3BC29B17">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14:paraId="593E8857">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≤50</w:t>
            </w:r>
          </w:p>
        </w:tc>
        <w:tc>
          <w:tcPr>
            <w:tcW w:w="2070" w:type="dxa"/>
            <w:tcBorders>
              <w:top w:val="single" w:color="000000" w:sz="6" w:space="0"/>
              <w:left w:val="single" w:color="000000" w:sz="6" w:space="0"/>
            </w:tcBorders>
            <w:noWrap w:val="0"/>
            <w:vAlign w:val="top"/>
          </w:tcPr>
          <w:p w14:paraId="6F5E65D4">
            <w:pPr>
              <w:pStyle w:val="307"/>
              <w:keepNext w:val="0"/>
              <w:keepLines w:val="0"/>
              <w:suppressLineNumbers w:val="0"/>
              <w:spacing w:before="3" w:beforeAutospacing="0" w:after="0" w:afterAutospacing="0"/>
              <w:ind w:left="0" w:right="0"/>
              <w:rPr>
                <w:rFonts w:hint="default"/>
                <w:color w:val="auto"/>
                <w:szCs w:val="21"/>
                <w:highlight w:val="none"/>
              </w:rPr>
            </w:pPr>
            <w:r>
              <w:rPr>
                <w:rFonts w:hint="default"/>
                <w:color w:val="auto"/>
                <w:szCs w:val="21"/>
                <w:highlight w:val="none"/>
              </w:rPr>
              <w:t>≤50</w:t>
            </w:r>
          </w:p>
        </w:tc>
      </w:tr>
    </w:tbl>
    <w:p w14:paraId="5B1E3EE2">
      <w:pPr>
        <w:snapToGrid w:val="0"/>
        <w:spacing w:line="360" w:lineRule="auto"/>
        <w:rPr>
          <w:rFonts w:hint="eastAsia" w:ascii="宋体" w:hAnsi="宋体"/>
          <w:b/>
          <w:color w:val="auto"/>
          <w:highlight w:val="none"/>
          <w:lang w:val="en-US" w:eastAsia="zh-CN"/>
        </w:rPr>
      </w:pPr>
      <w:r>
        <w:rPr>
          <w:rFonts w:hint="eastAsia" w:ascii="宋体" w:hAnsi="宋体"/>
          <w:b/>
          <w:color w:val="auto"/>
          <w:highlight w:val="none"/>
          <w:lang w:val="en-US" w:eastAsia="zh-CN"/>
        </w:rPr>
        <w:t>3.蛋类</w:t>
      </w:r>
    </w:p>
    <w:p w14:paraId="5115A75D">
      <w:pPr>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鲜蛋的食品安全指标。应符合 GB 2749 的规定，感官指标不低于国家有关食品质量标准的二级指标要求，应保证新鲜。</w:t>
      </w:r>
    </w:p>
    <w:p w14:paraId="190A2D52">
      <w:pPr>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具有禽蛋固有的色泽，组织形态蛋壳清洁、无破裂、整齐、光滑、无明显破损、颜色应均匀、无异色或斑点，蛋壳表面不应有明显沾污或异物。</w:t>
      </w:r>
    </w:p>
    <w:p w14:paraId="2A30C15C">
      <w:pPr>
        <w:snapToGrid w:val="0"/>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打开后蛋壳凸起、完整、有韧性，蛋白应呈凝固状、无明显液态或杂质、稀稠分明，蛋黄应呈橙黄色且形状完整，蛋黄与蛋白之间应有明显的分界，具有产品固有的气味，无异味，无杂质，不得有血块及其他鸡组织异物。</w:t>
      </w:r>
    </w:p>
    <w:p w14:paraId="0049340B">
      <w:pPr>
        <w:snapToGrid w:val="0"/>
        <w:spacing w:line="360" w:lineRule="auto"/>
        <w:rPr>
          <w:rFonts w:hint="eastAsia" w:ascii="宋体" w:hAnsi="宋体"/>
          <w:b/>
          <w:bCs w:val="0"/>
          <w:color w:val="auto"/>
          <w:highlight w:val="none"/>
        </w:rPr>
      </w:pP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w:t>
      </w:r>
      <w:r>
        <w:rPr>
          <w:rFonts w:hint="eastAsia" w:ascii="宋体" w:hAnsi="宋体"/>
          <w:b/>
          <w:bCs w:val="0"/>
          <w:color w:val="auto"/>
          <w:highlight w:val="none"/>
        </w:rPr>
        <w:t>调味料</w:t>
      </w:r>
    </w:p>
    <w:p w14:paraId="0195C57C">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lang w:val="en-US" w:eastAsia="zh-CN"/>
        </w:rPr>
        <w:t>调味品的指标。不得含有人工合成着色剂，酱油、食醋应为酿造酱油和酿造食醋，不得供应配制酱油或食醋，其中酱油氨基酸态氮含量不得低于 0.7g/100mL。</w:t>
      </w:r>
    </w:p>
    <w:p w14:paraId="2BC39A2B">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1）酱油：酱油颜色比较红、亮、有光泽、透明，酱油倒在瓶子里摇一下，酱油产生的泡沫非常细腻，保持持久，挂碗现象非常好，有发黏的感觉。</w:t>
      </w:r>
    </w:p>
    <w:p w14:paraId="2EA24DE0">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2）味精：无色至白色结晶或粉末，应具有特殊的鲜味，无异味，无肉眼可见杂质。</w:t>
      </w:r>
    </w:p>
    <w:p w14:paraId="07B6F8FF">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3）酱类食品：应具有正常酿造酱的色泽、气味和滋味、不涩、无其他不良气味、不得有酸、苦、焦糊及其它异味、异物。</w:t>
      </w:r>
    </w:p>
    <w:p w14:paraId="71451CB1">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4）淀粉制品：应具有各自品种固有的形态和色泽、不酸、不粘、不发霉、无变质、无异味、无杂质、口尝无砂质。</w:t>
      </w:r>
    </w:p>
    <w:p w14:paraId="11E020A4">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5）食盐：结晶整齐一致、坚硬光滑，呈透明或半透明、不结块、无反卤吸潮现象、无杂质，沾取少许尝试具有纯正的咸味。</w:t>
      </w:r>
    </w:p>
    <w:p w14:paraId="47B91E8F">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14:paraId="6A425B08">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7）白砂糖：颗粒大如砂粒，晶粒均匀整齐，晶面明显，无碎末，糖质坚硬。</w:t>
      </w:r>
    </w:p>
    <w:p w14:paraId="664B1443">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8）绵白糖：颗粒细小而均匀，质地绵软、潮润。</w:t>
      </w:r>
    </w:p>
    <w:p w14:paraId="0485B62B">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14:paraId="609A7C01">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10）冰糖：块形完整，个粒均匀，结晶组织严密，透明或半透明，无破碎。</w:t>
      </w:r>
    </w:p>
    <w:p w14:paraId="25E104DF">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11）方糖：呈正六面体状，表面平整，无裂纹，铁边，断角，无突出砂粒，无霉斑。</w:t>
      </w:r>
    </w:p>
    <w:p w14:paraId="20144B89">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14:paraId="6EFAA93A">
      <w:pPr>
        <w:pStyle w:val="309"/>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13）辛辣料应呈干燥状，具有该种香料植物所特有的色、香、味，没有不纯正的气味和味道，无发霉味或其他异味。</w:t>
      </w:r>
    </w:p>
    <w:p w14:paraId="36E275E4">
      <w:pPr>
        <w:snapToGrid w:val="0"/>
        <w:spacing w:line="360" w:lineRule="auto"/>
        <w:rPr>
          <w:rFonts w:hint="default" w:ascii="宋体" w:hAnsi="宋体" w:cs="宋体" w:eastAsiaTheme="minorEastAsia"/>
          <w:b/>
          <w:bCs w:val="0"/>
          <w:color w:val="auto"/>
          <w:szCs w:val="21"/>
          <w:highlight w:val="none"/>
          <w:lang w:val="en-US" w:eastAsia="zh-CN"/>
        </w:rPr>
      </w:pPr>
      <w:r>
        <w:rPr>
          <w:rFonts w:hint="eastAsia" w:ascii="宋体" w:hAnsi="宋体" w:cs="宋体"/>
          <w:b/>
          <w:bCs w:val="0"/>
          <w:color w:val="auto"/>
          <w:szCs w:val="21"/>
          <w:highlight w:val="none"/>
          <w:lang w:val="en-US" w:eastAsia="zh-CN"/>
        </w:rPr>
        <w:t>5.</w:t>
      </w:r>
      <w:r>
        <w:rPr>
          <w:rFonts w:hint="eastAsia" w:ascii="宋体" w:hAnsi="宋体" w:eastAsia="宋体" w:cs="宋体"/>
          <w:b/>
          <w:bCs w:val="0"/>
          <w:color w:val="auto"/>
          <w:highlight w:val="none"/>
          <w:lang w:val="en-US" w:eastAsia="zh-CN"/>
        </w:rPr>
        <w:t>包点</w:t>
      </w:r>
    </w:p>
    <w:p w14:paraId="07CEF053">
      <w:pPr>
        <w:pStyle w:val="44"/>
        <w:spacing w:line="360" w:lineRule="auto"/>
        <w:ind w:left="0" w:leftChars="0" w:firstLine="420" w:firstLineChars="20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产品质量必须符合国家行业标准要求，有明确的商品标签，有生产日期、保质期、质量等级，不得有掺假、变质、变味、过期等现象出现，运输过程必须符合糕点运输的国家标准要求，送达目的地时糕点新鲜，外包装箱干爽，无软化现象等。</w:t>
      </w:r>
    </w:p>
    <w:p w14:paraId="7A6D0940">
      <w:pPr>
        <w:snapToGrid w:val="0"/>
        <w:spacing w:line="360" w:lineRule="auto"/>
        <w:rPr>
          <w:rFonts w:hint="default" w:ascii="宋体" w:hAnsi="宋体" w:cs="宋体" w:eastAsiaTheme="minorEastAsia"/>
          <w:b/>
          <w:bCs w:val="0"/>
          <w:color w:val="auto"/>
          <w:szCs w:val="21"/>
          <w:highlight w:val="none"/>
          <w:lang w:val="en-US" w:eastAsia="zh-CN"/>
        </w:rPr>
      </w:pPr>
      <w:r>
        <w:rPr>
          <w:rFonts w:hint="eastAsia" w:ascii="宋体" w:hAnsi="宋体" w:eastAsia="宋体" w:cs="宋体"/>
          <w:b/>
          <w:bCs w:val="0"/>
          <w:color w:val="auto"/>
          <w:highlight w:val="none"/>
          <w:lang w:val="en-US" w:eastAsia="zh-CN"/>
        </w:rPr>
        <w:t>6.面、米线类</w:t>
      </w:r>
    </w:p>
    <w:p w14:paraId="4E287451">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 xml:space="preserve">供应产品的质量要求： </w:t>
      </w:r>
    </w:p>
    <w:p w14:paraId="4984C1A0">
      <w:pPr>
        <w:snapToGrid w:val="0"/>
        <w:spacing w:line="360" w:lineRule="auto"/>
        <w:ind w:firstLine="420" w:firstLineChars="200"/>
        <w:rPr>
          <w:rFonts w:hint="eastAsia" w:ascii="宋体" w:hAnsi="宋体"/>
          <w:color w:val="auto"/>
          <w:highlight w:val="none"/>
        </w:rPr>
      </w:pPr>
      <w:r>
        <w:rPr>
          <w:rFonts w:hint="eastAsia" w:ascii="宋体" w:hAnsi="宋体" w:cs="宋体"/>
          <w:bCs/>
          <w:color w:val="auto"/>
          <w:szCs w:val="21"/>
          <w:highlight w:val="none"/>
        </w:rPr>
        <w:t>①</w:t>
      </w:r>
      <w:r>
        <w:rPr>
          <w:rFonts w:hint="eastAsia" w:ascii="宋体" w:hAnsi="宋体" w:cs="宋体"/>
          <w:bCs/>
          <w:color w:val="auto"/>
          <w:szCs w:val="21"/>
          <w:highlight w:val="none"/>
          <w:lang w:val="en-US" w:eastAsia="zh-CN"/>
        </w:rPr>
        <w:t>面、米线类</w:t>
      </w:r>
      <w:r>
        <w:rPr>
          <w:rFonts w:hint="eastAsia" w:ascii="宋体" w:hAnsi="宋体" w:cs="宋体"/>
          <w:bCs/>
          <w:color w:val="auto"/>
          <w:szCs w:val="21"/>
          <w:highlight w:val="none"/>
        </w:rPr>
        <w:t>货物必须符合卫生，不得有腐烂、变质、油脂酸败、霉变、生虫、污秽</w:t>
      </w:r>
      <w:r>
        <w:rPr>
          <w:rFonts w:hint="eastAsia" w:ascii="宋体" w:hAnsi="宋体" w:cs="宋体"/>
          <w:bCs/>
          <w:color w:val="auto"/>
          <w:szCs w:val="21"/>
          <w:highlight w:val="none"/>
          <w:lang w:eastAsia="zh-CN"/>
        </w:rPr>
        <w:t>不洁</w:t>
      </w:r>
      <w:r>
        <w:rPr>
          <w:rFonts w:hint="eastAsia" w:ascii="宋体" w:hAnsi="宋体" w:cs="宋体"/>
          <w:bCs/>
          <w:color w:val="auto"/>
          <w:szCs w:val="21"/>
          <w:highlight w:val="none"/>
        </w:rPr>
        <w:t>、混有异物</w:t>
      </w:r>
      <w:r>
        <w:rPr>
          <w:rFonts w:hint="eastAsia" w:ascii="宋体" w:hAnsi="宋体"/>
          <w:bCs/>
          <w:color w:val="auto"/>
          <w:highlight w:val="none"/>
        </w:rPr>
        <w:t>或者</w:t>
      </w:r>
      <w:r>
        <w:rPr>
          <w:rFonts w:hint="eastAsia" w:ascii="宋体" w:hAnsi="宋体"/>
          <w:color w:val="auto"/>
          <w:highlight w:val="none"/>
        </w:rPr>
        <w:t>其他感官性状异常，并可能对人体健康有害的物质。</w:t>
      </w:r>
    </w:p>
    <w:p w14:paraId="1E9C3441">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②</w:t>
      </w:r>
      <w:r>
        <w:rPr>
          <w:rFonts w:hint="eastAsia" w:ascii="宋体" w:hAnsi="宋体"/>
          <w:color w:val="auto"/>
          <w:highlight w:val="none"/>
          <w:lang w:val="en-US" w:eastAsia="zh-CN"/>
        </w:rPr>
        <w:t>面、米线类</w:t>
      </w:r>
      <w:r>
        <w:rPr>
          <w:rFonts w:hint="eastAsia" w:ascii="宋体" w:hAnsi="宋体"/>
          <w:color w:val="auto"/>
          <w:highlight w:val="none"/>
        </w:rPr>
        <w:t>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0FC69388">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tbl>
      <w:tblPr>
        <w:tblStyle w:val="46"/>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14:paraId="42D83B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14:paraId="4FFBD3B6">
            <w:pPr>
              <w:pStyle w:val="307"/>
              <w:keepNext w:val="0"/>
              <w:keepLines w:val="0"/>
              <w:suppressLineNumbers w:val="0"/>
              <w:spacing w:before="79" w:beforeAutospacing="0" w:after="0" w:afterAutospacing="0"/>
              <w:ind w:left="268" w:right="269"/>
              <w:jc w:val="center"/>
              <w:rPr>
                <w:rFonts w:hint="default"/>
                <w:b/>
                <w:color w:val="auto"/>
                <w:sz w:val="21"/>
                <w:szCs w:val="21"/>
                <w:highlight w:val="none"/>
              </w:rPr>
            </w:pPr>
            <w:r>
              <w:rPr>
                <w:rFonts w:hint="default"/>
                <w:b/>
                <w:color w:val="auto"/>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14:paraId="2C57821D">
            <w:pPr>
              <w:pStyle w:val="307"/>
              <w:keepNext w:val="0"/>
              <w:keepLines w:val="0"/>
              <w:suppressLineNumbers w:val="0"/>
              <w:spacing w:before="79" w:beforeAutospacing="0" w:after="0" w:afterAutospacing="0"/>
              <w:ind w:left="0" w:right="546"/>
              <w:jc w:val="center"/>
              <w:rPr>
                <w:rFonts w:hint="default"/>
                <w:b/>
                <w:color w:val="auto"/>
                <w:sz w:val="21"/>
                <w:szCs w:val="21"/>
                <w:highlight w:val="none"/>
              </w:rPr>
            </w:pPr>
            <w:r>
              <w:rPr>
                <w:rFonts w:hint="default"/>
                <w:b/>
                <w:color w:val="auto"/>
                <w:sz w:val="21"/>
                <w:szCs w:val="21"/>
                <w:highlight w:val="none"/>
              </w:rPr>
              <w:t>品名</w:t>
            </w:r>
          </w:p>
        </w:tc>
        <w:tc>
          <w:tcPr>
            <w:tcW w:w="7052" w:type="dxa"/>
            <w:tcBorders>
              <w:left w:val="single" w:color="000000" w:sz="6" w:space="0"/>
              <w:bottom w:val="single" w:color="000000" w:sz="6" w:space="0"/>
            </w:tcBorders>
            <w:noWrap w:val="0"/>
            <w:vAlign w:val="top"/>
          </w:tcPr>
          <w:p w14:paraId="2F761B5A">
            <w:pPr>
              <w:pStyle w:val="307"/>
              <w:keepNext w:val="0"/>
              <w:keepLines w:val="0"/>
              <w:suppressLineNumbers w:val="0"/>
              <w:spacing w:before="79" w:beforeAutospacing="0" w:after="0" w:afterAutospacing="0"/>
              <w:ind w:left="0" w:right="3434"/>
              <w:jc w:val="center"/>
              <w:rPr>
                <w:rFonts w:hint="default"/>
                <w:b/>
                <w:color w:val="auto"/>
                <w:sz w:val="21"/>
                <w:szCs w:val="21"/>
                <w:highlight w:val="none"/>
              </w:rPr>
            </w:pPr>
            <w:r>
              <w:rPr>
                <w:rFonts w:hint="default"/>
                <w:b/>
                <w:color w:val="auto"/>
                <w:sz w:val="21"/>
                <w:szCs w:val="21"/>
                <w:highlight w:val="none"/>
              </w:rPr>
              <w:t>质量描述</w:t>
            </w:r>
          </w:p>
        </w:tc>
      </w:tr>
      <w:tr w14:paraId="1FDBEBB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14:paraId="4CF19A10">
            <w:pPr>
              <w:pStyle w:val="307"/>
              <w:keepNext w:val="0"/>
              <w:keepLines w:val="0"/>
              <w:suppressLineNumbers w:val="0"/>
              <w:spacing w:before="3" w:beforeAutospacing="0" w:after="0" w:afterAutospacing="0"/>
              <w:ind w:left="0" w:right="0"/>
              <w:jc w:val="center"/>
              <w:rPr>
                <w:rFonts w:hint="eastAsia"/>
                <w:color w:val="auto"/>
                <w:szCs w:val="21"/>
                <w:highlight w:val="none"/>
              </w:rPr>
            </w:pPr>
          </w:p>
          <w:p w14:paraId="791B3AAD">
            <w:pPr>
              <w:pStyle w:val="307"/>
              <w:keepNext w:val="0"/>
              <w:keepLines w:val="0"/>
              <w:suppressLineNumbers w:val="0"/>
              <w:spacing w:before="3" w:beforeAutospacing="0" w:after="0" w:afterAutospacing="0"/>
              <w:ind w:left="0" w:right="0"/>
              <w:jc w:val="center"/>
              <w:rPr>
                <w:rFonts w:hint="eastAsia"/>
                <w:color w:val="auto"/>
                <w:szCs w:val="21"/>
                <w:highlight w:val="none"/>
                <w:lang w:val="en-US" w:eastAsia="zh-CN"/>
              </w:rPr>
            </w:pPr>
          </w:p>
          <w:p w14:paraId="6FA4220B">
            <w:pPr>
              <w:pStyle w:val="307"/>
              <w:keepNext w:val="0"/>
              <w:keepLines w:val="0"/>
              <w:suppressLineNumbers w:val="0"/>
              <w:spacing w:before="3"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14:paraId="0BED0C41">
            <w:pPr>
              <w:pStyle w:val="307"/>
              <w:keepNext w:val="0"/>
              <w:keepLines w:val="0"/>
              <w:suppressLineNumbers w:val="0"/>
              <w:spacing w:before="3" w:beforeAutospacing="0" w:after="0" w:afterAutospacing="0"/>
              <w:ind w:left="0" w:right="0"/>
              <w:jc w:val="center"/>
              <w:rPr>
                <w:rFonts w:hint="eastAsia"/>
                <w:color w:val="auto"/>
                <w:szCs w:val="21"/>
                <w:highlight w:val="none"/>
              </w:rPr>
            </w:pPr>
          </w:p>
          <w:p w14:paraId="105750D4">
            <w:pPr>
              <w:pStyle w:val="307"/>
              <w:keepNext w:val="0"/>
              <w:keepLines w:val="0"/>
              <w:suppressLineNumbers w:val="0"/>
              <w:spacing w:before="3" w:beforeAutospacing="0" w:after="0" w:afterAutospacing="0"/>
              <w:ind w:left="0" w:right="0"/>
              <w:jc w:val="center"/>
              <w:rPr>
                <w:rFonts w:hint="eastAsia"/>
                <w:color w:val="auto"/>
                <w:szCs w:val="21"/>
                <w:highlight w:val="none"/>
              </w:rPr>
            </w:pPr>
            <w:r>
              <w:rPr>
                <w:rFonts w:hint="eastAsia"/>
                <w:color w:val="auto"/>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14:paraId="2F2F6CDD">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高筋面粉达GB/T 8607-1988国家标准，质量等级一级；</w:t>
            </w:r>
          </w:p>
          <w:p w14:paraId="2EE9BDB6">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色泽正常，干爽无异味；</w:t>
            </w:r>
          </w:p>
          <w:p w14:paraId="20222827">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3.</w:t>
            </w:r>
            <w:r>
              <w:rPr>
                <w:rFonts w:hint="eastAsia"/>
                <w:color w:val="auto"/>
                <w:szCs w:val="21"/>
                <w:highlight w:val="none"/>
              </w:rPr>
              <w:t>按进货量抽查20％，数量按抽查验收实数为准；</w:t>
            </w:r>
          </w:p>
          <w:p w14:paraId="7F911F9A">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4.</w:t>
            </w:r>
            <w:r>
              <w:rPr>
                <w:rFonts w:hint="eastAsia"/>
                <w:color w:val="auto"/>
                <w:szCs w:val="21"/>
                <w:highlight w:val="none"/>
              </w:rPr>
              <w:t>包装袋上有注册商标及QS标注，有检验合格证、生产日期和保质期。</w:t>
            </w:r>
          </w:p>
        </w:tc>
      </w:tr>
      <w:tr w14:paraId="13ED93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14:paraId="19BC4A75">
            <w:pPr>
              <w:pStyle w:val="307"/>
              <w:keepNext w:val="0"/>
              <w:keepLines w:val="0"/>
              <w:suppressLineNumbers w:val="0"/>
              <w:spacing w:before="3" w:beforeAutospacing="0" w:after="0" w:afterAutospacing="0"/>
              <w:ind w:left="0" w:right="0"/>
              <w:jc w:val="center"/>
              <w:rPr>
                <w:rFonts w:hint="eastAsia"/>
                <w:color w:val="auto"/>
                <w:szCs w:val="21"/>
                <w:highlight w:val="none"/>
              </w:rPr>
            </w:pPr>
          </w:p>
          <w:p w14:paraId="186403E4">
            <w:pPr>
              <w:pStyle w:val="307"/>
              <w:keepNext w:val="0"/>
              <w:keepLines w:val="0"/>
              <w:suppressLineNumbers w:val="0"/>
              <w:spacing w:before="3" w:beforeAutospacing="0" w:after="0" w:afterAutospacing="0"/>
              <w:ind w:left="0" w:right="0"/>
              <w:jc w:val="center"/>
              <w:rPr>
                <w:rFonts w:hint="eastAsia"/>
                <w:color w:val="auto"/>
                <w:szCs w:val="21"/>
                <w:highlight w:val="none"/>
              </w:rPr>
            </w:pPr>
          </w:p>
          <w:p w14:paraId="087B2F4A">
            <w:pPr>
              <w:pStyle w:val="307"/>
              <w:keepNext w:val="0"/>
              <w:keepLines w:val="0"/>
              <w:suppressLineNumbers w:val="0"/>
              <w:spacing w:before="3" w:beforeAutospacing="0" w:after="0" w:afterAutospacing="0"/>
              <w:ind w:left="0" w:right="0"/>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1266" w:type="dxa"/>
            <w:tcBorders>
              <w:top w:val="single" w:color="000000" w:sz="6" w:space="0"/>
              <w:left w:val="single" w:color="000000" w:sz="6" w:space="0"/>
              <w:right w:val="single" w:color="000000" w:sz="6" w:space="0"/>
            </w:tcBorders>
            <w:noWrap w:val="0"/>
            <w:vAlign w:val="top"/>
          </w:tcPr>
          <w:p w14:paraId="0138450B">
            <w:pPr>
              <w:pStyle w:val="307"/>
              <w:keepNext w:val="0"/>
              <w:keepLines w:val="0"/>
              <w:suppressLineNumbers w:val="0"/>
              <w:spacing w:before="3" w:beforeAutospacing="0" w:after="0" w:afterAutospacing="0"/>
              <w:ind w:left="0" w:right="0"/>
              <w:jc w:val="center"/>
              <w:rPr>
                <w:rFonts w:hint="eastAsia"/>
                <w:color w:val="auto"/>
                <w:szCs w:val="21"/>
                <w:highlight w:val="none"/>
              </w:rPr>
            </w:pPr>
          </w:p>
          <w:p w14:paraId="492473F4">
            <w:pPr>
              <w:pStyle w:val="307"/>
              <w:keepNext w:val="0"/>
              <w:keepLines w:val="0"/>
              <w:suppressLineNumbers w:val="0"/>
              <w:spacing w:before="3" w:beforeAutospacing="0" w:after="0" w:afterAutospacing="0"/>
              <w:ind w:left="0" w:right="0"/>
              <w:jc w:val="center"/>
              <w:rPr>
                <w:rFonts w:hint="eastAsia"/>
                <w:color w:val="auto"/>
                <w:szCs w:val="21"/>
                <w:highlight w:val="none"/>
              </w:rPr>
            </w:pPr>
            <w:r>
              <w:rPr>
                <w:rFonts w:hint="eastAsia"/>
                <w:color w:val="auto"/>
                <w:szCs w:val="21"/>
                <w:highlight w:val="none"/>
              </w:rPr>
              <w:t>低筋面粉（含面粉配料）</w:t>
            </w:r>
          </w:p>
        </w:tc>
        <w:tc>
          <w:tcPr>
            <w:tcW w:w="7052" w:type="dxa"/>
            <w:tcBorders>
              <w:top w:val="single" w:color="000000" w:sz="6" w:space="0"/>
              <w:left w:val="single" w:color="000000" w:sz="6" w:space="0"/>
            </w:tcBorders>
            <w:noWrap w:val="0"/>
            <w:vAlign w:val="top"/>
          </w:tcPr>
          <w:p w14:paraId="0493F82C">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1.</w:t>
            </w:r>
            <w:r>
              <w:rPr>
                <w:rFonts w:hint="eastAsia"/>
                <w:color w:val="auto"/>
                <w:szCs w:val="21"/>
                <w:highlight w:val="none"/>
              </w:rPr>
              <w:t>低筋面粉达GB/T 8608-1988标准，质量等级一级；</w:t>
            </w:r>
          </w:p>
          <w:p w14:paraId="73C3B0AD">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2.</w:t>
            </w:r>
            <w:r>
              <w:rPr>
                <w:rFonts w:hint="eastAsia"/>
                <w:color w:val="auto"/>
                <w:szCs w:val="21"/>
                <w:highlight w:val="none"/>
              </w:rPr>
              <w:t>色泽正常，干爽无异味；</w:t>
            </w:r>
          </w:p>
          <w:p w14:paraId="71F3EC49">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3.</w:t>
            </w:r>
            <w:r>
              <w:rPr>
                <w:rFonts w:hint="eastAsia"/>
                <w:color w:val="auto"/>
                <w:szCs w:val="21"/>
                <w:highlight w:val="none"/>
              </w:rPr>
              <w:t>按进货量抽查20％，数量按抽查验收实数为准；</w:t>
            </w:r>
          </w:p>
          <w:p w14:paraId="65016838">
            <w:pPr>
              <w:pStyle w:val="307"/>
              <w:keepNext w:val="0"/>
              <w:keepLines w:val="0"/>
              <w:suppressLineNumbers w:val="0"/>
              <w:spacing w:before="3" w:beforeAutospacing="0" w:after="0" w:afterAutospacing="0"/>
              <w:ind w:left="0" w:right="0"/>
              <w:rPr>
                <w:rFonts w:hint="eastAsia"/>
                <w:color w:val="auto"/>
                <w:szCs w:val="21"/>
                <w:highlight w:val="none"/>
              </w:rPr>
            </w:pPr>
            <w:r>
              <w:rPr>
                <w:rFonts w:hint="eastAsia"/>
                <w:color w:val="auto"/>
                <w:szCs w:val="21"/>
                <w:highlight w:val="none"/>
                <w:lang w:val="en-US"/>
              </w:rPr>
              <w:t>4.</w:t>
            </w:r>
            <w:r>
              <w:rPr>
                <w:rFonts w:hint="eastAsia"/>
                <w:color w:val="auto"/>
                <w:szCs w:val="21"/>
                <w:highlight w:val="none"/>
              </w:rPr>
              <w:t>包装袋上有注册商标及QS标注，有检验合格证、生产日期和保质期。</w:t>
            </w:r>
          </w:p>
        </w:tc>
      </w:tr>
    </w:tbl>
    <w:p w14:paraId="4ED40847">
      <w:pPr>
        <w:pStyle w:val="192"/>
        <w:tabs>
          <w:tab w:val="left" w:pos="545"/>
        </w:tabs>
        <w:spacing w:before="86"/>
        <w:ind w:firstLine="420" w:firstLineChars="200"/>
        <w:jc w:val="left"/>
        <w:rPr>
          <w:color w:val="auto"/>
          <w:szCs w:val="21"/>
          <w:highlight w:val="none"/>
        </w:rPr>
      </w:pPr>
      <w:r>
        <w:rPr>
          <w:rFonts w:hint="eastAsia" w:ascii="宋体" w:hAnsi="宋体" w:cs="宋体"/>
          <w:color w:val="auto"/>
          <w:szCs w:val="21"/>
          <w:highlight w:val="none"/>
        </w:rPr>
        <w:t>2）特</w:t>
      </w:r>
      <w:r>
        <w:rPr>
          <w:color w:val="auto"/>
          <w:szCs w:val="21"/>
          <w:highlight w:val="none"/>
        </w:rPr>
        <w:t>一级面粉理化指标</w:t>
      </w:r>
    </w:p>
    <w:tbl>
      <w:tblPr>
        <w:tblStyle w:val="46"/>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14:paraId="560A58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14:paraId="2E0064EC">
            <w:pPr>
              <w:pStyle w:val="307"/>
              <w:keepNext w:val="0"/>
              <w:keepLines w:val="0"/>
              <w:suppressLineNumbers w:val="0"/>
              <w:spacing w:before="79" w:beforeAutospacing="0" w:after="0" w:afterAutospacing="0"/>
              <w:ind w:left="948" w:right="949"/>
              <w:jc w:val="center"/>
              <w:rPr>
                <w:rFonts w:hint="default"/>
                <w:b/>
                <w:color w:val="auto"/>
                <w:szCs w:val="21"/>
                <w:highlight w:val="none"/>
              </w:rPr>
            </w:pPr>
            <w:r>
              <w:rPr>
                <w:rFonts w:hint="default"/>
                <w:b/>
                <w:color w:val="auto"/>
                <w:szCs w:val="21"/>
                <w:highlight w:val="none"/>
              </w:rPr>
              <w:t>项目</w:t>
            </w:r>
          </w:p>
        </w:tc>
        <w:tc>
          <w:tcPr>
            <w:tcW w:w="4990" w:type="dxa"/>
            <w:tcBorders>
              <w:left w:val="single" w:color="000000" w:sz="6" w:space="0"/>
              <w:bottom w:val="single" w:color="000000" w:sz="6" w:space="0"/>
            </w:tcBorders>
            <w:noWrap w:val="0"/>
            <w:vAlign w:val="top"/>
          </w:tcPr>
          <w:p w14:paraId="700850DC">
            <w:pPr>
              <w:pStyle w:val="307"/>
              <w:keepNext w:val="0"/>
              <w:keepLines w:val="0"/>
              <w:suppressLineNumbers w:val="0"/>
              <w:spacing w:before="79" w:beforeAutospacing="0" w:after="0" w:afterAutospacing="0"/>
              <w:ind w:left="1015" w:right="1013"/>
              <w:jc w:val="center"/>
              <w:rPr>
                <w:rFonts w:hint="default"/>
                <w:b/>
                <w:color w:val="auto"/>
                <w:szCs w:val="21"/>
                <w:highlight w:val="none"/>
              </w:rPr>
            </w:pPr>
            <w:r>
              <w:rPr>
                <w:rFonts w:hint="default"/>
                <w:b/>
                <w:color w:val="auto"/>
                <w:szCs w:val="21"/>
                <w:highlight w:val="none"/>
              </w:rPr>
              <w:t>指标</w:t>
            </w:r>
          </w:p>
        </w:tc>
      </w:tr>
      <w:tr w14:paraId="00A7B7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580201EB">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14:paraId="196A7C46">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粉色合格，麸星合格</w:t>
            </w:r>
          </w:p>
        </w:tc>
      </w:tr>
      <w:tr w14:paraId="4601B7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11D87D3A">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14:paraId="65C9E626">
            <w:pPr>
              <w:pStyle w:val="307"/>
              <w:keepNext w:val="0"/>
              <w:keepLines w:val="0"/>
              <w:suppressLineNumbers w:val="0"/>
              <w:spacing w:before="80" w:beforeAutospacing="0" w:after="0" w:afterAutospacing="0"/>
              <w:ind w:left="0" w:right="348" w:rightChars="0"/>
              <w:jc w:val="center"/>
              <w:rPr>
                <w:rFonts w:hint="default"/>
                <w:color w:val="auto"/>
                <w:szCs w:val="21"/>
                <w:highlight w:val="none"/>
              </w:rPr>
            </w:pPr>
            <w:r>
              <w:rPr>
                <w:rFonts w:hint="default"/>
                <w:color w:val="auto"/>
                <w:szCs w:val="21"/>
                <w:highlight w:val="none"/>
              </w:rPr>
              <w:t>GB36号全部通过；GB42晒留存量不超</w:t>
            </w:r>
            <w:r>
              <w:rPr>
                <w:rFonts w:hint="eastAsia"/>
                <w:color w:val="auto"/>
                <w:szCs w:val="21"/>
                <w:highlight w:val="none"/>
              </w:rPr>
              <w:t>过</w:t>
            </w:r>
            <w:r>
              <w:rPr>
                <w:rFonts w:hint="default"/>
                <w:color w:val="auto"/>
                <w:szCs w:val="21"/>
                <w:highlight w:val="none"/>
              </w:rPr>
              <w:t>10.0%</w:t>
            </w:r>
          </w:p>
        </w:tc>
      </w:tr>
      <w:tr w14:paraId="0614E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14:paraId="683DEBF6">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14:paraId="6E9272E1">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≥26.0%</w:t>
            </w:r>
          </w:p>
        </w:tc>
      </w:tr>
      <w:tr w14:paraId="4CCF5C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14:paraId="2FBB70F6">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14:paraId="74AB7564">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≤0.02%</w:t>
            </w:r>
          </w:p>
        </w:tc>
      </w:tr>
      <w:tr w14:paraId="54C40F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B5FD282">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14:paraId="582FF94B">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≤0.70%</w:t>
            </w:r>
          </w:p>
        </w:tc>
      </w:tr>
      <w:tr w14:paraId="1F0431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49EA00A9">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14:paraId="6BF4376A">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≤14.0%</w:t>
            </w:r>
          </w:p>
        </w:tc>
      </w:tr>
      <w:tr w14:paraId="06FEF1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B355B28">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14:paraId="104D5179">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≤0.003g/kg</w:t>
            </w:r>
          </w:p>
        </w:tc>
      </w:tr>
      <w:tr w14:paraId="55737B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14780009">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14:paraId="7FD1B961">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≤80</w:t>
            </w:r>
          </w:p>
        </w:tc>
      </w:tr>
      <w:tr w14:paraId="3466AC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2405C7C8">
            <w:pPr>
              <w:pStyle w:val="307"/>
              <w:keepNext w:val="0"/>
              <w:keepLines w:val="0"/>
              <w:suppressLineNumbers w:val="0"/>
              <w:spacing w:before="80" w:beforeAutospacing="0" w:after="0" w:afterAutospacing="0"/>
              <w:ind w:left="0" w:right="949"/>
              <w:jc w:val="center"/>
              <w:rPr>
                <w:rFonts w:hint="default"/>
                <w:color w:val="auto"/>
                <w:szCs w:val="21"/>
                <w:highlight w:val="none"/>
              </w:rPr>
            </w:pPr>
            <w:r>
              <w:rPr>
                <w:rFonts w:hint="eastAsia"/>
                <w:color w:val="auto"/>
                <w:szCs w:val="21"/>
                <w:highlight w:val="none"/>
                <w:lang w:val="en-US" w:eastAsia="zh-CN"/>
              </w:rPr>
              <w:t xml:space="preserve">           </w:t>
            </w:r>
            <w:r>
              <w:rPr>
                <w:rFonts w:hint="default"/>
                <w:color w:val="auto"/>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14:paraId="7C240FB7">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≤0.3mg/kg</w:t>
            </w:r>
          </w:p>
        </w:tc>
      </w:tr>
      <w:tr w14:paraId="6B6973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04685ECE">
            <w:pPr>
              <w:pStyle w:val="307"/>
              <w:keepNext w:val="0"/>
              <w:keepLines w:val="0"/>
              <w:suppressLineNumbers w:val="0"/>
              <w:spacing w:before="80" w:beforeAutospacing="0" w:after="0" w:afterAutospacing="0"/>
              <w:ind w:left="0" w:right="949"/>
              <w:jc w:val="center"/>
              <w:rPr>
                <w:rFonts w:hint="default"/>
                <w:color w:val="auto"/>
                <w:szCs w:val="21"/>
                <w:highlight w:val="none"/>
              </w:rPr>
            </w:pPr>
            <w:r>
              <w:rPr>
                <w:rFonts w:hint="eastAsia"/>
                <w:color w:val="auto"/>
                <w:szCs w:val="21"/>
                <w:highlight w:val="none"/>
                <w:lang w:val="en-US" w:eastAsia="zh-CN"/>
              </w:rPr>
              <w:t xml:space="preserve">         </w:t>
            </w:r>
            <w:r>
              <w:rPr>
                <w:rFonts w:hint="default"/>
                <w:color w:val="auto"/>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14:paraId="6BBCCC02">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≤0.2mg/kg</w:t>
            </w:r>
          </w:p>
        </w:tc>
      </w:tr>
      <w:tr w14:paraId="1664B0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14:paraId="3A01798A">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14:paraId="7DFCA265">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≤0.02mg/kg</w:t>
            </w:r>
          </w:p>
        </w:tc>
      </w:tr>
      <w:tr w14:paraId="27E1C43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14:paraId="0524AFDD">
            <w:pPr>
              <w:pStyle w:val="307"/>
              <w:keepNext w:val="0"/>
              <w:keepLines w:val="0"/>
              <w:suppressLineNumbers w:val="0"/>
              <w:spacing w:before="80" w:beforeAutospacing="0" w:after="0" w:afterAutospacing="0"/>
              <w:ind w:left="968" w:right="949"/>
              <w:jc w:val="center"/>
              <w:rPr>
                <w:rFonts w:hint="default"/>
                <w:color w:val="auto"/>
                <w:szCs w:val="21"/>
                <w:highlight w:val="none"/>
              </w:rPr>
            </w:pPr>
            <w:r>
              <w:rPr>
                <w:rFonts w:hint="default"/>
                <w:color w:val="auto"/>
                <w:szCs w:val="21"/>
                <w:highlight w:val="none"/>
              </w:rPr>
              <w:t>黄霉素毒素B1</w:t>
            </w:r>
          </w:p>
        </w:tc>
        <w:tc>
          <w:tcPr>
            <w:tcW w:w="4990" w:type="dxa"/>
            <w:tcBorders>
              <w:top w:val="single" w:color="000000" w:sz="6" w:space="0"/>
              <w:left w:val="single" w:color="000000" w:sz="6" w:space="0"/>
            </w:tcBorders>
            <w:noWrap w:val="0"/>
            <w:vAlign w:val="top"/>
          </w:tcPr>
          <w:p w14:paraId="6AEB21B3">
            <w:pPr>
              <w:pStyle w:val="307"/>
              <w:keepNext w:val="0"/>
              <w:keepLines w:val="0"/>
              <w:suppressLineNumbers w:val="0"/>
              <w:spacing w:before="80" w:beforeAutospacing="0" w:after="0" w:afterAutospacing="0"/>
              <w:ind w:left="968" w:right="949"/>
              <w:jc w:val="center"/>
              <w:rPr>
                <w:rFonts w:hint="eastAsia" w:eastAsia="宋体"/>
                <w:color w:val="auto"/>
                <w:szCs w:val="21"/>
                <w:highlight w:val="none"/>
                <w:lang w:val="en-US" w:eastAsia="zh-CN"/>
              </w:rPr>
            </w:pPr>
            <w:r>
              <w:rPr>
                <w:rFonts w:hint="default"/>
                <w:color w:val="auto"/>
                <w:szCs w:val="21"/>
                <w:highlight w:val="none"/>
              </w:rPr>
              <w:t>≤5μg/kg</w:t>
            </w:r>
            <w:r>
              <w:rPr>
                <w:rFonts w:hint="eastAsia"/>
                <w:color w:val="auto"/>
                <w:szCs w:val="21"/>
                <w:highlight w:val="none"/>
                <w:lang w:val="en-US" w:eastAsia="zh-CN"/>
              </w:rPr>
              <w:t xml:space="preserve"> </w:t>
            </w:r>
          </w:p>
        </w:tc>
      </w:tr>
    </w:tbl>
    <w:p w14:paraId="06EEF6C7">
      <w:pPr>
        <w:pStyle w:val="192"/>
        <w:tabs>
          <w:tab w:val="left" w:pos="545"/>
        </w:tabs>
        <w:spacing w:before="141"/>
        <w:ind w:firstLine="0" w:firstLineChars="0"/>
        <w:jc w:val="left"/>
        <w:rPr>
          <w:color w:val="auto"/>
          <w:szCs w:val="21"/>
          <w:highlight w:val="none"/>
        </w:rPr>
      </w:pPr>
      <w:r>
        <w:rPr>
          <w:color w:val="auto"/>
          <w:szCs w:val="21"/>
          <w:highlight w:val="none"/>
        </w:rPr>
        <w:t>标准面粉理化指标</w:t>
      </w:r>
    </w:p>
    <w:tbl>
      <w:tblPr>
        <w:tblStyle w:val="46"/>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14:paraId="012ED3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14:paraId="7B95C09E">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项目</w:t>
            </w:r>
          </w:p>
        </w:tc>
        <w:tc>
          <w:tcPr>
            <w:tcW w:w="5607" w:type="dxa"/>
            <w:tcBorders>
              <w:left w:val="single" w:color="000000" w:sz="6" w:space="0"/>
              <w:bottom w:val="single" w:color="000000" w:sz="6" w:space="0"/>
            </w:tcBorders>
            <w:noWrap w:val="0"/>
            <w:vAlign w:val="center"/>
          </w:tcPr>
          <w:p w14:paraId="1CE4FC8C">
            <w:pPr>
              <w:keepNext w:val="0"/>
              <w:keepLines w:val="0"/>
              <w:suppressLineNumbers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指标</w:t>
            </w:r>
          </w:p>
        </w:tc>
      </w:tr>
      <w:tr w14:paraId="41DE30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787C16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14:paraId="3121C1D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对照实物标准样品对照检验粉色、麸星</w:t>
            </w:r>
          </w:p>
        </w:tc>
      </w:tr>
      <w:tr w14:paraId="12510EF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75CD0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14:paraId="68E83FD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≤1.10%</w:t>
            </w:r>
          </w:p>
        </w:tc>
      </w:tr>
      <w:tr w14:paraId="64729C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9FB854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14:paraId="2C58926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≤14.0%</w:t>
            </w:r>
          </w:p>
        </w:tc>
      </w:tr>
      <w:tr w14:paraId="65A95A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F58F9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14:paraId="1420071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全部通过CQ20号筛，留存在CB30号筛的不超过20.0%</w:t>
            </w:r>
          </w:p>
        </w:tc>
      </w:tr>
      <w:tr w14:paraId="24AF1F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04F56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14:paraId="61C204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≤24.0%</w:t>
            </w:r>
          </w:p>
        </w:tc>
      </w:tr>
      <w:tr w14:paraId="06171FB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0A319BA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14:paraId="237E25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≤0.02%</w:t>
            </w:r>
          </w:p>
        </w:tc>
      </w:tr>
      <w:tr w14:paraId="22DCEA7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1B2A765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14:paraId="34167DB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≤0.003g/kg</w:t>
            </w:r>
          </w:p>
        </w:tc>
      </w:tr>
      <w:tr w14:paraId="556442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40AF188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14:paraId="3F67DD5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≤80</w:t>
            </w:r>
          </w:p>
        </w:tc>
      </w:tr>
      <w:tr w14:paraId="2CD606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396D01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14:paraId="30B8A80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≤0.3mg/kg</w:t>
            </w:r>
          </w:p>
        </w:tc>
      </w:tr>
      <w:tr w14:paraId="76E302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639EDC7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14:paraId="6FC3A5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≤0.2mg/kg</w:t>
            </w:r>
          </w:p>
        </w:tc>
      </w:tr>
      <w:tr w14:paraId="0D0000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14:paraId="52A15C8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14:paraId="7738B0D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≤0.02mg/kg</w:t>
            </w:r>
          </w:p>
        </w:tc>
      </w:tr>
      <w:tr w14:paraId="7657CC0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14:paraId="34525E6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黄霉素毒素 B1</w:t>
            </w:r>
          </w:p>
        </w:tc>
        <w:tc>
          <w:tcPr>
            <w:tcW w:w="5607" w:type="dxa"/>
            <w:tcBorders>
              <w:top w:val="single" w:color="000000" w:sz="6" w:space="0"/>
              <w:left w:val="single" w:color="000000" w:sz="6" w:space="0"/>
            </w:tcBorders>
            <w:noWrap w:val="0"/>
            <w:vAlign w:val="center"/>
          </w:tcPr>
          <w:p w14:paraId="6FA0A4B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≤5μg/kg</w:t>
            </w:r>
          </w:p>
        </w:tc>
      </w:tr>
    </w:tbl>
    <w:p w14:paraId="41E9E398">
      <w:pPr>
        <w:pStyle w:val="192"/>
        <w:tabs>
          <w:tab w:val="left" w:pos="545"/>
        </w:tabs>
        <w:spacing w:before="86" w:line="360" w:lineRule="auto"/>
        <w:ind w:firstLine="420" w:firstLineChars="200"/>
        <w:jc w:val="left"/>
        <w:rPr>
          <w:rFonts w:hint="eastAsia" w:ascii="宋体" w:hAnsi="宋体" w:cs="宋体" w:eastAsiaTheme="minorEastAsia"/>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3）米线：色泽具有本品应有的色泽，‌气味具有产品特有米香气，无异味。无肉眼可见外来杂质。原材料应符合GB 2715</w:t>
      </w:r>
      <w:r>
        <w:rPr>
          <w:rFonts w:hint="eastAsia" w:ascii="宋体" w:hAnsi="宋体" w:cs="宋体"/>
          <w:color w:val="auto"/>
          <w:szCs w:val="21"/>
          <w:highlight w:val="none"/>
        </w:rPr>
        <w:t>及国家相关规定</w:t>
      </w:r>
      <w:r>
        <w:rPr>
          <w:rFonts w:hint="eastAsia" w:ascii="宋体" w:hAnsi="宋体" w:cs="宋体"/>
          <w:color w:val="auto"/>
          <w:szCs w:val="21"/>
          <w:highlight w:val="none"/>
          <w:lang w:eastAsia="zh-CN"/>
        </w:rPr>
        <w:t>。</w:t>
      </w:r>
    </w:p>
    <w:p w14:paraId="30127C60">
      <w:pPr>
        <w:snapToGrid w:val="0"/>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7.干货类</w:t>
      </w:r>
    </w:p>
    <w:p w14:paraId="6C49BB08">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eastAsia="宋体" w:cs="宋体"/>
          <w:bCs/>
          <w:color w:val="auto"/>
          <w:szCs w:val="21"/>
          <w:highlight w:val="none"/>
        </w:rPr>
        <w:t>量未达到国家标准的干货制品招标人有权拒绝接收。</w:t>
      </w:r>
    </w:p>
    <w:p w14:paraId="392208D3">
      <w:pPr>
        <w:snapToGrid w:val="0"/>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（1）肉皮：作为干肉皮，无论什么部位，体表洁净无毛，白亮无残余肥膘，无虫蛀，干爽，敲击时响声清脆，质量均匀为好，反之则为次之，如已发霉，并有哈喇味，即已变质。</w:t>
      </w:r>
    </w:p>
    <w:p w14:paraId="761C4E45">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（2）玉兰片：玉兰片以色泽黄白、洁净、肉厚、纤维少、节较密、体长不超过 10~17cm的为最好，肉薄节疏、纤维多而粗老的质量较差。</w:t>
      </w:r>
    </w:p>
    <w:p w14:paraId="21549A6F">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（3）黄花菜：又名金针菜，干燥、有清香味，菜色黄亮、身条长而粗壮、条杆粗细均匀者为佳。</w:t>
      </w:r>
    </w:p>
    <w:p w14:paraId="44F4CCCB">
      <w:pPr>
        <w:snapToGrid w:val="0"/>
        <w:spacing w:line="360" w:lineRule="auto"/>
        <w:ind w:firstLine="420" w:firstLineChars="200"/>
        <w:rPr>
          <w:rFonts w:hint="eastAsia" w:ascii="宋体" w:hAnsi="宋体" w:eastAsia="宋体" w:cs="宋体"/>
          <w:color w:val="auto"/>
          <w:highlight w:val="none"/>
          <w:lang w:val="zh-CN"/>
        </w:rPr>
      </w:pPr>
      <w:r>
        <w:rPr>
          <w:rFonts w:hint="eastAsia" w:ascii="宋体" w:hAnsi="宋体" w:eastAsia="宋体" w:cs="宋体"/>
          <w:color w:val="auto"/>
          <w:highlight w:val="none"/>
        </w:rPr>
        <w:t>（4）</w:t>
      </w:r>
      <w:r>
        <w:rPr>
          <w:rFonts w:hint="eastAsia" w:ascii="宋体" w:hAnsi="宋体" w:eastAsia="宋体" w:cs="宋体"/>
          <w:color w:val="auto"/>
          <w:highlight w:val="none"/>
          <w:lang w:val="zh-CN"/>
        </w:rPr>
        <w:t>黑木耳：黑木耳的质量一般以条形大而完整，耳瓣舒展少卷曲，内厚黑，富于光泽，体干不霉，无杂质和碎者为优，反之则差。</w:t>
      </w:r>
    </w:p>
    <w:p w14:paraId="2D5BB0F8">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color w:val="auto"/>
          <w:highlight w:val="none"/>
          <w:lang w:val="zh-CN"/>
        </w:rPr>
        <w:t>（</w:t>
      </w:r>
      <w:r>
        <w:rPr>
          <w:rFonts w:hint="eastAsia" w:ascii="宋体" w:hAnsi="宋体" w:eastAsia="宋体" w:cs="宋体"/>
          <w:color w:val="auto"/>
          <w:highlight w:val="none"/>
        </w:rPr>
        <w:t>5</w:t>
      </w:r>
      <w:r>
        <w:rPr>
          <w:rFonts w:hint="eastAsia" w:ascii="宋体" w:hAnsi="宋体" w:eastAsia="宋体" w:cs="宋体"/>
          <w:color w:val="auto"/>
          <w:highlight w:val="none"/>
          <w:lang w:val="zh-CN"/>
        </w:rPr>
        <w:t>）银耳：银耳又称白木耳，以朵</w:t>
      </w:r>
      <w:r>
        <w:rPr>
          <w:rFonts w:hint="eastAsia" w:ascii="宋体" w:hAnsi="宋体" w:eastAsia="宋体" w:cs="宋体"/>
          <w:bCs/>
          <w:color w:val="auto"/>
          <w:szCs w:val="21"/>
          <w:highlight w:val="none"/>
          <w:lang w:val="zh-CN"/>
        </w:rPr>
        <w:t>大、色洁白、有光泽、无杂质，根小、干度足，完整者为佳品，朵小、色黄、根大、无光泽，散碎者次之；黄黑色者质量最次，依上述标准可将银耳分为上中下三等。质量好的银耳，根部易稣烂，食之柔软，质量次则根部大而发硬。</w:t>
      </w:r>
    </w:p>
    <w:p w14:paraId="6C9B7AD7">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6A3EC16E">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val="zh-CN"/>
        </w:rPr>
        <w:t>黄豆：豆皮色呈各种大豆固有的颜色，光彩油亮，洁净而有光泽，颗粒饱满，整齐均匀，无虫蛀粒，无杂质，无霉变。</w:t>
      </w:r>
    </w:p>
    <w:p w14:paraId="5AC0DCDE">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8</w:t>
      </w:r>
      <w:r>
        <w:rPr>
          <w:rFonts w:hint="eastAsia" w:ascii="宋体" w:hAnsi="宋体" w:eastAsia="宋体" w:cs="宋体"/>
          <w:bCs/>
          <w:color w:val="auto"/>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14:paraId="0D3EF7F9">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rPr>
        <w:t>（9）</w:t>
      </w:r>
      <w:r>
        <w:rPr>
          <w:rFonts w:hint="eastAsia" w:ascii="宋体" w:hAnsi="宋体" w:eastAsia="宋体" w:cs="宋体"/>
          <w:bCs/>
          <w:color w:val="auto"/>
          <w:szCs w:val="21"/>
          <w:highlight w:val="none"/>
          <w:lang w:val="zh-CN"/>
        </w:rPr>
        <w:t>腐竹：腐竹又名豆腐皮和油皮，有一、二、三级品之分。一极品：色泽黄亮、干燥筋韧、耐贮、无碎块。二极品：颜色较一极品灰黄、干燥无碎块。三极品：颜色更灰黄、无光泽、易碎、筋韧性差。</w:t>
      </w:r>
    </w:p>
    <w:p w14:paraId="4FA20C5A">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10</w:t>
      </w:r>
      <w:r>
        <w:rPr>
          <w:rFonts w:hint="eastAsia" w:ascii="宋体" w:hAnsi="宋体" w:eastAsia="宋体" w:cs="宋体"/>
          <w:bCs/>
          <w:color w:val="auto"/>
          <w:szCs w:val="21"/>
          <w:highlight w:val="none"/>
          <w:lang w:val="zh-CN"/>
        </w:rPr>
        <w:t>）粉丝：质量好的粉丝，粉条细长、白净、晶莹透明、丝条均匀、整齐、干燥，不易折断，无斑点、黑迹，无霉变，有粉丝特有的光泽。</w:t>
      </w:r>
    </w:p>
    <w:p w14:paraId="561CEEF6">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（11）蹄筋：猪蹄筋的质量首先从蹄筋抽取的部位区别，后蹄筋体长而圆、粗壮、光滑的品质好。前蹄筋体短而扁细、品质较差、保管完好的蹄筋应呈白色、无杂质，干、硬度高。</w:t>
      </w:r>
    </w:p>
    <w:p w14:paraId="311ADBF3">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（12）干贝：上等干贝粒大完整、黄亮干燥、肉质饱满，肉丝清晰、粗且有特殊香气。粒小、碎破、色淡无光泽者较次。破碎、发黑发霉的为变质品。</w:t>
      </w:r>
    </w:p>
    <w:p w14:paraId="2FEC1452">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13）鱿鱼：市场上常见的鱿鱼有椭圆形和长方形，选购时应注意：体干、体形完整、光亮洁净、淡粉红色、片大头小、肉厚者为优。体形部分卷曲，尾部和背部红中透暗，两侧有微红点、体小而宽、肉薄者为次品。</w:t>
      </w:r>
    </w:p>
    <w:p w14:paraId="16C58D58">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zh-CN"/>
        </w:rPr>
        <w:t>）紫菜：属海产红藻类植物，因鲜紫菜叶较宽大，经干制成长方块形，散片状卷筒，其中以卷筒形柔嫩微脆、叶薄、色紫清香鲜美的为品质优。</w:t>
      </w:r>
    </w:p>
    <w:p w14:paraId="6B6D0C87">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val="zh-CN"/>
        </w:rPr>
        <w:t>）发菜：发菜是陆生褐色藻类，以藻体细长、绿黑色、柔软爽滑、干燥、无杂质的质量为优，反之则劣。</w:t>
      </w:r>
    </w:p>
    <w:p w14:paraId="54367D90">
      <w:pPr>
        <w:snapToGrid w:val="0"/>
        <w:spacing w:line="360" w:lineRule="auto"/>
        <w:ind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US" w:eastAsia="zh-CN"/>
        </w:rPr>
        <w:t>16</w:t>
      </w:r>
      <w:r>
        <w:rPr>
          <w:rFonts w:hint="eastAsia" w:ascii="宋体" w:hAnsi="宋体" w:eastAsia="宋体" w:cs="宋体"/>
          <w:bCs/>
          <w:color w:val="auto"/>
          <w:szCs w:val="21"/>
          <w:highlight w:val="none"/>
          <w:lang w:val="zh-CN"/>
        </w:rPr>
        <w:t>）腊味：符合国家食品部门有关标准，色泽鲜明，肌肉暗红色，脂肪透明呈乳白色，肉干燥结实，带有固有的腊式香味。</w:t>
      </w:r>
    </w:p>
    <w:p w14:paraId="7DEBD070">
      <w:pPr>
        <w:numPr>
          <w:ilvl w:val="0"/>
          <w:numId w:val="0"/>
        </w:num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、配送服务要求</w:t>
      </w:r>
    </w:p>
    <w:p w14:paraId="646E27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1.采购人提前一天以邮件、传真或电话的方式向中标供应商下订单，订单内容包括所要采购的名称、规格、数量等。</w:t>
      </w:r>
    </w:p>
    <w:p w14:paraId="524F72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2.采购人根据自身的需求。有权终止某类包组中的某些货物的采购或变更某类货物的采</w:t>
      </w:r>
      <w:r>
        <w:rPr>
          <w:rFonts w:hint="eastAsia" w:ascii="宋体" w:hAnsi="宋体" w:eastAsia="宋体" w:cs="宋体"/>
          <w:color w:val="auto"/>
          <w:highlight w:val="none"/>
          <w:lang w:val="en-US" w:eastAsia="zh-CN"/>
        </w:rPr>
        <w:t>购。</w:t>
      </w:r>
    </w:p>
    <w:p w14:paraId="7A67D3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3.在采购人未签收之前，食品的所有权和风险属于中标供应商，食品发生遗失、损坏由中标供应商</w:t>
      </w:r>
      <w:r>
        <w:rPr>
          <w:rFonts w:hint="eastAsia" w:ascii="宋体" w:hAnsi="宋体" w:eastAsia="宋体" w:cs="宋体"/>
          <w:color w:val="auto"/>
          <w:highlight w:val="none"/>
          <w:lang w:val="en-US" w:eastAsia="zh-CN"/>
        </w:rPr>
        <w:t>负责。</w:t>
      </w:r>
    </w:p>
    <w:p w14:paraId="42EFA9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4.中标供应商根据采购人实际要求运送食品，按采购人要求进行加工。</w:t>
      </w:r>
    </w:p>
    <w:p w14:paraId="528454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5.中标供应商应当根据采购人实际情况。按与采购人的</w:t>
      </w:r>
      <w:r>
        <w:rPr>
          <w:rFonts w:hint="eastAsia" w:ascii="宋体" w:hAnsi="宋体" w:eastAsia="宋体" w:cs="宋体"/>
          <w:color w:val="auto"/>
          <w:highlight w:val="none"/>
          <w:lang w:val="en-US" w:eastAsia="zh-CN"/>
        </w:rPr>
        <w:t>约</w:t>
      </w:r>
      <w:r>
        <w:rPr>
          <w:rFonts w:hint="eastAsia" w:ascii="宋体" w:hAnsi="宋体" w:eastAsia="宋体" w:cs="宋体"/>
          <w:color w:val="auto"/>
          <w:highlight w:val="none"/>
          <w:lang w:eastAsia="zh-CN"/>
        </w:rPr>
        <w:t>定，在规定的时间内将规定的食品数量送到采购人指定地点。除客观不可抗力外，中标供应商不得推迟送货。如确需延迟送货的，中标供应商应在得知情况的同时告知采购人并征得采购人同意。因中标供应商原因逾</w:t>
      </w:r>
      <w:r>
        <w:rPr>
          <w:rFonts w:hint="eastAsia" w:ascii="宋体" w:hAnsi="宋体" w:eastAsia="宋体" w:cs="宋体"/>
          <w:color w:val="auto"/>
          <w:highlight w:val="none"/>
          <w:lang w:val="en-US" w:eastAsia="zh-CN"/>
        </w:rPr>
        <w:t>期</w:t>
      </w:r>
      <w:r>
        <w:rPr>
          <w:rFonts w:hint="eastAsia" w:ascii="宋体" w:hAnsi="宋体" w:eastAsia="宋体" w:cs="宋体"/>
          <w:color w:val="auto"/>
          <w:highlight w:val="none"/>
          <w:lang w:eastAsia="zh-CN"/>
        </w:rPr>
        <w:t>交货，采购人有权自行采购，并由中标供应商承担由此产生的一切损失和费用。采购人可直接在</w:t>
      </w:r>
      <w:r>
        <w:rPr>
          <w:rFonts w:hint="eastAsia" w:ascii="宋体" w:hAnsi="宋体" w:eastAsia="宋体" w:cs="宋体"/>
          <w:color w:val="auto"/>
          <w:highlight w:val="none"/>
          <w:lang w:val="en-US" w:eastAsia="zh-CN"/>
        </w:rPr>
        <w:t>履</w:t>
      </w:r>
      <w:r>
        <w:rPr>
          <w:rFonts w:hint="eastAsia" w:ascii="宋体" w:hAnsi="宋体" w:eastAsia="宋体" w:cs="宋体"/>
          <w:color w:val="auto"/>
          <w:highlight w:val="none"/>
          <w:lang w:eastAsia="zh-CN"/>
        </w:rPr>
        <w:t>约保证金中扣除。</w:t>
      </w:r>
    </w:p>
    <w:p w14:paraId="3508C2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6.若采购人临时修改订单内容的，中标供应商必须在接到通知后的60分钟内将食品</w:t>
      </w:r>
      <w:r>
        <w:rPr>
          <w:rFonts w:hint="eastAsia" w:ascii="宋体" w:hAnsi="宋体" w:eastAsia="宋体" w:cs="宋体"/>
          <w:color w:val="auto"/>
          <w:highlight w:val="none"/>
          <w:lang w:val="en-US" w:eastAsia="zh-CN"/>
        </w:rPr>
        <w:t>送</w:t>
      </w:r>
      <w:r>
        <w:rPr>
          <w:rFonts w:hint="eastAsia" w:ascii="宋体" w:hAnsi="宋体" w:eastAsia="宋体" w:cs="宋体"/>
          <w:color w:val="auto"/>
          <w:highlight w:val="none"/>
          <w:lang w:eastAsia="zh-CN"/>
        </w:rPr>
        <w:t>达，经采购人验收核对后才算完成。</w:t>
      </w:r>
    </w:p>
    <w:p w14:paraId="2E6A6E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除客观不可抗力外，中标供应商不得更改送货内容（包括但不限于商标、名称、产地、包装、规格和重量）。如确需变更供货内容的，中标供应商应在得知情况的同时告知采购人并征得采购人同意，双方一致同意。如中标供应商有私自更改订单中货品行为属于严重违约，采购人有权要求中标供应商更换或视同中标供应商逾期交货，中标供应商须向采购人承担相应的违</w:t>
      </w:r>
      <w:r>
        <w:rPr>
          <w:rFonts w:hint="eastAsia" w:ascii="宋体" w:hAnsi="宋体" w:eastAsia="宋体" w:cs="宋体"/>
          <w:color w:val="auto"/>
          <w:highlight w:val="none"/>
          <w:lang w:val="en-US" w:eastAsia="zh-CN"/>
        </w:rPr>
        <w:t>约</w:t>
      </w:r>
      <w:r>
        <w:rPr>
          <w:rFonts w:hint="eastAsia" w:ascii="宋体" w:hAnsi="宋体" w:eastAsia="宋体" w:cs="宋体"/>
          <w:color w:val="auto"/>
          <w:highlight w:val="none"/>
          <w:lang w:eastAsia="zh-CN"/>
        </w:rPr>
        <w:t>责任。</w:t>
      </w:r>
    </w:p>
    <w:p w14:paraId="04B4585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8.中标供应商的送货单必须详细注明货物的品牌、型号、单价、数量，送货单不得涂改。标记不清的，采购人将拒绝签收。结算期末中标供应商还应提供</w:t>
      </w:r>
      <w:r>
        <w:rPr>
          <w:rFonts w:hint="eastAsia" w:ascii="宋体" w:hAnsi="宋体" w:eastAsia="宋体" w:cs="宋体"/>
          <w:color w:val="auto"/>
          <w:highlight w:val="none"/>
          <w:lang w:val="en-US" w:eastAsia="zh-CN"/>
        </w:rPr>
        <w:t>送</w:t>
      </w:r>
      <w:r>
        <w:rPr>
          <w:rFonts w:hint="eastAsia" w:ascii="宋体" w:hAnsi="宋体" w:eastAsia="宋体" w:cs="宋体"/>
          <w:color w:val="auto"/>
          <w:highlight w:val="none"/>
          <w:lang w:eastAsia="zh-CN"/>
        </w:rPr>
        <w:t>货清单供采购人结算。</w:t>
      </w:r>
    </w:p>
    <w:p w14:paraId="05B8B3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9.采购人发现食品变质不能食用或在保质期内出现包装损坏的，中标供应商承诺无条件退换。因退换货产生的费用由中标供应商负责，同时中标供应商需采购人承担相应的违</w:t>
      </w:r>
      <w:r>
        <w:rPr>
          <w:rFonts w:hint="eastAsia" w:ascii="宋体" w:hAnsi="宋体" w:eastAsia="宋体" w:cs="宋体"/>
          <w:color w:val="auto"/>
          <w:highlight w:val="none"/>
          <w:lang w:val="en-US" w:eastAsia="zh-CN"/>
        </w:rPr>
        <w:t>约</w:t>
      </w:r>
      <w:r>
        <w:rPr>
          <w:rFonts w:hint="eastAsia" w:ascii="宋体" w:hAnsi="宋体" w:eastAsia="宋体" w:cs="宋体"/>
          <w:color w:val="auto"/>
          <w:highlight w:val="none"/>
          <w:lang w:eastAsia="zh-CN"/>
        </w:rPr>
        <w:t>责任。</w:t>
      </w:r>
    </w:p>
    <w:p w14:paraId="2F168A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10.每次配送中标供应商必须安排配送员及配送专车。配送员负责货物的运输、过</w:t>
      </w:r>
      <w:r>
        <w:rPr>
          <w:rFonts w:hint="eastAsia" w:ascii="宋体" w:hAnsi="宋体" w:eastAsia="宋体" w:cs="宋体"/>
          <w:color w:val="auto"/>
          <w:highlight w:val="none"/>
          <w:lang w:val="en-US" w:eastAsia="zh-CN"/>
        </w:rPr>
        <w:t>程</w:t>
      </w:r>
      <w:r>
        <w:rPr>
          <w:rFonts w:hint="eastAsia" w:ascii="宋体" w:hAnsi="宋体" w:eastAsia="宋体" w:cs="宋体"/>
          <w:color w:val="auto"/>
          <w:highlight w:val="none"/>
          <w:lang w:eastAsia="zh-CN"/>
        </w:rPr>
        <w:t>，并协助采购人验收食品，货物的品种和重量以采购人验收的结果为准。中标供应商必须保证安全卸货且送往采购人指定的卸货区域，运输车辆为带有不锈钢尾板的</w:t>
      </w:r>
      <w:r>
        <w:rPr>
          <w:rFonts w:hint="eastAsia" w:ascii="宋体" w:hAnsi="宋体" w:eastAsia="宋体" w:cs="宋体"/>
          <w:color w:val="auto"/>
          <w:highlight w:val="none"/>
          <w:lang w:val="en-US" w:eastAsia="zh-CN"/>
        </w:rPr>
        <w:t>冷藏</w:t>
      </w:r>
      <w:r>
        <w:rPr>
          <w:rFonts w:hint="eastAsia" w:ascii="宋体" w:hAnsi="宋体" w:eastAsia="宋体" w:cs="宋体"/>
          <w:color w:val="auto"/>
          <w:highlight w:val="none"/>
          <w:lang w:eastAsia="zh-CN"/>
        </w:rPr>
        <w:t>车。</w:t>
      </w:r>
    </w:p>
    <w:p w14:paraId="7364D8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11.中标供应商指定的配送专员必须具有健康证、穿着便于辨认的工衣和佩戴胸卡，配送专员在校内活动必须严格</w:t>
      </w:r>
      <w:r>
        <w:rPr>
          <w:rFonts w:hint="eastAsia" w:ascii="宋体" w:hAnsi="宋体" w:eastAsia="宋体" w:cs="宋体"/>
          <w:color w:val="auto"/>
          <w:highlight w:val="none"/>
          <w:lang w:val="en-US" w:eastAsia="zh-CN"/>
        </w:rPr>
        <w:t>遵守</w:t>
      </w:r>
      <w:r>
        <w:rPr>
          <w:rFonts w:hint="eastAsia" w:ascii="宋体" w:hAnsi="宋体" w:eastAsia="宋体" w:cs="宋体"/>
          <w:color w:val="auto"/>
          <w:highlight w:val="none"/>
          <w:lang w:eastAsia="zh-CN"/>
        </w:rPr>
        <w:t>采购人各项规章制度，不得做出有损采购人形象和利益的事情。中标供应商应将配送专员的名单向采购人登记，若有变更的，应向采购人作出变更登记。</w:t>
      </w:r>
    </w:p>
    <w:p w14:paraId="3B46E5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12.进入校区的配送车必须为已在采购人登记备案车辆。同时，中标供应商应将送货的时间与送货的路线向采购人登记，记内容如有发生变更的，应向采购人作出变更登记。</w:t>
      </w:r>
    </w:p>
    <w:p w14:paraId="4D8A73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13.配送车进入校区后车</w:t>
      </w:r>
      <w:r>
        <w:rPr>
          <w:rFonts w:hint="eastAsia" w:ascii="宋体" w:hAnsi="宋体" w:eastAsia="宋体" w:cs="宋体"/>
          <w:color w:val="auto"/>
          <w:highlight w:val="none"/>
          <w:lang w:val="en-US" w:eastAsia="zh-CN"/>
        </w:rPr>
        <w:t>速</w:t>
      </w:r>
      <w:r>
        <w:rPr>
          <w:rFonts w:hint="eastAsia" w:ascii="宋体" w:hAnsi="宋体" w:eastAsia="宋体" w:cs="宋体"/>
          <w:color w:val="auto"/>
          <w:highlight w:val="none"/>
          <w:lang w:eastAsia="zh-CN"/>
        </w:rPr>
        <w:t>不得超过5KM，配送车辆在校区内应主动避让师生，如属中标供应商车辆责任造成校内人员（师生）事故的，一切责任由中标供应商承担。</w:t>
      </w:r>
    </w:p>
    <w:p w14:paraId="49012F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14.中标供应商应能够配合采购人及时更新所提供的符合卫监部门的有效证明材料。如有效的营业执照、产品合格证、食品经营许可证等。</w:t>
      </w:r>
    </w:p>
    <w:p w14:paraId="490759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15.中标供应商不得</w:t>
      </w:r>
      <w:r>
        <w:rPr>
          <w:rFonts w:hint="eastAsia" w:ascii="宋体" w:hAnsi="宋体" w:eastAsia="宋体" w:cs="宋体"/>
          <w:color w:val="auto"/>
          <w:highlight w:val="none"/>
          <w:lang w:val="en-US" w:eastAsia="zh-CN"/>
        </w:rPr>
        <w:t>泄</w:t>
      </w:r>
      <w:r>
        <w:rPr>
          <w:rFonts w:hint="eastAsia" w:ascii="宋体" w:hAnsi="宋体" w:eastAsia="宋体" w:cs="宋体"/>
          <w:color w:val="auto"/>
          <w:highlight w:val="none"/>
          <w:lang w:eastAsia="zh-CN"/>
        </w:rPr>
        <w:t>露采购人的商业秘密。</w:t>
      </w:r>
      <w:r>
        <w:rPr>
          <w:rFonts w:hint="eastAsia" w:ascii="宋体" w:hAnsi="宋体" w:eastAsia="宋体" w:cs="宋体"/>
          <w:color w:val="auto"/>
          <w:highlight w:val="none"/>
          <w:lang w:val="en-US" w:eastAsia="zh-CN"/>
        </w:rPr>
        <w:t>泄</w:t>
      </w:r>
      <w:r>
        <w:rPr>
          <w:rFonts w:hint="eastAsia" w:ascii="宋体" w:hAnsi="宋体" w:eastAsia="宋体" w:cs="宋体"/>
          <w:color w:val="auto"/>
          <w:highlight w:val="none"/>
          <w:lang w:eastAsia="zh-CN"/>
        </w:rPr>
        <w:t>密造成采购人损失的，中标供应商将承担由此产生的一切损失和法律责任。</w:t>
      </w:r>
    </w:p>
    <w:p w14:paraId="0FB16B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16.中标供应商的工作人员在履行合同的过程中发生人身损害事故的。相应的责任与损失由中标供应商自行承担；中标供应商的工作人员因履行合同造成采购人财产损失或采购人师生人员损害的，中标供应商承担连带责任。</w:t>
      </w:r>
    </w:p>
    <w:p w14:paraId="722822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17.如中标供应商在履行合同的过程中有不正当竞争行为的，采购人有权解除服务合同，没收中标供应商全部</w:t>
      </w:r>
      <w:r>
        <w:rPr>
          <w:rFonts w:hint="eastAsia" w:ascii="宋体" w:hAnsi="宋体" w:eastAsia="宋体" w:cs="宋体"/>
          <w:color w:val="auto"/>
          <w:highlight w:val="none"/>
          <w:lang w:val="en-US" w:eastAsia="zh-CN"/>
        </w:rPr>
        <w:t>履约</w:t>
      </w:r>
      <w:r>
        <w:rPr>
          <w:rFonts w:hint="eastAsia" w:ascii="宋体" w:hAnsi="宋体" w:eastAsia="宋体" w:cs="宋体"/>
          <w:color w:val="auto"/>
          <w:highlight w:val="none"/>
          <w:lang w:eastAsia="zh-CN"/>
        </w:rPr>
        <w:t>保证金。并按《中华人民共和国反不正当竞争法》的规定由相关部门追究其法律责任。</w:t>
      </w:r>
    </w:p>
    <w:p w14:paraId="5033AC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18、每季度定期或不定期接受主管部门、职能部门委托的第三方检测机构的抽样检验以上所产生的所有费用，均由中标供应商负担。</w:t>
      </w:r>
    </w:p>
    <w:p w14:paraId="0F2B9EAD">
      <w:pPr>
        <w:numPr>
          <w:ilvl w:val="0"/>
          <w:numId w:val="0"/>
        </w:num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lang w:eastAsia="zh-CN"/>
        </w:rPr>
        <w:t>、配送车辆及运</w:t>
      </w:r>
      <w:r>
        <w:rPr>
          <w:rFonts w:hint="eastAsia" w:ascii="宋体" w:hAnsi="宋体" w:eastAsia="宋体" w:cs="宋体"/>
          <w:b/>
          <w:bCs/>
          <w:color w:val="auto"/>
          <w:highlight w:val="none"/>
          <w:lang w:val="en-US" w:eastAsia="zh-CN"/>
        </w:rPr>
        <w:t>载</w:t>
      </w:r>
      <w:r>
        <w:rPr>
          <w:rFonts w:hint="eastAsia" w:ascii="宋体" w:hAnsi="宋体" w:eastAsia="宋体" w:cs="宋体"/>
          <w:b/>
          <w:bCs/>
          <w:color w:val="auto"/>
          <w:highlight w:val="none"/>
          <w:lang w:eastAsia="zh-CN"/>
        </w:rPr>
        <w:t>工具要求</w:t>
      </w:r>
    </w:p>
    <w:p w14:paraId="79E914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1.食品运输必须采用符合卫生标准的外包装和运载工具，所有运</w:t>
      </w:r>
      <w:r>
        <w:rPr>
          <w:rFonts w:hint="eastAsia" w:ascii="宋体" w:hAnsi="宋体" w:eastAsia="宋体" w:cs="宋体"/>
          <w:color w:val="auto"/>
          <w:highlight w:val="none"/>
          <w:lang w:val="en-US" w:eastAsia="zh-CN"/>
        </w:rPr>
        <w:t>输</w:t>
      </w:r>
      <w:r>
        <w:rPr>
          <w:rFonts w:hint="eastAsia" w:ascii="宋体" w:hAnsi="宋体" w:eastAsia="宋体" w:cs="宋体"/>
          <w:color w:val="auto"/>
          <w:highlight w:val="none"/>
          <w:lang w:eastAsia="zh-CN"/>
        </w:rPr>
        <w:t>工具都要保持干净。</w:t>
      </w:r>
    </w:p>
    <w:p w14:paraId="7EC6EF6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2.配送车辆专车专用，车身有明确的公司标识。车厢的内仓，包括地面、墙面和顶，应使用抗腐蚀、防潮，易清洁消毒的材料。车厢内无不良气味、异味。</w:t>
      </w:r>
    </w:p>
    <w:p w14:paraId="1426F9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3.整个运输过程应科学合理，保持性能稳定，符合规定的温度要求，使运输食品处于恒定的环境中。</w:t>
      </w:r>
    </w:p>
    <w:p w14:paraId="3B50CD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4.车厢内外应保持清洁</w:t>
      </w:r>
      <w:r>
        <w:rPr>
          <w:rFonts w:hint="eastAsia" w:ascii="宋体" w:hAnsi="宋体" w:eastAsia="宋体" w:cs="宋体"/>
          <w:color w:val="auto"/>
          <w:highlight w:val="none"/>
          <w:lang w:val="en-US" w:eastAsia="zh-CN"/>
        </w:rPr>
        <w:t>并</w:t>
      </w:r>
      <w:r>
        <w:rPr>
          <w:rFonts w:hint="eastAsia" w:ascii="宋体" w:hAnsi="宋体" w:eastAsia="宋体" w:cs="宋体"/>
          <w:color w:val="auto"/>
          <w:highlight w:val="none"/>
          <w:lang w:eastAsia="zh-CN"/>
        </w:rPr>
        <w:t>定期消毒，食品堆放科学合理，避免造成食品的交叉</w:t>
      </w:r>
      <w:r>
        <w:rPr>
          <w:rFonts w:hint="eastAsia" w:ascii="宋体" w:hAnsi="宋体" w:eastAsia="宋体" w:cs="宋体"/>
          <w:color w:val="auto"/>
          <w:highlight w:val="none"/>
          <w:lang w:val="en-US" w:eastAsia="zh-CN"/>
        </w:rPr>
        <w:t>污染。</w:t>
      </w:r>
      <w:r>
        <w:rPr>
          <w:rFonts w:hint="eastAsia" w:ascii="宋体" w:hAnsi="宋体" w:eastAsia="宋体" w:cs="宋体"/>
          <w:color w:val="auto"/>
          <w:highlight w:val="none"/>
          <w:lang w:eastAsia="zh-CN"/>
        </w:rPr>
        <w:t>如对温度有要求的食品应确定食品的温度，记</w:t>
      </w:r>
      <w:r>
        <w:rPr>
          <w:rFonts w:hint="eastAsia" w:ascii="宋体" w:hAnsi="宋体" w:eastAsia="宋体" w:cs="宋体"/>
          <w:color w:val="auto"/>
          <w:highlight w:val="none"/>
          <w:lang w:val="en-US" w:eastAsia="zh-CN"/>
        </w:rPr>
        <w:t>录</w:t>
      </w:r>
      <w:r>
        <w:rPr>
          <w:rFonts w:hint="eastAsia" w:ascii="宋体" w:hAnsi="宋体" w:eastAsia="宋体" w:cs="宋体"/>
          <w:color w:val="auto"/>
          <w:highlight w:val="none"/>
          <w:lang w:eastAsia="zh-CN"/>
        </w:rPr>
        <w:t>送货车辆温度，并记录存档。</w:t>
      </w:r>
    </w:p>
    <w:p w14:paraId="72AAD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5.配送车辆实行一小时配送</w:t>
      </w:r>
      <w:r>
        <w:rPr>
          <w:rFonts w:hint="eastAsia" w:ascii="宋体" w:hAnsi="宋体" w:eastAsia="宋体" w:cs="宋体"/>
          <w:color w:val="auto"/>
          <w:highlight w:val="none"/>
          <w:lang w:val="en-US" w:eastAsia="zh-CN"/>
        </w:rPr>
        <w:t>圈</w:t>
      </w:r>
      <w:r>
        <w:rPr>
          <w:rFonts w:hint="eastAsia" w:ascii="宋体" w:hAnsi="宋体" w:eastAsia="宋体" w:cs="宋体"/>
          <w:color w:val="auto"/>
          <w:highlight w:val="none"/>
          <w:lang w:eastAsia="zh-CN"/>
        </w:rPr>
        <w:t>运作</w:t>
      </w:r>
      <w:r>
        <w:rPr>
          <w:rFonts w:hint="eastAsia" w:ascii="宋体" w:hAnsi="宋体" w:eastAsia="宋体" w:cs="宋体"/>
          <w:color w:val="auto"/>
          <w:highlight w:val="none"/>
          <w:lang w:val="en-US" w:eastAsia="zh-CN"/>
        </w:rPr>
        <w:t>。</w:t>
      </w:r>
    </w:p>
    <w:p w14:paraId="5900A7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6.在配送卸货环节中应保证冷藏食品</w:t>
      </w:r>
      <w:r>
        <w:rPr>
          <w:rFonts w:hint="eastAsia" w:ascii="宋体" w:hAnsi="宋体" w:eastAsia="宋体" w:cs="宋体"/>
          <w:color w:val="auto"/>
          <w:highlight w:val="none"/>
          <w:lang w:val="en-US" w:eastAsia="zh-CN"/>
        </w:rPr>
        <w:t>脱离</w:t>
      </w:r>
      <w:r>
        <w:rPr>
          <w:rFonts w:hint="eastAsia" w:ascii="宋体" w:hAnsi="宋体" w:eastAsia="宋体" w:cs="宋体"/>
          <w:color w:val="auto"/>
          <w:highlight w:val="none"/>
          <w:lang w:eastAsia="zh-CN"/>
        </w:rPr>
        <w:t>冷链时间不超过20分钟。</w:t>
      </w:r>
    </w:p>
    <w:p w14:paraId="797746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7.配送车辆内的食品应有包装</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lang w:eastAsia="zh-CN"/>
        </w:rPr>
        <w:t>使用密闭容器盛放，容器材料应符合食品安全</w:t>
      </w:r>
      <w:r>
        <w:rPr>
          <w:rFonts w:hint="eastAsia" w:ascii="宋体" w:hAnsi="宋体" w:eastAsia="宋体" w:cs="宋体"/>
          <w:color w:val="auto"/>
          <w:highlight w:val="none"/>
          <w:lang w:val="en-US" w:eastAsia="zh-CN"/>
        </w:rPr>
        <w:t>国</w:t>
      </w:r>
      <w:r>
        <w:rPr>
          <w:rFonts w:hint="eastAsia" w:ascii="宋体" w:hAnsi="宋体" w:eastAsia="宋体" w:cs="宋体"/>
          <w:color w:val="auto"/>
          <w:highlight w:val="none"/>
          <w:lang w:eastAsia="zh-CN"/>
        </w:rPr>
        <w:t>家标准</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lang w:eastAsia="zh-CN"/>
        </w:rPr>
        <w:t>有关规定，高危易腐食品应采用冷冻（</w:t>
      </w:r>
      <w:r>
        <w:rPr>
          <w:rFonts w:hint="eastAsia" w:ascii="宋体" w:hAnsi="宋体" w:eastAsia="宋体" w:cs="宋体"/>
          <w:color w:val="auto"/>
          <w:highlight w:val="none"/>
          <w:lang w:val="en-US" w:eastAsia="zh-CN"/>
        </w:rPr>
        <w:t>藏）</w:t>
      </w:r>
      <w:r>
        <w:rPr>
          <w:rFonts w:hint="eastAsia" w:ascii="宋体" w:hAnsi="宋体" w:eastAsia="宋体" w:cs="宋体"/>
          <w:color w:val="auto"/>
          <w:highlight w:val="none"/>
          <w:lang w:eastAsia="zh-CN"/>
        </w:rPr>
        <w:t>方式配</w:t>
      </w:r>
      <w:r>
        <w:rPr>
          <w:rFonts w:hint="eastAsia" w:ascii="宋体" w:hAnsi="宋体" w:eastAsia="宋体" w:cs="宋体"/>
          <w:color w:val="auto"/>
          <w:highlight w:val="none"/>
          <w:lang w:val="en-US" w:eastAsia="zh-CN"/>
        </w:rPr>
        <w:t>送</w:t>
      </w:r>
      <w:r>
        <w:rPr>
          <w:rFonts w:hint="eastAsia" w:ascii="宋体" w:hAnsi="宋体" w:eastAsia="宋体" w:cs="宋体"/>
          <w:color w:val="auto"/>
          <w:highlight w:val="none"/>
          <w:lang w:eastAsia="zh-CN"/>
        </w:rPr>
        <w:t>。</w:t>
      </w:r>
    </w:p>
    <w:p w14:paraId="2763A916">
      <w:pPr>
        <w:numPr>
          <w:ilvl w:val="0"/>
          <w:numId w:val="0"/>
        </w:num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lang w:eastAsia="zh-CN"/>
        </w:rPr>
        <w:t>、验收要求</w:t>
      </w:r>
    </w:p>
    <w:p w14:paraId="647031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1.做好卸货前的检查。采购人和中标供应商双方的验收人员卸货前应对场地和验收设备做好准备。并对货物的外观质量进行初步了解。</w:t>
      </w:r>
    </w:p>
    <w:p w14:paraId="71733E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2.采取现场验收的方式，双方验收人员应认真检查物资的质量，按索票、</w:t>
      </w:r>
      <w:r>
        <w:rPr>
          <w:rFonts w:hint="eastAsia" w:ascii="宋体" w:hAnsi="宋体" w:eastAsia="宋体" w:cs="宋体"/>
          <w:color w:val="auto"/>
          <w:highlight w:val="none"/>
          <w:lang w:val="en-US" w:eastAsia="zh-CN"/>
        </w:rPr>
        <w:t>索据、</w:t>
      </w:r>
      <w:r>
        <w:rPr>
          <w:rFonts w:hint="eastAsia" w:ascii="宋体" w:hAnsi="宋体" w:eastAsia="宋体" w:cs="宋体"/>
          <w:color w:val="auto"/>
          <w:highlight w:val="none"/>
          <w:lang w:eastAsia="zh-CN"/>
        </w:rPr>
        <w:t>验证</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抽查</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过磅（清点）</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入库的程序完成验收，中标供应商可提供原件的留件，件只有一份无法提供给采购人的，查验原件后索取复印件留存。</w:t>
      </w:r>
    </w:p>
    <w:p w14:paraId="605946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3.对每次验收的物资均记录物资名称、数量、验收情况等事项，并由双方签名确认。</w:t>
      </w:r>
    </w:p>
    <w:p w14:paraId="7608B8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4.采购人在签收的同时，将随机抽取一份封存并做好相关的标识记录，中标供应商配送人员对此应予以确认，该封存食物封存时间将不少于48小时，且作为中标供应商所配送的食物品质依据之一，以备今后核查。</w:t>
      </w:r>
    </w:p>
    <w:p w14:paraId="57BA89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5.每批次每种货物均抽查验收，按前附产品质量描述对货物质量进行抽查。</w:t>
      </w:r>
    </w:p>
    <w:p w14:paraId="295E70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6.整批食品无或缺少《</w:t>
      </w:r>
      <w:r>
        <w:rPr>
          <w:rFonts w:hint="eastAsia" w:ascii="宋体" w:hAnsi="宋体" w:eastAsia="宋体" w:cs="宋体"/>
          <w:color w:val="auto"/>
          <w:highlight w:val="none"/>
          <w:lang w:val="en-US" w:eastAsia="zh-CN"/>
        </w:rPr>
        <w:t>溯</w:t>
      </w:r>
      <w:r>
        <w:rPr>
          <w:rFonts w:hint="eastAsia" w:ascii="宋体" w:hAnsi="宋体" w:eastAsia="宋体" w:cs="宋体"/>
          <w:color w:val="auto"/>
          <w:highlight w:val="none"/>
          <w:lang w:eastAsia="zh-CN"/>
        </w:rPr>
        <w:t>源标准及要求》中提及的相应票证的全部退货。</w:t>
      </w:r>
    </w:p>
    <w:p w14:paraId="1BE163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7.对缺斤短两的按实际缺少重量进行扣减，对含水量超标的作退货处理。</w:t>
      </w:r>
    </w:p>
    <w:p w14:paraId="44D693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8.有关大米、大批量统一包装同种食品重量的抽查；</w:t>
      </w:r>
    </w:p>
    <w:p w14:paraId="2CD771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（1）在当供货批次中随机选择5袋进行称重；</w:t>
      </w:r>
    </w:p>
    <w:p w14:paraId="25561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（2）以每袋称重之和的平均值作为当供货批次的抽查重量。</w:t>
      </w:r>
    </w:p>
    <w:p w14:paraId="392A0B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9.发现食品安全质量问题的处理</w:t>
      </w:r>
    </w:p>
    <w:p w14:paraId="59A8F8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（1）对危及人身安全的食品质量问题采取零</w:t>
      </w:r>
      <w:r>
        <w:rPr>
          <w:rFonts w:hint="eastAsia" w:ascii="宋体" w:hAnsi="宋体" w:eastAsia="宋体" w:cs="宋体"/>
          <w:color w:val="auto"/>
          <w:highlight w:val="none"/>
          <w:lang w:val="en-US" w:eastAsia="zh-CN"/>
        </w:rPr>
        <w:t>容忍</w:t>
      </w:r>
      <w:r>
        <w:rPr>
          <w:rFonts w:hint="eastAsia" w:ascii="宋体" w:hAnsi="宋体" w:eastAsia="宋体" w:cs="宋体"/>
          <w:color w:val="auto"/>
          <w:highlight w:val="none"/>
          <w:lang w:eastAsia="zh-CN"/>
        </w:rPr>
        <w:t>措施，中标供应商提供假冒伪劣、过期、变质、有毒对身体产生不利影响或不符合卫生标准的食品，一经发现，当日所送同批次食品全部退货。</w:t>
      </w:r>
    </w:p>
    <w:p w14:paraId="2BFC44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（2）若抽查未发现问题，而在加工食用前发现部分产品质量问题，采购人有权通知中标供应商将问题食品或全部食品进行退货处理。</w:t>
      </w:r>
    </w:p>
    <w:p w14:paraId="195A0C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（3）采购人</w:t>
      </w:r>
      <w:r>
        <w:rPr>
          <w:rFonts w:hint="eastAsia" w:ascii="宋体" w:hAnsi="宋体" w:eastAsia="宋体" w:cs="宋体"/>
          <w:color w:val="auto"/>
          <w:highlight w:val="none"/>
          <w:lang w:val="en-US" w:eastAsia="zh-CN"/>
        </w:rPr>
        <w:t>退</w:t>
      </w:r>
      <w:r>
        <w:rPr>
          <w:rFonts w:hint="eastAsia" w:ascii="宋体" w:hAnsi="宋体" w:eastAsia="宋体" w:cs="宋体"/>
          <w:color w:val="auto"/>
          <w:highlight w:val="none"/>
          <w:lang w:eastAsia="zh-CN"/>
        </w:rPr>
        <w:t>货后将记录在案，并向中标供应商主张违约金，除要承担因此产生的一切损失和费用外。同时采购人有权取消中标供应商服务资格。</w:t>
      </w:r>
    </w:p>
    <w:p w14:paraId="54FD2B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10.退（补）货流程</w:t>
      </w:r>
    </w:p>
    <w:p w14:paraId="32A4C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对不符合采购要求的食品由采购人提出清退,如双方对质量或重量有争议的可送具有检验资质的部门检测，同时留样备检，对数量不足或退货的，责令中标供应商以不影响学生伙食供应为前提。1小时内补送到位。</w:t>
      </w:r>
    </w:p>
    <w:p w14:paraId="11EA28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11.食品的质量问</w:t>
      </w:r>
      <w:r>
        <w:rPr>
          <w:rFonts w:hint="eastAsia" w:ascii="宋体" w:hAnsi="宋体" w:eastAsia="宋体" w:cs="宋体"/>
          <w:color w:val="auto"/>
          <w:highlight w:val="none"/>
          <w:lang w:val="en-US" w:eastAsia="zh-CN"/>
        </w:rPr>
        <w:t>题</w:t>
      </w:r>
      <w:r>
        <w:rPr>
          <w:rFonts w:hint="eastAsia" w:ascii="宋体" w:hAnsi="宋体" w:eastAsia="宋体" w:cs="宋体"/>
          <w:color w:val="auto"/>
          <w:highlight w:val="none"/>
          <w:lang w:eastAsia="zh-CN"/>
        </w:rPr>
        <w:t>争议及解决办法</w:t>
      </w:r>
    </w:p>
    <w:p w14:paraId="161467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因食品的质量问题发生争议,由当地质量鉴定单位或国家法定的质量鉴定单位进行质量鉴定。食品符合质量标准的，鉴定费由采购人承担</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食品不符合质量标准的，鉴定费由中标供应商承担，并且采购人有权追究中标供应商的相关责任。</w:t>
      </w:r>
    </w:p>
    <w:p w14:paraId="541867C5">
      <w:pPr>
        <w:numPr>
          <w:ilvl w:val="0"/>
          <w:numId w:val="0"/>
        </w:numPr>
        <w:spacing w:line="360" w:lineRule="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lang w:eastAsia="zh-CN"/>
        </w:rPr>
        <w:t>、溯源标准及要求</w:t>
      </w:r>
    </w:p>
    <w:p w14:paraId="5BD3C099">
      <w:pPr>
        <w:numPr>
          <w:ilvl w:val="0"/>
          <w:numId w:val="0"/>
        </w:num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食品溯源要求，中标供应商对食品供应链进行明确，所有食品的来源必须清晰，直接接触食品相关产品（包装材料）要有S标志，预包装食品要有以SC开头的生产许可证号（2018年10月1日起，必须为以SC开头的生产许可证号），生产食品的源头与中标供应商要有固定的合法的供应关系，严禁收购非标准产品供应。招标文件要求对食品的来源和质量标准要有详尽的描述，并提出验收的行业标准和感官标准。如该品牌商品无质量标准，则由投标人按国家和行业的要求自行描述。为做到“来源可追溯、去向可查证”的目的，中标供应商要严格按照“测源标准”提供票证，做到货到票证到，并将票据原件交用申方饭堂存档备查。验收中无票证、货与票证不相符的以及要素不全的，采购人有权拒收，溯源的相关标准如下，如有最新规定，则遵从最新规定。</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2323"/>
        <w:gridCol w:w="5405"/>
      </w:tblGrid>
      <w:tr w14:paraId="0250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559" w:type="dxa"/>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A8F302">
            <w:pPr>
              <w:keepNext w:val="0"/>
              <w:keepLines w:val="0"/>
              <w:numPr>
                <w:ilvl w:val="0"/>
                <w:numId w:val="0"/>
              </w:numPr>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p>
          <w:p w14:paraId="79A73167">
            <w:pPr>
              <w:keepNext w:val="0"/>
              <w:keepLines w:val="0"/>
              <w:numPr>
                <w:ilvl w:val="0"/>
                <w:numId w:val="0"/>
              </w:numPr>
              <w:suppressLineNumbers w:val="0"/>
              <w:snapToGrid w:val="0"/>
              <w:spacing w:before="0" w:beforeAutospacing="0" w:after="0" w:afterAutospacing="0"/>
              <w:ind w:left="0" w:right="0"/>
              <w:jc w:val="left"/>
              <mc:AlternateContent>
                <mc:Choice Requires="wpsCustomData">
                  <wpsCustomData:diagonalParaType/>
                </mc:Choice>
              </mc:AlternateContent>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食品种类</w:t>
            </w:r>
          </w:p>
          <w:p w14:paraId="1A9F5249">
            <w:pPr>
              <w:keepNext w:val="0"/>
              <w:keepLines w:val="0"/>
              <w:numPr>
                <w:ilvl w:val="0"/>
                <w:numId w:val="0"/>
              </w:numPr>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票证要求</w:t>
            </w:r>
          </w:p>
          <w:p w14:paraId="3FE541CA">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p>
        </w:tc>
        <w:tc>
          <w:tcPr>
            <w:tcW w:w="2323" w:type="dxa"/>
            <w:vAlign w:val="center"/>
          </w:tcPr>
          <w:p w14:paraId="5384E9AB">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产品</w:t>
            </w:r>
            <w:r>
              <w:rPr>
                <w:rFonts w:hint="eastAsia" w:ascii="宋体" w:hAnsi="宋体" w:eastAsia="宋体" w:cs="宋体"/>
                <w:color w:val="auto"/>
                <w:sz w:val="21"/>
                <w:szCs w:val="21"/>
                <w:highlight w:val="none"/>
                <w:vertAlign w:val="baseline"/>
                <w:lang w:eastAsia="zh-CN"/>
              </w:rPr>
              <w:t>的资质证明；（首次供应时提供）</w:t>
            </w:r>
          </w:p>
        </w:tc>
        <w:tc>
          <w:tcPr>
            <w:tcW w:w="5406" w:type="dxa"/>
            <w:vAlign w:val="center"/>
          </w:tcPr>
          <w:p w14:paraId="2F332E5C">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产品票证要求</w:t>
            </w:r>
          </w:p>
        </w:tc>
      </w:tr>
      <w:tr w14:paraId="0B90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3FFBFA82">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蔬菜瓜果</w:t>
            </w:r>
          </w:p>
        </w:tc>
        <w:tc>
          <w:tcPr>
            <w:tcW w:w="2323" w:type="dxa"/>
            <w:vAlign w:val="center"/>
          </w:tcPr>
          <w:p w14:paraId="6C9FA5FE">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《企业法人营业执照》副本（三证合一）</w:t>
            </w:r>
          </w:p>
        </w:tc>
        <w:tc>
          <w:tcPr>
            <w:tcW w:w="5406" w:type="dxa"/>
            <w:vAlign w:val="center"/>
          </w:tcPr>
          <w:p w14:paraId="1B59FD8D">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eastAsia="zh-CN"/>
              </w:rPr>
              <w:t>蔬菜农药残留含量</w:t>
            </w:r>
            <w:r>
              <w:rPr>
                <w:rFonts w:hint="eastAsia" w:ascii="宋体" w:hAnsi="宋体" w:eastAsia="宋体" w:cs="宋体"/>
                <w:color w:val="auto"/>
                <w:sz w:val="21"/>
                <w:szCs w:val="21"/>
                <w:highlight w:val="none"/>
                <w:vertAlign w:val="baseline"/>
                <w:lang w:val="en-US" w:eastAsia="zh-CN"/>
              </w:rPr>
              <w:t>未</w:t>
            </w:r>
            <w:r>
              <w:rPr>
                <w:rFonts w:hint="eastAsia" w:ascii="宋体" w:hAnsi="宋体" w:eastAsia="宋体" w:cs="宋体"/>
                <w:color w:val="auto"/>
                <w:sz w:val="21"/>
                <w:szCs w:val="21"/>
                <w:highlight w:val="none"/>
                <w:vertAlign w:val="baseline"/>
                <w:lang w:eastAsia="zh-CN"/>
              </w:rPr>
              <w:t>超过食品安全标准限量检测报告；</w:t>
            </w:r>
          </w:p>
          <w:p w14:paraId="163BA11F">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eastAsia="zh-CN"/>
              </w:rPr>
              <w:t>每次供货票据（供货发票与</w:t>
            </w:r>
            <w:r>
              <w:rPr>
                <w:rFonts w:hint="eastAsia" w:ascii="宋体" w:hAnsi="宋体" w:eastAsia="宋体" w:cs="宋体"/>
                <w:color w:val="auto"/>
                <w:sz w:val="21"/>
                <w:szCs w:val="21"/>
                <w:highlight w:val="none"/>
                <w:vertAlign w:val="baseline"/>
                <w:lang w:val="en-US" w:eastAsia="zh-CN"/>
              </w:rPr>
              <w:t>送</w:t>
            </w:r>
            <w:r>
              <w:rPr>
                <w:rFonts w:hint="eastAsia" w:ascii="宋体" w:hAnsi="宋体" w:eastAsia="宋体" w:cs="宋体"/>
                <w:color w:val="auto"/>
                <w:sz w:val="21"/>
                <w:szCs w:val="21"/>
                <w:highlight w:val="none"/>
                <w:vertAlign w:val="baseline"/>
                <w:lang w:eastAsia="zh-CN"/>
              </w:rPr>
              <w:t>货清单）应当包括供货方名称、产品名称、产品数量、送货或购买</w:t>
            </w:r>
            <w:r>
              <w:rPr>
                <w:rFonts w:hint="eastAsia" w:ascii="宋体" w:hAnsi="宋体" w:eastAsia="宋体" w:cs="宋体"/>
                <w:color w:val="auto"/>
                <w:sz w:val="21"/>
                <w:szCs w:val="21"/>
                <w:highlight w:val="none"/>
                <w:vertAlign w:val="baseline"/>
                <w:lang w:val="en-US" w:eastAsia="zh-CN"/>
              </w:rPr>
              <w:t>日</w:t>
            </w:r>
            <w:r>
              <w:rPr>
                <w:rFonts w:hint="eastAsia" w:ascii="宋体" w:hAnsi="宋体" w:eastAsia="宋体" w:cs="宋体"/>
                <w:color w:val="auto"/>
                <w:sz w:val="21"/>
                <w:szCs w:val="21"/>
                <w:highlight w:val="none"/>
                <w:vertAlign w:val="baseline"/>
                <w:lang w:eastAsia="zh-CN"/>
              </w:rPr>
              <w:t>期等内容，并加盖中标供应商公章。</w:t>
            </w:r>
          </w:p>
        </w:tc>
      </w:tr>
      <w:tr w14:paraId="3C98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7F332464">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肉类</w:t>
            </w:r>
          </w:p>
        </w:tc>
        <w:tc>
          <w:tcPr>
            <w:tcW w:w="2323" w:type="dxa"/>
            <w:vAlign w:val="center"/>
          </w:tcPr>
          <w:p w14:paraId="4268AE92">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《企业法人营业执照》副本（三证合一）、《食品经营许可证》</w:t>
            </w:r>
          </w:p>
        </w:tc>
        <w:tc>
          <w:tcPr>
            <w:tcW w:w="5406" w:type="dxa"/>
            <w:vAlign w:val="center"/>
          </w:tcPr>
          <w:p w14:paraId="72EB90F5">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eastAsia="zh-CN"/>
              </w:rPr>
              <w:t>每批次食品提供《出县境动物产品检疫合格证》/《动物产品检疫合格证》、《产品合格证》、《卫生检疫报告》、《贮存地的出入库检疫证明》（水产品适用）；</w:t>
            </w:r>
          </w:p>
          <w:p w14:paraId="3B7B00D4">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eastAsia="zh-CN"/>
              </w:rPr>
              <w:t>鲜肉类均为定点屠宰场（厂）经检</w:t>
            </w:r>
            <w:r>
              <w:rPr>
                <w:rFonts w:hint="eastAsia" w:ascii="宋体" w:hAnsi="宋体" w:eastAsia="宋体" w:cs="宋体"/>
                <w:color w:val="auto"/>
                <w:sz w:val="21"/>
                <w:szCs w:val="21"/>
                <w:highlight w:val="none"/>
                <w:vertAlign w:val="baseline"/>
                <w:lang w:val="en-US" w:eastAsia="zh-CN"/>
              </w:rPr>
              <w:t>疫</w:t>
            </w:r>
            <w:r>
              <w:rPr>
                <w:rFonts w:hint="eastAsia" w:ascii="宋体" w:hAnsi="宋体" w:eastAsia="宋体" w:cs="宋体"/>
                <w:color w:val="auto"/>
                <w:sz w:val="21"/>
                <w:szCs w:val="21"/>
                <w:highlight w:val="none"/>
                <w:vertAlign w:val="baseline"/>
                <w:lang w:eastAsia="zh-CN"/>
              </w:rPr>
              <w:t>和肉品品质检验合格的产品，具有由定点屠宰场（厂）加盖</w:t>
            </w:r>
            <w:r>
              <w:rPr>
                <w:rFonts w:hint="eastAsia" w:ascii="宋体" w:hAnsi="宋体" w:eastAsia="宋体" w:cs="宋体"/>
                <w:color w:val="auto"/>
                <w:sz w:val="21"/>
                <w:szCs w:val="21"/>
                <w:highlight w:val="none"/>
                <w:vertAlign w:val="baseline"/>
                <w:lang w:val="en-US" w:eastAsia="zh-CN"/>
              </w:rPr>
              <w:t>验讫</w:t>
            </w:r>
            <w:r>
              <w:rPr>
                <w:rFonts w:hint="eastAsia" w:ascii="宋体" w:hAnsi="宋体" w:eastAsia="宋体" w:cs="宋体"/>
                <w:color w:val="auto"/>
                <w:sz w:val="21"/>
                <w:szCs w:val="21"/>
                <w:highlight w:val="none"/>
                <w:vertAlign w:val="baseline"/>
                <w:lang w:eastAsia="zh-CN"/>
              </w:rPr>
              <w:t>印章并出具《产品检验证明》</w:t>
            </w:r>
          </w:p>
          <w:p w14:paraId="3EFAB623">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3、每次供货票据（供货发票与送货清单）应当包括供货方名称、产品名称、产品数量、送货或购买日期等内容。并加盖中标供应商公章。</w:t>
            </w:r>
          </w:p>
        </w:tc>
      </w:tr>
      <w:tr w14:paraId="385B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6E65B032">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粮油</w:t>
            </w:r>
          </w:p>
        </w:tc>
        <w:tc>
          <w:tcPr>
            <w:tcW w:w="2323" w:type="dxa"/>
            <w:vAlign w:val="center"/>
          </w:tcPr>
          <w:p w14:paraId="388EA952">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eastAsia="zh-CN"/>
              </w:rPr>
              <w:t>《企业法人营业执照》副本（三证合一）、《食品经营许可证》</w:t>
            </w:r>
          </w:p>
        </w:tc>
        <w:tc>
          <w:tcPr>
            <w:tcW w:w="5406" w:type="dxa"/>
            <w:vAlign w:val="center"/>
          </w:tcPr>
          <w:p w14:paraId="5D0E225D">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lang w:eastAsia="zh-CN"/>
              </w:rPr>
              <w:t>每批次食品提供《出厂检验报告》；</w:t>
            </w:r>
          </w:p>
          <w:p w14:paraId="0F9BE1E3">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eastAsia="zh-CN"/>
              </w:rPr>
              <w:t>每季度提供由政府产品质量监督部门出具《产品质量检验报告》；</w:t>
            </w:r>
          </w:p>
          <w:p w14:paraId="0CD67F1F">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lang w:eastAsia="zh-CN"/>
              </w:rPr>
              <w:t>每次供货票据（供货发票与送货清单）应当包括供货方名称、产品名称、产品数量、送货或购买日期等内容，并加盖中标供应商公章。</w:t>
            </w:r>
          </w:p>
          <w:p w14:paraId="16E82795">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val="en-US" w:eastAsia="zh-CN"/>
              </w:rPr>
              <w:t>4、</w:t>
            </w:r>
            <w:r>
              <w:rPr>
                <w:rFonts w:hint="eastAsia" w:ascii="宋体" w:hAnsi="宋体" w:eastAsia="宋体" w:cs="宋体"/>
                <w:color w:val="auto"/>
                <w:sz w:val="21"/>
                <w:szCs w:val="21"/>
                <w:highlight w:val="none"/>
                <w:vertAlign w:val="baseline"/>
                <w:lang w:eastAsia="zh-CN"/>
              </w:rPr>
              <w:t>能在微信小程序“条码追溯”中可以查询到相关信息。</w:t>
            </w:r>
          </w:p>
        </w:tc>
      </w:tr>
      <w:tr w14:paraId="748C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2F36A541">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副食品</w:t>
            </w:r>
          </w:p>
        </w:tc>
        <w:tc>
          <w:tcPr>
            <w:tcW w:w="2323" w:type="dxa"/>
            <w:vAlign w:val="center"/>
          </w:tcPr>
          <w:p w14:paraId="7C79C5F6">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《企业法人营业执照》副本（三证合一）、《食品经营许可证》</w:t>
            </w:r>
          </w:p>
        </w:tc>
        <w:tc>
          <w:tcPr>
            <w:tcW w:w="5406" w:type="dxa"/>
            <w:vAlign w:val="center"/>
          </w:tcPr>
          <w:p w14:paraId="17F67C16">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auto"/>
                <w:sz w:val="21"/>
                <w:szCs w:val="21"/>
                <w:highlight w:val="none"/>
                <w:vertAlign w:val="baseline"/>
                <w:lang w:val="en-US" w:eastAsia="zh-CN"/>
              </w:rPr>
              <w:t>日</w:t>
            </w:r>
            <w:r>
              <w:rPr>
                <w:rFonts w:hint="eastAsia" w:ascii="宋体" w:hAnsi="宋体" w:eastAsia="宋体" w:cs="宋体"/>
                <w:color w:val="auto"/>
                <w:sz w:val="21"/>
                <w:szCs w:val="21"/>
                <w:highlight w:val="none"/>
                <w:vertAlign w:val="baseline"/>
                <w:lang w:eastAsia="zh-CN"/>
              </w:rPr>
              <w:t>期等内容，并加</w:t>
            </w:r>
            <w:r>
              <w:rPr>
                <w:rFonts w:hint="eastAsia" w:ascii="宋体" w:hAnsi="宋体" w:eastAsia="宋体" w:cs="宋体"/>
                <w:color w:val="auto"/>
                <w:sz w:val="21"/>
                <w:szCs w:val="21"/>
                <w:highlight w:val="none"/>
                <w:vertAlign w:val="baseline"/>
                <w:lang w:val="en-US" w:eastAsia="zh-CN"/>
              </w:rPr>
              <w:t>盖</w:t>
            </w:r>
            <w:r>
              <w:rPr>
                <w:rFonts w:hint="eastAsia" w:ascii="宋体" w:hAnsi="宋体" w:eastAsia="宋体" w:cs="宋体"/>
                <w:color w:val="auto"/>
                <w:sz w:val="21"/>
                <w:szCs w:val="21"/>
                <w:highlight w:val="none"/>
                <w:vertAlign w:val="baseline"/>
                <w:lang w:eastAsia="zh-CN"/>
              </w:rPr>
              <w:t>中标供应商公章。</w:t>
            </w:r>
          </w:p>
        </w:tc>
      </w:tr>
      <w:tr w14:paraId="0344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3F6960D1">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杂货</w:t>
            </w:r>
          </w:p>
        </w:tc>
        <w:tc>
          <w:tcPr>
            <w:tcW w:w="2323" w:type="dxa"/>
            <w:vAlign w:val="center"/>
          </w:tcPr>
          <w:p w14:paraId="6C68555D">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《企业法人营业执照》副本（三证合一）</w:t>
            </w:r>
          </w:p>
        </w:tc>
        <w:tc>
          <w:tcPr>
            <w:tcW w:w="5406" w:type="dxa"/>
            <w:vAlign w:val="center"/>
          </w:tcPr>
          <w:p w14:paraId="0502567D">
            <w:pPr>
              <w:keepNext w:val="0"/>
              <w:keepLines w:val="0"/>
              <w:numPr>
                <w:ilvl w:val="0"/>
                <w:numId w:val="0"/>
              </w:numPr>
              <w:suppressLineNumbers w:val="0"/>
              <w:spacing w:before="0" w:beforeAutospacing="0" w:after="0" w:afterAutospacing="0"/>
              <w:ind w:left="0" w:right="0"/>
              <w:jc w:val="both"/>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每次供货票据（供货发票与送货清单）应当包括供货方名称、产品名称、产品数量、送货或购买</w:t>
            </w:r>
            <w:r>
              <w:rPr>
                <w:rFonts w:hint="eastAsia" w:ascii="宋体" w:hAnsi="宋体" w:eastAsia="宋体" w:cs="宋体"/>
                <w:color w:val="auto"/>
                <w:sz w:val="21"/>
                <w:szCs w:val="21"/>
                <w:highlight w:val="none"/>
                <w:vertAlign w:val="baseline"/>
                <w:lang w:val="en-US" w:eastAsia="zh-CN"/>
              </w:rPr>
              <w:t>日</w:t>
            </w:r>
            <w:r>
              <w:rPr>
                <w:rFonts w:hint="eastAsia" w:ascii="宋体" w:hAnsi="宋体" w:eastAsia="宋体" w:cs="宋体"/>
                <w:color w:val="auto"/>
                <w:sz w:val="21"/>
                <w:szCs w:val="21"/>
                <w:highlight w:val="none"/>
                <w:vertAlign w:val="baseline"/>
                <w:lang w:eastAsia="zh-CN"/>
              </w:rPr>
              <w:t>期等内容，并加</w:t>
            </w:r>
            <w:r>
              <w:rPr>
                <w:rFonts w:hint="eastAsia" w:ascii="宋体" w:hAnsi="宋体" w:eastAsia="宋体" w:cs="宋体"/>
                <w:color w:val="auto"/>
                <w:sz w:val="21"/>
                <w:szCs w:val="21"/>
                <w:highlight w:val="none"/>
                <w:vertAlign w:val="baseline"/>
                <w:lang w:val="en-US" w:eastAsia="zh-CN"/>
              </w:rPr>
              <w:t>盖</w:t>
            </w:r>
            <w:r>
              <w:rPr>
                <w:rFonts w:hint="eastAsia" w:ascii="宋体" w:hAnsi="宋体" w:eastAsia="宋体" w:cs="宋体"/>
                <w:color w:val="auto"/>
                <w:sz w:val="21"/>
                <w:szCs w:val="21"/>
                <w:highlight w:val="none"/>
                <w:vertAlign w:val="baseline"/>
                <w:lang w:eastAsia="zh-CN"/>
              </w:rPr>
              <w:t>中标供应商公章。</w:t>
            </w:r>
          </w:p>
        </w:tc>
      </w:tr>
      <w:tr w14:paraId="20EF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14:paraId="0FCD42D4">
            <w:pPr>
              <w:keepNext w:val="0"/>
              <w:keepLines w:val="0"/>
              <w:numPr>
                <w:ilvl w:val="0"/>
                <w:numId w:val="0"/>
              </w:numPr>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日常用品类</w:t>
            </w:r>
          </w:p>
        </w:tc>
        <w:tc>
          <w:tcPr>
            <w:tcW w:w="7729" w:type="dxa"/>
            <w:gridSpan w:val="2"/>
          </w:tcPr>
          <w:p w14:paraId="586CA687">
            <w:pPr>
              <w:keepNext w:val="0"/>
              <w:keepLines w:val="0"/>
              <w:numPr>
                <w:ilvl w:val="0"/>
                <w:numId w:val="0"/>
              </w:numPr>
              <w:suppressLineNumbers w:val="0"/>
              <w:spacing w:before="0" w:beforeAutospacing="0" w:after="0" w:afterAutospacing="0"/>
              <w:ind w:left="0" w:right="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口常用品类必须源于正规生产厂商或批发交易市场。</w:t>
            </w:r>
          </w:p>
        </w:tc>
      </w:tr>
    </w:tbl>
    <w:p w14:paraId="44CFA35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、项目其它要求</w:t>
      </w:r>
    </w:p>
    <w:p w14:paraId="08F11C2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76C6944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2.中标供应商因违反合同约定给采购人造成重大影响或经济损失，由此所造成采购人的经济损失以及引致的法律责任由中标供应商承担。</w:t>
      </w:r>
    </w:p>
    <w:p w14:paraId="3FFE9CE6">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420" w:firstLineChars="200"/>
        <w:jc w:val="left"/>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3.非采购人的原因而出现食品质量问题，由中标供应商负责更换或退货，并承担因此而产生的一切责任及费用。</w:t>
      </w:r>
    </w:p>
    <w:p w14:paraId="24E3F65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4.采购人对中标供应商食品配送工作进行不定期抽查考核，原则上每月考核一次。</w:t>
      </w:r>
    </w:p>
    <w:p w14:paraId="7F91168E">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5.中标供应商有以下行为，经调查属实的，采购人将立即解除相关供应合同：</w:t>
      </w:r>
    </w:p>
    <w:p w14:paraId="02F24B5F">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5.1 弄虚作假，提供虚假材料取得中标资格的；</w:t>
      </w:r>
    </w:p>
    <w:p w14:paraId="6E6C00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5.2 因所供货物质量原因导致发生食品安全事故的；</w:t>
      </w:r>
    </w:p>
    <w:p w14:paraId="298EC00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5.3 中标后将项目转包、分包行为的；</w:t>
      </w:r>
    </w:p>
    <w:p w14:paraId="1EF91DC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5.4 无正当理由拒绝履行合同向采购人供货的；</w:t>
      </w:r>
    </w:p>
    <w:p w14:paraId="7DE0399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5.5 有行贿、给回扣等不正当竞争行为的；</w:t>
      </w:r>
    </w:p>
    <w:p w14:paraId="458F3DB5">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5.6 所供应食品存在故意假冒伪劣行为的；</w:t>
      </w:r>
    </w:p>
    <w:p w14:paraId="430468E7">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5.7 经营情况发生重大变化，已经不具备承接中标供应项目能力的；</w:t>
      </w:r>
    </w:p>
    <w:p w14:paraId="2AE4A56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5.8 违反招标文件和合同相关管理规定，或有其它违法违纪行为的。</w:t>
      </w:r>
    </w:p>
    <w:p w14:paraId="711EDA8B">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 xml:space="preserve">十、供货商的退出机制 </w:t>
      </w:r>
    </w:p>
    <w:p w14:paraId="6F8319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（一）主动退出 </w:t>
      </w:r>
    </w:p>
    <w:p w14:paraId="771B3D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供货商中标或选定后因各种原因无法履行合同或职责，中途主动退出的，需提前30日向学校提出书面申请。主动退出的供货商，自退出之日起3年内不能参加或提供该校食堂食品食材采购和配送。</w:t>
      </w:r>
    </w:p>
    <w:p w14:paraId="438F9E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（二）一票否决退出</w:t>
      </w:r>
    </w:p>
    <w:p w14:paraId="0CB1E0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供货商在履行供货合同期间，如有以下情形之一的，相关学校可与供货商终止供货合同：</w:t>
      </w:r>
    </w:p>
    <w:p w14:paraId="3B8586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1.因提供的食品食材问题而发生学校食品安全事故被相关部门认定，造成不良影响的；</w:t>
      </w:r>
    </w:p>
    <w:p w14:paraId="332A5A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2.供货商提供的食品食材被市场监管部门（或第三方抽检机构）抽检认定为存在质量问题或不合格的，一年内达两次或两次以上的；</w:t>
      </w:r>
    </w:p>
    <w:p w14:paraId="3C91133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3.相关证照被行政主管部门吊销的；</w:t>
      </w:r>
    </w:p>
    <w:p w14:paraId="3881DC2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4.供应商因违规违纪行为，受到行业监督管理部门通报、查处的；</w:t>
      </w:r>
    </w:p>
    <w:p w14:paraId="373E4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5.发生重大服务质量问题受到有关政府部门处罚的；</w:t>
      </w:r>
    </w:p>
    <w:p w14:paraId="303C68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6.与他人串通，向学校主管人员或验收货人进行物质、金钱行贿的，损害国家利益、社会公共利益或师生合法权益的；</w:t>
      </w:r>
    </w:p>
    <w:p w14:paraId="4B8B2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7.不能按学校要求的期限完成供货计划，因供应商的原因影响学校师生无法正常用餐的；</w:t>
      </w:r>
    </w:p>
    <w:p w14:paraId="2F39E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8.工作态度或服务态度不端正，学校提出书面整改（或警告）通知后仍未采取有效措施进行改善，累计达3次的；</w:t>
      </w:r>
    </w:p>
    <w:p w14:paraId="44B221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9.无故推托或拒绝接受供货任务累计达3次的；</w:t>
      </w:r>
    </w:p>
    <w:p w14:paraId="1AA0A7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10.供应商违反了诚实信用和投标承诺，没有严格执行相关质量、服务，损害学校或师生利益的；</w:t>
      </w:r>
    </w:p>
    <w:p w14:paraId="54D587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11.提供虚假信息，隐瞒、伪造、假借等弄虚作假的非法手段误导或欺骗采购人，以谋取非法利益的；</w:t>
      </w:r>
    </w:p>
    <w:p w14:paraId="0F4157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12.拒绝接受相关部门和学校监督和检查的；</w:t>
      </w:r>
    </w:p>
    <w:p w14:paraId="427EBE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13.出现信用危机、财务危机、经营危机甚至破产、倒闭，无法继续履行合同的；</w:t>
      </w:r>
    </w:p>
    <w:p w14:paraId="08A3AA6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14.因食品食材质量问题造成安全事故的；</w:t>
      </w:r>
    </w:p>
    <w:p w14:paraId="46A1AB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15.提供假冒伪劣、过期产品的；</w:t>
      </w:r>
    </w:p>
    <w:p w14:paraId="5B30D5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16.检验检测报告造假的；</w:t>
      </w:r>
    </w:p>
    <w:p w14:paraId="01B8CB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17.出现供货商有联手哄抬物价现象的，因供货价虚高被投诉达3次或以上的；</w:t>
      </w:r>
    </w:p>
    <w:p w14:paraId="1AACE9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18.对履行合同条款不到位，学校提出书面整改（或警告）通知后仍未采取有效措施进行改善，累计达3次的；</w:t>
      </w:r>
    </w:p>
    <w:p w14:paraId="76B663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19.存在其他违反法律法规、行业管理规定等行为的。</w:t>
      </w:r>
    </w:p>
    <w:p w14:paraId="3887A2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（三）勒令退出</w:t>
      </w:r>
    </w:p>
    <w:p w14:paraId="2BCB20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中标或被选定后，供货商将标的转让、转包或委托他人配送的，一经查实，由学校约谈相关企业（个人），限定时间整改，约谈2次以上（含2次）拒不整改的，取消其供货资格。2年内不能参加或提供学校食品食材采购和配送。</w:t>
      </w:r>
    </w:p>
    <w:p w14:paraId="281ABF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2.在合同周期内，学校集中反映意见较大的供货商，由学校约谈相关企业（个人），限定时间整改，约谈2次以上（含2次）拒不整改的，取消供货资格。2年内不能参加或提供学校食品食材采购和配送。</w:t>
      </w:r>
    </w:p>
    <w:p w14:paraId="35544C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color w:val="auto"/>
          <w:highlight w:val="none"/>
        </w:rPr>
      </w:pPr>
      <w:r>
        <w:rPr>
          <w:rFonts w:hint="eastAsia" w:ascii="宋体" w:hAnsi="宋体" w:eastAsia="宋体" w:cs="宋体"/>
          <w:color w:val="auto"/>
          <w:highlight w:val="none"/>
          <w:lang w:val="en-US" w:eastAsia="zh-CN"/>
        </w:rPr>
        <w:t>3.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期间有两次综合满意度测评结果低于70%的供货商，不得参与下一轮本学校食堂食品原材料采购和配送的招投标活动。</w:t>
      </w:r>
      <w:r>
        <w:rPr>
          <w:rFonts w:hint="eastAsia" w:ascii="宋体" w:hAnsi="宋体" w:cs="宋体"/>
          <w:b/>
          <w:bCs/>
          <w:color w:val="auto"/>
          <w:highlight w:val="none"/>
        </w:rPr>
        <w:br w:type="page"/>
      </w:r>
    </w:p>
    <w:p w14:paraId="5A178D7D">
      <w:pPr>
        <w:spacing w:line="240" w:lineRule="auto"/>
        <w:jc w:val="left"/>
        <w:rPr>
          <w:rFonts w:hint="eastAsia" w:ascii="宋体" w:hAnsi="宋体" w:cs="宋体"/>
          <w:b/>
          <w:bCs/>
          <w:color w:val="auto"/>
          <w:highlight w:val="none"/>
        </w:rPr>
      </w:pPr>
      <w:r>
        <w:rPr>
          <w:rFonts w:hint="eastAsia" w:ascii="宋体" w:hAnsi="宋体" w:cs="宋体"/>
          <w:b/>
          <w:bCs/>
          <w:color w:val="auto"/>
          <w:highlight w:val="none"/>
        </w:rPr>
        <w:t xml:space="preserve">附件                            </w:t>
      </w:r>
    </w:p>
    <w:p w14:paraId="20702A29">
      <w:pPr>
        <w:spacing w:line="240" w:lineRule="auto"/>
        <w:jc w:val="center"/>
        <w:rPr>
          <w:rFonts w:hint="eastAsia" w:ascii="宋体" w:hAnsi="宋体" w:cs="宋体"/>
          <w:b/>
          <w:bCs/>
          <w:color w:val="auto"/>
          <w:highlight w:val="none"/>
        </w:rPr>
      </w:pPr>
      <w:r>
        <w:rPr>
          <w:rFonts w:hint="eastAsia" w:ascii="宋体" w:hAnsi="宋体" w:cs="宋体"/>
          <w:b/>
          <w:bCs/>
          <w:color w:val="auto"/>
          <w:highlight w:val="none"/>
        </w:rPr>
        <w:t>配送服务质量考核评价办法</w:t>
      </w:r>
    </w:p>
    <w:p w14:paraId="6F4A973F">
      <w:pPr>
        <w:spacing w:line="240" w:lineRule="auto"/>
        <w:rPr>
          <w:rFonts w:hint="eastAsia" w:ascii="宋体" w:hAnsi="宋体" w:cs="宋体"/>
          <w:color w:val="auto"/>
          <w:highlight w:val="none"/>
        </w:rPr>
      </w:pPr>
    </w:p>
    <w:p w14:paraId="4288D73E">
      <w:pPr>
        <w:ind w:firstLine="420" w:firstLineChars="200"/>
        <w:rPr>
          <w:rFonts w:ascii="宋体" w:cs="宋体"/>
          <w:color w:val="auto"/>
          <w:highlight w:val="none"/>
        </w:rPr>
      </w:pPr>
      <w:r>
        <w:rPr>
          <w:rFonts w:ascii="宋体" w:hAnsi="宋体" w:cs="宋体"/>
          <w:color w:val="auto"/>
          <w:highlight w:val="none"/>
        </w:rPr>
        <w:t>1</w:t>
      </w:r>
      <w:r>
        <w:rPr>
          <w:rFonts w:hint="eastAsia" w:ascii="宋体" w:hAnsi="宋体" w:cs="宋体"/>
          <w:color w:val="auto"/>
          <w:highlight w:val="none"/>
          <w:lang w:val="en-US" w:eastAsia="zh-CN"/>
        </w:rPr>
        <w:t>.</w:t>
      </w:r>
      <w:r>
        <w:rPr>
          <w:rFonts w:hint="eastAsia" w:ascii="宋体" w:hAnsi="宋体" w:cs="宋体"/>
          <w:color w:val="auto"/>
          <w:highlight w:val="none"/>
        </w:rPr>
        <w:t>每月综合服务满意度满分为</w:t>
      </w:r>
      <w:r>
        <w:rPr>
          <w:rFonts w:ascii="宋体" w:hAnsi="宋体" w:cs="宋体"/>
          <w:color w:val="auto"/>
          <w:highlight w:val="none"/>
        </w:rPr>
        <w:t>100</w:t>
      </w:r>
      <w:r>
        <w:rPr>
          <w:rFonts w:hint="eastAsia" w:ascii="宋体" w:hAnsi="宋体" w:cs="宋体"/>
          <w:color w:val="auto"/>
          <w:highlight w:val="none"/>
        </w:rPr>
        <w:t>分，合格标准为</w:t>
      </w:r>
      <w:r>
        <w:rPr>
          <w:rFonts w:ascii="宋体" w:hAnsi="宋体" w:cs="宋体"/>
          <w:color w:val="auto"/>
          <w:highlight w:val="none"/>
        </w:rPr>
        <w:t>90</w:t>
      </w:r>
      <w:r>
        <w:rPr>
          <w:rFonts w:hint="eastAsia" w:ascii="宋体" w:hAnsi="宋体" w:cs="宋体"/>
          <w:color w:val="auto"/>
          <w:highlight w:val="none"/>
        </w:rPr>
        <w:t>分，满意度低于</w:t>
      </w:r>
      <w:r>
        <w:rPr>
          <w:rFonts w:ascii="宋体" w:hAnsi="宋体" w:cs="宋体"/>
          <w:color w:val="auto"/>
          <w:highlight w:val="none"/>
        </w:rPr>
        <w:t>90</w:t>
      </w:r>
      <w:r>
        <w:rPr>
          <w:rFonts w:hint="eastAsia" w:ascii="宋体" w:hAnsi="宋体" w:cs="宋体"/>
          <w:color w:val="auto"/>
          <w:highlight w:val="none"/>
        </w:rPr>
        <w:t>分的每下降</w:t>
      </w:r>
      <w:r>
        <w:rPr>
          <w:rFonts w:ascii="宋体" w:hAnsi="宋体" w:cs="宋体"/>
          <w:color w:val="auto"/>
          <w:highlight w:val="none"/>
        </w:rPr>
        <w:t>1%</w:t>
      </w:r>
      <w:r>
        <w:rPr>
          <w:rFonts w:hint="eastAsia" w:ascii="宋体" w:hAnsi="宋体" w:cs="宋体"/>
          <w:color w:val="auto"/>
          <w:highlight w:val="none"/>
        </w:rPr>
        <w:t>扣除当月结算金额的</w:t>
      </w:r>
      <w:r>
        <w:rPr>
          <w:rFonts w:ascii="宋体" w:hAnsi="宋体" w:cs="宋体"/>
          <w:color w:val="auto"/>
          <w:highlight w:val="none"/>
        </w:rPr>
        <w:t>1%</w:t>
      </w:r>
      <w:r>
        <w:rPr>
          <w:rFonts w:hint="eastAsia" w:ascii="宋体" w:hAnsi="宋体" w:cs="宋体"/>
          <w:color w:val="auto"/>
          <w:highlight w:val="none"/>
        </w:rPr>
        <w:t>。半年内累计出现低于合格满意度次数超过</w:t>
      </w:r>
      <w:r>
        <w:rPr>
          <w:rFonts w:ascii="宋体" w:hAnsi="宋体" w:cs="宋体"/>
          <w:color w:val="auto"/>
          <w:highlight w:val="none"/>
        </w:rPr>
        <w:t>3</w:t>
      </w:r>
      <w:r>
        <w:rPr>
          <w:rFonts w:hint="eastAsia" w:ascii="宋体" w:hAnsi="宋体" w:cs="宋体"/>
          <w:color w:val="auto"/>
          <w:highlight w:val="none"/>
        </w:rPr>
        <w:t>次的，采购人有权解除合同。</w:t>
      </w:r>
    </w:p>
    <w:p w14:paraId="32B084AC">
      <w:pPr>
        <w:ind w:firstLine="420" w:firstLineChars="200"/>
        <w:rPr>
          <w:rFonts w:ascii="宋体" w:cs="宋体"/>
          <w:color w:val="auto"/>
          <w:highlight w:val="none"/>
        </w:rPr>
      </w:pPr>
      <w:r>
        <w:rPr>
          <w:rFonts w:ascii="宋体" w:hAnsi="宋体" w:cs="宋体"/>
          <w:color w:val="auto"/>
          <w:highlight w:val="none"/>
        </w:rPr>
        <w:t>2</w:t>
      </w:r>
      <w:r>
        <w:rPr>
          <w:rFonts w:hint="eastAsia" w:ascii="宋体" w:hAnsi="宋体" w:cs="宋体"/>
          <w:color w:val="auto"/>
          <w:highlight w:val="none"/>
          <w:lang w:val="en-US" w:eastAsia="zh-CN"/>
        </w:rPr>
        <w:t>.</w:t>
      </w:r>
      <w:r>
        <w:rPr>
          <w:rFonts w:hint="eastAsia" w:ascii="宋体" w:hAnsi="宋体" w:cs="宋体"/>
          <w:color w:val="auto"/>
          <w:highlight w:val="none"/>
        </w:rPr>
        <w:t>中标供应商需及时对采购人提出的存在问题作出响应并实施整改，次月未作出整改的，采购人将发出警告函</w:t>
      </w:r>
      <w:r>
        <w:rPr>
          <w:rFonts w:ascii="宋体" w:hAnsi="宋体" w:cs="宋体"/>
          <w:color w:val="auto"/>
          <w:highlight w:val="none"/>
        </w:rPr>
        <w:t>1</w:t>
      </w:r>
      <w:r>
        <w:rPr>
          <w:rFonts w:hint="eastAsia" w:ascii="宋体" w:hAnsi="宋体" w:cs="宋体"/>
          <w:color w:val="auto"/>
          <w:highlight w:val="none"/>
        </w:rPr>
        <w:t>次，连续因同一问题发出警告函</w:t>
      </w:r>
      <w:r>
        <w:rPr>
          <w:rFonts w:ascii="宋体" w:hAnsi="宋体" w:cs="宋体"/>
          <w:color w:val="auto"/>
          <w:highlight w:val="none"/>
        </w:rPr>
        <w:t>3</w:t>
      </w:r>
      <w:r>
        <w:rPr>
          <w:rFonts w:hint="eastAsia" w:ascii="宋体" w:hAnsi="宋体" w:cs="宋体"/>
          <w:color w:val="auto"/>
          <w:highlight w:val="none"/>
        </w:rPr>
        <w:t>次的，采购人有权终止其供货资格。</w:t>
      </w:r>
    </w:p>
    <w:tbl>
      <w:tblPr>
        <w:tblStyle w:val="46"/>
        <w:tblpPr w:leftFromText="180" w:rightFromText="180" w:vertAnchor="text" w:horzAnchor="page" w:tblpXSpec="center" w:tblpY="312"/>
        <w:tblOverlap w:val="never"/>
        <w:tblW w:w="9248" w:type="dxa"/>
        <w:jc w:val="center"/>
        <w:tblLayout w:type="autofit"/>
        <w:tblCellMar>
          <w:top w:w="0" w:type="dxa"/>
          <w:left w:w="10" w:type="dxa"/>
          <w:bottom w:w="0" w:type="dxa"/>
          <w:right w:w="10" w:type="dxa"/>
        </w:tblCellMar>
      </w:tblPr>
      <w:tblGrid>
        <w:gridCol w:w="558"/>
        <w:gridCol w:w="540"/>
        <w:gridCol w:w="5430"/>
        <w:gridCol w:w="591"/>
        <w:gridCol w:w="2129"/>
      </w:tblGrid>
      <w:tr w14:paraId="207778D4">
        <w:tblPrEx>
          <w:tblCellMar>
            <w:top w:w="0" w:type="dxa"/>
            <w:left w:w="10" w:type="dxa"/>
            <w:bottom w:w="0" w:type="dxa"/>
            <w:right w:w="10" w:type="dxa"/>
          </w:tblCellMar>
        </w:tblPrEx>
        <w:trPr>
          <w:trHeight w:val="293" w:hRule="atLeast"/>
          <w:jc w:val="center"/>
        </w:trPr>
        <w:tc>
          <w:tcPr>
            <w:tcW w:w="9248"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2FCA5E7">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b/>
                <w:color w:val="auto"/>
                <w:highlight w:val="none"/>
              </w:rPr>
              <w:t>考核细则</w:t>
            </w:r>
          </w:p>
        </w:tc>
      </w:tr>
      <w:tr w14:paraId="5090BDAA">
        <w:tblPrEx>
          <w:tblCellMar>
            <w:top w:w="0" w:type="dxa"/>
            <w:left w:w="10" w:type="dxa"/>
            <w:bottom w:w="0" w:type="dxa"/>
            <w:right w:w="10" w:type="dxa"/>
          </w:tblCellMar>
        </w:tblPrEx>
        <w:trPr>
          <w:trHeight w:val="380"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C0A5B5E">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b/>
                <w:color w:val="auto"/>
                <w:highlight w:val="none"/>
              </w:rPr>
              <w:t>项目</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1A06CD6">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b/>
                <w:color w:val="auto"/>
                <w:highlight w:val="none"/>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180701">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b/>
                <w:color w:val="auto"/>
                <w:highlight w:val="none"/>
              </w:rPr>
              <w:t>评分细则</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22FA62B">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b/>
                <w:color w:val="auto"/>
                <w:highlight w:val="none"/>
              </w:rPr>
              <w:t>扣分</w:t>
            </w: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EA0093">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b/>
                <w:color w:val="auto"/>
                <w:highlight w:val="none"/>
              </w:rPr>
              <w:t>备注</w:t>
            </w:r>
          </w:p>
        </w:tc>
      </w:tr>
      <w:tr w14:paraId="52347BA6">
        <w:tblPrEx>
          <w:tblCellMar>
            <w:top w:w="0" w:type="dxa"/>
            <w:left w:w="10" w:type="dxa"/>
            <w:bottom w:w="0" w:type="dxa"/>
            <w:right w:w="10" w:type="dxa"/>
          </w:tblCellMar>
        </w:tblPrEx>
        <w:trPr>
          <w:trHeight w:val="524"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D148159">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color w:val="auto"/>
                <w:highlight w:val="none"/>
              </w:rPr>
              <w:t>配送要求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3F265BD">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07D98AC">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配送车辆、实际运输不符合招标文件及合同约定的，每次扣</w:t>
            </w:r>
            <w:r>
              <w:rPr>
                <w:rFonts w:hint="default" w:ascii="宋体" w:hAnsi="宋体" w:cs="宋体"/>
                <w:color w:val="auto"/>
                <w:highlight w:val="none"/>
              </w:rPr>
              <w:t>2</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17F477">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569410E">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226A01F9">
        <w:tblPrEx>
          <w:tblCellMar>
            <w:top w:w="0" w:type="dxa"/>
            <w:left w:w="10" w:type="dxa"/>
            <w:bottom w:w="0" w:type="dxa"/>
            <w:right w:w="10" w:type="dxa"/>
          </w:tblCellMar>
        </w:tblPrEx>
        <w:trPr>
          <w:trHeight w:val="614"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D9F55D8">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14F273">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AA3E4F6">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在协议供货期，未在规定时间内（迟到超过半小时）完成配送、供货，每次扣</w:t>
            </w:r>
            <w:r>
              <w:rPr>
                <w:rFonts w:hint="default" w:ascii="宋体" w:hAnsi="宋体" w:cs="宋体"/>
                <w:color w:val="auto"/>
                <w:highlight w:val="none"/>
              </w:rPr>
              <w:t>3</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3F5071">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E1AD01F">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1BF9496D">
        <w:tblPrEx>
          <w:tblCellMar>
            <w:top w:w="0" w:type="dxa"/>
            <w:left w:w="10" w:type="dxa"/>
            <w:bottom w:w="0" w:type="dxa"/>
            <w:right w:w="10" w:type="dxa"/>
          </w:tblCellMar>
        </w:tblPrEx>
        <w:trPr>
          <w:trHeight w:val="569"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A7D7B57">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04F4E3E">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42E8E62">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实际配送货物少于订购数量且不能及时补充的，每次扣</w:t>
            </w:r>
            <w:r>
              <w:rPr>
                <w:rFonts w:hint="default" w:ascii="宋体" w:hAnsi="宋体" w:cs="宋体"/>
                <w:color w:val="auto"/>
                <w:highlight w:val="none"/>
              </w:rPr>
              <w:t>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7821EF">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F2A774">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75295A9F">
        <w:tblPrEx>
          <w:tblCellMar>
            <w:top w:w="0" w:type="dxa"/>
            <w:left w:w="10" w:type="dxa"/>
            <w:bottom w:w="0" w:type="dxa"/>
            <w:right w:w="10" w:type="dxa"/>
          </w:tblCellMar>
        </w:tblPrEx>
        <w:trPr>
          <w:trHeight w:val="590"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C43307D">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CB6892F">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7E9886B">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实际配送的货物与订购货物种类、质量不符，每次扣</w:t>
            </w:r>
            <w:r>
              <w:rPr>
                <w:rFonts w:hint="default" w:ascii="宋体" w:hAnsi="宋体" w:cs="宋体"/>
                <w:color w:val="auto"/>
                <w:highlight w:val="none"/>
              </w:rPr>
              <w:t>5</w:t>
            </w:r>
            <w:r>
              <w:rPr>
                <w:rFonts w:hint="eastAsia" w:ascii="宋体" w:hAnsi="宋体" w:cs="宋体"/>
                <w:color w:val="auto"/>
                <w:highlight w:val="none"/>
              </w:rPr>
              <w:t>分；未能及时更换的，采购人有权拒收，并每次加扣</w:t>
            </w:r>
            <w:r>
              <w:rPr>
                <w:rFonts w:hint="default" w:ascii="宋体" w:hAnsi="宋体" w:cs="宋体"/>
                <w:color w:val="auto"/>
                <w:highlight w:val="none"/>
              </w:rPr>
              <w:t>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9D9B43">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B3A0A9">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39EE1F08">
        <w:tblPrEx>
          <w:tblCellMar>
            <w:top w:w="0" w:type="dxa"/>
            <w:left w:w="10" w:type="dxa"/>
            <w:bottom w:w="0" w:type="dxa"/>
            <w:right w:w="10" w:type="dxa"/>
          </w:tblCellMar>
        </w:tblPrEx>
        <w:trPr>
          <w:trHeight w:val="37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F65A3C4">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52562B6">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0B567B">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相应批次的货物未能提供相关合格检验证明的，每次扣</w:t>
            </w:r>
            <w:r>
              <w:rPr>
                <w:rFonts w:hint="default" w:ascii="宋体" w:hAnsi="宋体" w:cs="宋体"/>
                <w:color w:val="auto"/>
                <w:highlight w:val="none"/>
              </w:rPr>
              <w:t>8</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22D5E">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430581D">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7BFE1B43">
        <w:tblPrEx>
          <w:tblCellMar>
            <w:top w:w="0" w:type="dxa"/>
            <w:left w:w="10" w:type="dxa"/>
            <w:bottom w:w="0" w:type="dxa"/>
            <w:right w:w="10" w:type="dxa"/>
          </w:tblCellMar>
        </w:tblPrEx>
        <w:trPr>
          <w:trHeight w:val="1447" w:hRule="atLeast"/>
          <w:jc w:val="center"/>
        </w:trPr>
        <w:tc>
          <w:tcPr>
            <w:tcW w:w="5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DF1893">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color w:val="auto"/>
                <w:highlight w:val="none"/>
              </w:rPr>
              <w:t>质量要求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C854F">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683D662">
            <w:pPr>
              <w:keepNext w:val="0"/>
              <w:keepLines w:val="0"/>
              <w:suppressLineNumbers w:val="0"/>
              <w:spacing w:before="0" w:beforeAutospacing="0" w:after="0" w:afterAutospacing="0"/>
              <w:ind w:left="0" w:right="0"/>
              <w:jc w:val="both"/>
              <w:rPr>
                <w:rFonts w:hint="default" w:ascii="宋体" w:cs="宋体"/>
                <w:color w:val="auto"/>
                <w:highlight w:val="none"/>
              </w:rPr>
            </w:pPr>
            <w:r>
              <w:rPr>
                <w:rFonts w:hint="eastAsia" w:ascii="宋体" w:hAnsi="宋体" w:cs="宋体"/>
                <w:color w:val="auto"/>
                <w:highlight w:val="none"/>
              </w:rPr>
              <w:t>食品卫生不符合要求造成食物中毒的，每次扣</w:t>
            </w:r>
            <w:r>
              <w:rPr>
                <w:rFonts w:hint="default" w:ascii="宋体" w:hAnsi="宋体" w:cs="宋体"/>
                <w:color w:val="auto"/>
                <w:highlight w:val="none"/>
              </w:rPr>
              <w:t>25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434D115">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366867">
            <w:pPr>
              <w:keepNext w:val="0"/>
              <w:keepLines w:val="0"/>
              <w:suppressLineNumbers w:val="0"/>
              <w:spacing w:before="0" w:beforeAutospacing="0" w:after="0" w:afterAutospacing="0"/>
              <w:ind w:left="0" w:right="0"/>
              <w:rPr>
                <w:rFonts w:hint="default" w:ascii="宋体" w:cs="宋体"/>
                <w:color w:val="auto"/>
                <w:highlight w:val="none"/>
              </w:rPr>
            </w:pPr>
            <w:r>
              <w:rPr>
                <w:rFonts w:hint="eastAsia" w:ascii="宋体" w:hAnsi="宋体" w:cs="宋体"/>
                <w:color w:val="auto"/>
                <w:highlight w:val="none"/>
              </w:rPr>
              <w:t>中标供应商应承担由此造成的全部法律责任及经济损失赔偿（主要包括但不限于食物中毒人员医疗费、误工费、事故处理费等）</w:t>
            </w:r>
          </w:p>
        </w:tc>
      </w:tr>
      <w:tr w14:paraId="39D52EED">
        <w:tblPrEx>
          <w:tblCellMar>
            <w:top w:w="0" w:type="dxa"/>
            <w:left w:w="10" w:type="dxa"/>
            <w:bottom w:w="0" w:type="dxa"/>
            <w:right w:w="10" w:type="dxa"/>
          </w:tblCellMar>
        </w:tblPrEx>
        <w:trPr>
          <w:trHeight w:val="66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EF213AD">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71B346F">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9F2EC85">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滥用或过量使用食品添加剂、发现使用劣质原料、抗生素、激素等有害物质，每次扣</w:t>
            </w:r>
            <w:r>
              <w:rPr>
                <w:rFonts w:hint="default" w:ascii="宋体" w:hAnsi="宋体" w:cs="宋体"/>
                <w:color w:val="auto"/>
                <w:highlight w:val="none"/>
              </w:rPr>
              <w:t>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6AEB749">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01718D4">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7B4402C0">
        <w:tblPrEx>
          <w:tblCellMar>
            <w:top w:w="0" w:type="dxa"/>
            <w:left w:w="10" w:type="dxa"/>
            <w:bottom w:w="0" w:type="dxa"/>
            <w:right w:w="10" w:type="dxa"/>
          </w:tblCellMar>
        </w:tblPrEx>
        <w:trPr>
          <w:trHeight w:val="345" w:hRule="atLeast"/>
          <w:jc w:val="center"/>
        </w:trPr>
        <w:tc>
          <w:tcPr>
            <w:tcW w:w="5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D7E2ECF">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675A97">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9422675">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货物品质与招标文件不符，并未能及时补充的，每次扣</w:t>
            </w:r>
            <w:r>
              <w:rPr>
                <w:rFonts w:hint="default" w:ascii="宋体" w:hAnsi="宋体" w:cs="宋体"/>
                <w:color w:val="auto"/>
                <w:highlight w:val="none"/>
              </w:rPr>
              <w:t>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143CCE2">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EAEEC7A">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5E02E126">
        <w:tblPrEx>
          <w:tblCellMar>
            <w:top w:w="0" w:type="dxa"/>
            <w:left w:w="10" w:type="dxa"/>
            <w:bottom w:w="0" w:type="dxa"/>
            <w:right w:w="10" w:type="dxa"/>
          </w:tblCellMar>
        </w:tblPrEx>
        <w:trPr>
          <w:trHeight w:val="575" w:hRule="atLeast"/>
          <w:jc w:val="center"/>
        </w:trPr>
        <w:tc>
          <w:tcPr>
            <w:tcW w:w="558" w:type="dxa"/>
            <w:vMerge w:val="restart"/>
            <w:tcBorders>
              <w:top w:val="single" w:color="000000" w:sz="4"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3D97418E">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color w:val="auto"/>
                <w:highlight w:val="none"/>
              </w:rPr>
              <w:t>安全生产管理要求</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DFDA372">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9</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13C3D93">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没有建立、健全本单位安全生产责任制，制定安全生产规章制度和操作规程，或违反制度操作的，每次扣</w:t>
            </w:r>
            <w:r>
              <w:rPr>
                <w:rFonts w:hint="default" w:ascii="宋体" w:hAnsi="宋体" w:cs="宋体"/>
                <w:color w:val="auto"/>
                <w:highlight w:val="none"/>
              </w:rPr>
              <w:t>2</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3EAF7E2">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89CEA10">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3BD40B77">
        <w:tblPrEx>
          <w:tblCellMar>
            <w:top w:w="0" w:type="dxa"/>
            <w:left w:w="10" w:type="dxa"/>
            <w:bottom w:w="0" w:type="dxa"/>
            <w:right w:w="10" w:type="dxa"/>
          </w:tblCellMar>
        </w:tblPrEx>
        <w:trPr>
          <w:trHeight w:val="31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5F4D259">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6BF30C5">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10</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3EAA3DE">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没有相关应急预案的，每次扣</w:t>
            </w:r>
            <w:r>
              <w:rPr>
                <w:rFonts w:hint="default" w:ascii="宋体" w:hAnsi="宋体" w:cs="宋体"/>
                <w:color w:val="auto"/>
                <w:highlight w:val="none"/>
              </w:rPr>
              <w:t>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7B4E56E">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7E866401">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2CF5D4C7">
        <w:tblPrEx>
          <w:tblCellMar>
            <w:top w:w="0" w:type="dxa"/>
            <w:left w:w="10" w:type="dxa"/>
            <w:bottom w:w="0" w:type="dxa"/>
            <w:right w:w="10" w:type="dxa"/>
          </w:tblCellMar>
        </w:tblPrEx>
        <w:trPr>
          <w:trHeight w:val="380"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2CB62F2">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649B04">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11</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E8B831">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造成重大事故或有重大事故不配合处理的，每宗扣</w:t>
            </w:r>
            <w:r>
              <w:rPr>
                <w:rFonts w:hint="default" w:ascii="宋体" w:hAnsi="宋体" w:cs="宋体"/>
                <w:color w:val="auto"/>
                <w:highlight w:val="none"/>
              </w:rPr>
              <w:t>10</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31FA24F">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0FE46A0">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4AA50505">
        <w:tblPrEx>
          <w:tblCellMar>
            <w:top w:w="0" w:type="dxa"/>
            <w:left w:w="10" w:type="dxa"/>
            <w:bottom w:w="0" w:type="dxa"/>
            <w:right w:w="10" w:type="dxa"/>
          </w:tblCellMar>
        </w:tblPrEx>
        <w:trPr>
          <w:trHeight w:val="315" w:hRule="atLeast"/>
          <w:jc w:val="center"/>
        </w:trPr>
        <w:tc>
          <w:tcPr>
            <w:tcW w:w="558" w:type="dxa"/>
            <w:vMerge w:val="continue"/>
            <w:tcBorders>
              <w:top w:val="single" w:color="000000" w:sz="6" w:space="0"/>
              <w:left w:val="single" w:color="000000" w:sz="4" w:space="0"/>
              <w:bottom w:val="single" w:color="000000" w:sz="6" w:space="0"/>
              <w:right w:val="single" w:color="000000" w:sz="4" w:space="0"/>
            </w:tcBorders>
            <w:shd w:val="clear" w:color="auto" w:fill="auto"/>
            <w:noWrap w:val="0"/>
            <w:tcMar>
              <w:left w:w="10" w:type="dxa"/>
              <w:right w:w="10" w:type="dxa"/>
            </w:tcMar>
            <w:vAlign w:val="center"/>
          </w:tcPr>
          <w:p w14:paraId="0C574030">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21B30D3">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12</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794B023">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未按要求及时、如实报告生产安全事故，每次扣</w:t>
            </w:r>
            <w:r>
              <w:rPr>
                <w:rFonts w:hint="default" w:ascii="宋体" w:hAnsi="宋体" w:cs="宋体"/>
                <w:color w:val="auto"/>
                <w:highlight w:val="none"/>
              </w:rPr>
              <w:t>10</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BA6939E">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291E7D4">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446ECF70">
        <w:tblPrEx>
          <w:tblCellMar>
            <w:top w:w="0" w:type="dxa"/>
            <w:left w:w="10" w:type="dxa"/>
            <w:bottom w:w="0" w:type="dxa"/>
            <w:right w:w="10" w:type="dxa"/>
          </w:tblCellMar>
        </w:tblPrEx>
        <w:trPr>
          <w:trHeight w:val="350" w:hRule="atLeast"/>
          <w:jc w:val="center"/>
        </w:trPr>
        <w:tc>
          <w:tcPr>
            <w:tcW w:w="558" w:type="dxa"/>
            <w:vMerge w:val="continue"/>
            <w:tcBorders>
              <w:top w:val="single" w:color="000000" w:sz="6"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138B726D">
            <w:pPr>
              <w:keepNext w:val="0"/>
              <w:keepLines w:val="0"/>
              <w:suppressLineNumbers w:val="0"/>
              <w:spacing w:before="0" w:beforeAutospacing="0" w:after="200" w:afterAutospacing="0" w:line="276" w:lineRule="auto"/>
              <w:ind w:left="0" w:right="0"/>
              <w:jc w:val="left"/>
              <w:rPr>
                <w:rFonts w:hint="default" w:ascii="宋体" w:cs="宋体"/>
                <w:color w:val="auto"/>
                <w:sz w:val="22"/>
                <w:highlight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3438C728">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13</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0FA1FAC1">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提供资料弄虚作假的，每次扣</w:t>
            </w:r>
            <w:r>
              <w:rPr>
                <w:rFonts w:hint="default" w:ascii="宋体" w:hAnsi="宋体" w:cs="宋体"/>
                <w:color w:val="auto"/>
                <w:highlight w:val="none"/>
              </w:rPr>
              <w:t>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28D5E079">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51F90F9">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r w14:paraId="2E75CF06">
        <w:tblPrEx>
          <w:tblCellMar>
            <w:top w:w="0" w:type="dxa"/>
            <w:left w:w="10" w:type="dxa"/>
            <w:bottom w:w="0" w:type="dxa"/>
            <w:right w:w="10" w:type="dxa"/>
          </w:tblCellMar>
        </w:tblPrEx>
        <w:trPr>
          <w:trHeight w:val="632" w:hRule="atLeast"/>
          <w:jc w:val="center"/>
        </w:trPr>
        <w:tc>
          <w:tcPr>
            <w:tcW w:w="558"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B3F1E9D">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eastAsia" w:ascii="宋体" w:hAnsi="宋体" w:cs="宋体"/>
                <w:color w:val="auto"/>
                <w:highlight w:val="none"/>
              </w:rPr>
              <w:t>其他</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CF86598">
            <w:pPr>
              <w:keepNext w:val="0"/>
              <w:keepLines w:val="0"/>
              <w:suppressLineNumbers w:val="0"/>
              <w:spacing w:before="0" w:beforeAutospacing="0" w:after="0" w:afterAutospacing="0"/>
              <w:ind w:left="0" w:right="0"/>
              <w:jc w:val="center"/>
              <w:rPr>
                <w:rFonts w:hint="default" w:ascii="宋体" w:cs="宋体"/>
                <w:color w:val="auto"/>
                <w:highlight w:val="none"/>
              </w:rPr>
            </w:pPr>
            <w:r>
              <w:rPr>
                <w:rFonts w:hint="default" w:ascii="宋体" w:hAnsi="宋体" w:cs="宋体"/>
                <w:color w:val="auto"/>
                <w:highlight w:val="none"/>
              </w:rPr>
              <w:t>14</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42BB85EA">
            <w:pPr>
              <w:keepNext w:val="0"/>
              <w:keepLines w:val="0"/>
              <w:suppressLineNumbers w:val="0"/>
              <w:spacing w:before="0" w:beforeAutospacing="0" w:after="0" w:afterAutospacing="0"/>
              <w:ind w:left="0" w:right="0"/>
              <w:jc w:val="left"/>
              <w:rPr>
                <w:rFonts w:hint="default" w:ascii="宋体" w:cs="宋体"/>
                <w:color w:val="auto"/>
                <w:highlight w:val="none"/>
              </w:rPr>
            </w:pPr>
            <w:r>
              <w:rPr>
                <w:rFonts w:hint="eastAsia" w:ascii="宋体" w:hAnsi="宋体" w:cs="宋体"/>
                <w:color w:val="auto"/>
                <w:highlight w:val="none"/>
              </w:rPr>
              <w:t>有违反招标文件及合同规定的其他违约事件的，每发现</w:t>
            </w:r>
            <w:r>
              <w:rPr>
                <w:rFonts w:hint="default" w:ascii="宋体" w:hAnsi="宋体" w:cs="宋体"/>
                <w:color w:val="auto"/>
                <w:highlight w:val="none"/>
              </w:rPr>
              <w:t>1</w:t>
            </w:r>
            <w:r>
              <w:rPr>
                <w:rFonts w:hint="eastAsia" w:ascii="宋体" w:hAnsi="宋体" w:cs="宋体"/>
                <w:color w:val="auto"/>
                <w:highlight w:val="none"/>
              </w:rPr>
              <w:t>次，需按违约性质并结合上述违约类型，每次扣</w:t>
            </w:r>
            <w:r>
              <w:rPr>
                <w:rFonts w:hint="default" w:ascii="宋体" w:hAnsi="宋体" w:cs="宋体"/>
                <w:color w:val="auto"/>
                <w:highlight w:val="none"/>
              </w:rPr>
              <w:t>5</w:t>
            </w:r>
            <w:r>
              <w:rPr>
                <w:rFonts w:hint="eastAsia" w:ascii="宋体" w:hAnsi="宋体" w:cs="宋体"/>
                <w:color w:val="auto"/>
                <w:highlight w:val="none"/>
              </w:rPr>
              <w:t>分</w:t>
            </w:r>
          </w:p>
        </w:tc>
        <w:tc>
          <w:tcPr>
            <w:tcW w:w="591"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61823B27">
            <w:pPr>
              <w:keepNext w:val="0"/>
              <w:keepLines w:val="0"/>
              <w:suppressLineNumbers w:val="0"/>
              <w:spacing w:before="0" w:beforeAutospacing="0" w:after="0" w:afterAutospacing="0"/>
              <w:ind w:left="0" w:right="0"/>
              <w:jc w:val="center"/>
              <w:rPr>
                <w:rFonts w:hint="default" w:ascii="宋体" w:cs="宋体"/>
                <w:color w:val="auto"/>
                <w:highlight w:val="none"/>
              </w:rPr>
            </w:pPr>
          </w:p>
        </w:tc>
        <w:tc>
          <w:tcPr>
            <w:tcW w:w="2129" w:type="dxa"/>
            <w:tcBorders>
              <w:top w:val="single" w:color="000000" w:sz="4" w:space="0"/>
              <w:left w:val="single" w:color="000000" w:sz="4" w:space="0"/>
              <w:bottom w:val="single" w:color="000000" w:sz="4" w:space="0"/>
              <w:right w:val="single" w:color="000000" w:sz="4" w:space="0"/>
            </w:tcBorders>
            <w:shd w:val="clear" w:color="auto" w:fill="auto"/>
            <w:noWrap w:val="0"/>
            <w:tcMar>
              <w:left w:w="10" w:type="dxa"/>
              <w:right w:w="10" w:type="dxa"/>
            </w:tcMar>
            <w:vAlign w:val="center"/>
          </w:tcPr>
          <w:p w14:paraId="5200AD84">
            <w:pPr>
              <w:keepNext w:val="0"/>
              <w:keepLines w:val="0"/>
              <w:suppressLineNumbers w:val="0"/>
              <w:spacing w:before="0" w:beforeAutospacing="0" w:after="0" w:afterAutospacing="0"/>
              <w:ind w:left="0" w:right="0"/>
              <w:jc w:val="center"/>
              <w:rPr>
                <w:rFonts w:hint="default" w:ascii="宋体" w:cs="宋体"/>
                <w:color w:val="auto"/>
                <w:sz w:val="22"/>
                <w:highlight w:val="none"/>
              </w:rPr>
            </w:pPr>
          </w:p>
        </w:tc>
      </w:tr>
    </w:tbl>
    <w:p w14:paraId="79A09BFD">
      <w:pPr>
        <w:ind w:firstLine="420" w:firstLineChars="200"/>
        <w:rPr>
          <w:rFonts w:ascii="宋体" w:cs="宋体"/>
          <w:color w:val="auto"/>
          <w:highlight w:val="none"/>
        </w:rPr>
      </w:pPr>
      <w:r>
        <w:rPr>
          <w:rFonts w:ascii="宋体" w:hAnsi="宋体" w:cs="宋体"/>
          <w:color w:val="auto"/>
          <w:highlight w:val="none"/>
        </w:rPr>
        <w:t>3</w:t>
      </w:r>
      <w:r>
        <w:rPr>
          <w:rFonts w:hint="eastAsia" w:ascii="宋体" w:hAnsi="宋体" w:cs="宋体"/>
          <w:color w:val="auto"/>
          <w:highlight w:val="none"/>
          <w:lang w:val="en-US" w:eastAsia="zh-CN"/>
        </w:rPr>
        <w:t>.</w:t>
      </w:r>
      <w:r>
        <w:rPr>
          <w:rFonts w:hint="eastAsia" w:ascii="宋体" w:hAnsi="宋体" w:cs="宋体"/>
          <w:color w:val="auto"/>
          <w:highlight w:val="none"/>
        </w:rPr>
        <w:t>提前终止供货服务的一周前，需以书面形式通知对方。</w:t>
      </w:r>
    </w:p>
    <w:p w14:paraId="75CC8208">
      <w:pPr>
        <w:tabs>
          <w:tab w:val="left" w:pos="360"/>
        </w:tabs>
        <w:jc w:val="left"/>
        <w:rPr>
          <w:rFonts w:hint="eastAsia" w:ascii="宋体" w:hAnsi="宋体" w:cs="宋体"/>
          <w:color w:val="auto"/>
          <w:sz w:val="24"/>
          <w:highlight w:val="none"/>
        </w:rPr>
      </w:pPr>
    </w:p>
    <w:p w14:paraId="13558117">
      <w:pPr>
        <w:tabs>
          <w:tab w:val="left" w:pos="360"/>
        </w:tabs>
        <w:jc w:val="left"/>
        <w:rPr>
          <w:rFonts w:ascii="宋体" w:hAnsi="宋体" w:cs="宋体"/>
          <w:color w:val="auto"/>
          <w:sz w:val="24"/>
          <w:highlight w:val="none"/>
        </w:rPr>
      </w:pPr>
      <w:r>
        <w:rPr>
          <w:rFonts w:hint="eastAsia" w:ascii="宋体" w:hAnsi="宋体" w:cs="宋体"/>
          <w:color w:val="auto"/>
          <w:sz w:val="24"/>
          <w:highlight w:val="none"/>
        </w:rPr>
        <w:t>考核供应商：</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考核月份：</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考核总得分：</w:t>
      </w:r>
    </w:p>
    <w:p w14:paraId="330F78C7">
      <w:pPr>
        <w:tabs>
          <w:tab w:val="left" w:pos="360"/>
        </w:tabs>
        <w:jc w:val="left"/>
        <w:rPr>
          <w:rFonts w:ascii="宋体" w:hAnsi="宋体" w:cs="宋体"/>
          <w:color w:val="auto"/>
          <w:sz w:val="24"/>
          <w:highlight w:val="none"/>
        </w:rPr>
      </w:pPr>
    </w:p>
    <w:p w14:paraId="0181D7C6">
      <w:pPr>
        <w:tabs>
          <w:tab w:val="left" w:pos="360"/>
        </w:tabs>
        <w:ind w:left="120" w:hanging="120" w:hangingChars="50"/>
        <w:jc w:val="left"/>
        <w:rPr>
          <w:rFonts w:ascii="宋体" w:cs="宋体"/>
          <w:color w:val="auto"/>
          <w:sz w:val="24"/>
          <w:highlight w:val="none"/>
        </w:rPr>
      </w:pPr>
      <w:r>
        <w:rPr>
          <w:rFonts w:hint="eastAsia" w:ascii="宋体" w:hAnsi="宋体" w:cs="宋体"/>
          <w:color w:val="auto"/>
          <w:sz w:val="24"/>
          <w:highlight w:val="none"/>
        </w:rPr>
        <w:t>供应商确认签名：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考核人员签名：</w:t>
      </w:r>
    </w:p>
    <w:p w14:paraId="3BB7F09B">
      <w:pPr>
        <w:tabs>
          <w:tab w:val="left" w:pos="360"/>
        </w:tabs>
        <w:ind w:left="120" w:hanging="120" w:hangingChars="50"/>
        <w:jc w:val="right"/>
        <w:rPr>
          <w:rFonts w:hint="eastAsia" w:ascii="宋体" w:cs="宋体"/>
          <w:color w:val="auto"/>
          <w:sz w:val="24"/>
          <w:highlight w:val="none"/>
          <w:lang w:val="en-US" w:eastAsia="zh-CN"/>
        </w:rPr>
      </w:pPr>
    </w:p>
    <w:p w14:paraId="141321CF">
      <w:pPr>
        <w:tabs>
          <w:tab w:val="left" w:pos="360"/>
        </w:tabs>
        <w:wordWrap w:val="0"/>
        <w:ind w:left="120" w:hanging="120" w:hangingChars="50"/>
        <w:jc w:val="right"/>
        <w:rPr>
          <w:rFonts w:hint="default" w:ascii="宋体" w:cs="宋体" w:eastAsiaTheme="minorEastAsia"/>
          <w:color w:val="auto"/>
          <w:sz w:val="24"/>
          <w:highlight w:val="none"/>
          <w:lang w:val="en-US" w:eastAsia="zh-CN"/>
        </w:rPr>
      </w:pPr>
      <w:r>
        <w:rPr>
          <w:rFonts w:hint="eastAsia" w:ascii="宋体" w:cs="宋体"/>
          <w:color w:val="auto"/>
          <w:sz w:val="24"/>
          <w:highlight w:val="none"/>
          <w:lang w:val="en-US" w:eastAsia="zh-CN"/>
        </w:rPr>
        <w:t xml:space="preserve">阳江市同心中学    </w:t>
      </w:r>
    </w:p>
    <w:p w14:paraId="5BBB5F50">
      <w:pPr>
        <w:pStyle w:val="240"/>
        <w:numPr>
          <w:ilvl w:val="0"/>
          <w:numId w:val="0"/>
        </w:numPr>
        <w:ind w:leftChars="0"/>
        <w:rPr>
          <w:rFonts w:hint="eastAsia" w:ascii="宋体" w:hAnsi="Times New Roman" w:eastAsia="宋体" w:cs="宋体"/>
          <w:color w:val="auto"/>
          <w:kern w:val="2"/>
          <w:sz w:val="24"/>
          <w:szCs w:val="24"/>
          <w:highlight w:val="none"/>
          <w:lang w:val="en-US" w:eastAsia="zh-CN" w:bidi="ar-SA"/>
        </w:rPr>
      </w:pPr>
      <w:r>
        <w:rPr>
          <w:rFonts w:hint="eastAsia" w:ascii="Arial" w:hAnsi="Arial" w:cs="Arial"/>
          <w:color w:val="auto"/>
          <w:sz w:val="24"/>
          <w:highlight w:val="none"/>
          <w:lang w:val="en-US" w:eastAsia="zh-CN"/>
        </w:rPr>
        <w:t xml:space="preserve">                                                 </w:t>
      </w:r>
      <w:r>
        <w:rPr>
          <w:rFonts w:hint="eastAsia" w:cs="Arial"/>
          <w:color w:val="auto"/>
          <w:sz w:val="24"/>
          <w:highlight w:val="none"/>
          <w:lang w:val="en-US" w:eastAsia="zh-CN"/>
        </w:rPr>
        <w:t xml:space="preserve">    </w:t>
      </w:r>
      <w:r>
        <w:rPr>
          <w:rFonts w:hint="eastAsia" w:ascii="Arial" w:hAnsi="Arial" w:cs="Arial"/>
          <w:color w:val="auto"/>
          <w:sz w:val="24"/>
          <w:highlight w:val="none"/>
          <w:lang w:val="en-US" w:eastAsia="zh-CN"/>
        </w:rPr>
        <w:t xml:space="preserve">   </w:t>
      </w:r>
      <w:r>
        <w:rPr>
          <w:rFonts w:hint="eastAsia" w:ascii="宋体" w:cs="宋体" w:hAnsiTheme="minorHAnsi" w:eastAsiaTheme="minorEastAsia"/>
          <w:color w:val="auto"/>
          <w:kern w:val="2"/>
          <w:sz w:val="24"/>
          <w:szCs w:val="24"/>
          <w:highlight w:val="none"/>
          <w:lang w:val="en-US" w:eastAsia="zh-CN" w:bidi="ar-SA"/>
        </w:rPr>
        <w:t xml:space="preserve">   </w:t>
      </w:r>
      <w:r>
        <w:rPr>
          <w:rFonts w:hint="eastAsia" w:ascii="宋体" w:hAnsi="Times New Roman" w:eastAsia="宋体" w:cs="宋体"/>
          <w:color w:val="auto"/>
          <w:kern w:val="2"/>
          <w:sz w:val="24"/>
          <w:szCs w:val="24"/>
          <w:highlight w:val="none"/>
          <w:lang w:val="en-US" w:eastAsia="zh-CN" w:bidi="ar-SA"/>
        </w:rPr>
        <w:t xml:space="preserve"> 年   月   日</w:t>
      </w:r>
    </w:p>
    <w:p w14:paraId="31459CEF">
      <w:pPr>
        <w:keepNext w:val="0"/>
        <w:keepLines w:val="0"/>
        <w:pageBreakBefore w:val="0"/>
        <w:kinsoku/>
        <w:wordWrap/>
        <w:overflowPunct/>
        <w:topLinePunct w:val="0"/>
        <w:autoSpaceDE/>
        <w:autoSpaceDN/>
        <w:bidi w:val="0"/>
        <w:spacing w:line="400" w:lineRule="exact"/>
        <w:textAlignment w:val="auto"/>
        <w:rPr>
          <w:color w:val="auto"/>
          <w:highlight w:val="none"/>
        </w:rPr>
      </w:pPr>
    </w:p>
    <w:p w14:paraId="0383DF8E">
      <w:pPr>
        <w:rPr>
          <w:color w:val="auto"/>
          <w:highlight w:val="none"/>
        </w:rPr>
      </w:pPr>
    </w:p>
    <w:p w14:paraId="4C820097">
      <w:pPr>
        <w:rPr>
          <w:rFonts w:hint="eastAsia"/>
          <w:color w:val="auto"/>
          <w:highlight w:val="none"/>
        </w:rPr>
      </w:pPr>
      <w:r>
        <w:rPr>
          <w:rFonts w:hint="eastAsia"/>
          <w:color w:val="auto"/>
          <w:highlight w:val="none"/>
        </w:rPr>
        <w:br w:type="page"/>
      </w:r>
    </w:p>
    <w:p w14:paraId="57EF40A3">
      <w:pPr>
        <w:pStyle w:val="2"/>
        <w:numPr>
          <w:ilvl w:val="0"/>
          <w:numId w:val="0"/>
        </w:numPr>
        <w:spacing w:beforeLines="0" w:line="240" w:lineRule="auto"/>
        <w:rPr>
          <w:color w:val="auto"/>
          <w:highlight w:val="none"/>
        </w:rPr>
      </w:pPr>
      <w:bookmarkStart w:id="114" w:name="_Toc13987"/>
      <w:r>
        <w:rPr>
          <w:rFonts w:hint="eastAsia"/>
          <w:color w:val="auto"/>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14:paraId="0CEDB135">
      <w:pPr>
        <w:pStyle w:val="3"/>
        <w:numPr>
          <w:ilvl w:val="0"/>
          <w:numId w:val="0"/>
        </w:numPr>
        <w:rPr>
          <w:rFonts w:hint="eastAsia"/>
          <w:color w:val="auto"/>
          <w:szCs w:val="21"/>
          <w:highlight w:val="none"/>
        </w:rPr>
      </w:pPr>
      <w:bookmarkStart w:id="115" w:name="_Toc456272919"/>
      <w:bookmarkStart w:id="116" w:name="_Toc16523"/>
      <w:bookmarkStart w:id="117" w:name="_Toc434832495"/>
      <w:bookmarkStart w:id="118" w:name="_Toc456648358"/>
      <w:r>
        <w:rPr>
          <w:rFonts w:hint="eastAsia"/>
          <w:color w:val="auto"/>
          <w:szCs w:val="21"/>
          <w:highlight w:val="none"/>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193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4AE0967">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E04B999">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49F8BF4">
            <w:pPr>
              <w:keepNext w:val="0"/>
              <w:keepLines w:val="0"/>
              <w:pageBreakBefore w:val="0"/>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14:paraId="476F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CEB699">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776EFBC">
            <w:pPr>
              <w:keepNext w:val="0"/>
              <w:keepLines w:val="0"/>
              <w:pageBreakBefore w:val="0"/>
              <w:kinsoku/>
              <w:wordWrap/>
              <w:overflowPunct/>
              <w:topLinePunct w:val="0"/>
              <w:bidi w:val="0"/>
              <w:snapToGrid/>
              <w:spacing w:line="400" w:lineRule="exact"/>
              <w:jc w:val="center"/>
              <w:rPr>
                <w:rFonts w:ascii="宋体" w:hAnsi="宋体"/>
                <w:color w:val="auto"/>
                <w:szCs w:val="21"/>
                <w:highlight w:val="none"/>
                <w:lang w:val="en-GB"/>
              </w:rPr>
            </w:pPr>
            <w:r>
              <w:rPr>
                <w:rFonts w:hint="eastAsia"/>
                <w:color w:val="auto"/>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14655B">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bCs/>
                <w:color w:val="auto"/>
                <w:highlight w:val="none"/>
              </w:rPr>
              <w:t>评标委员会</w:t>
            </w:r>
            <w:r>
              <w:rPr>
                <w:rFonts w:hint="eastAsia" w:ascii="宋体"/>
                <w:bCs/>
                <w:color w:val="auto"/>
                <w:highlight w:val="none"/>
                <w:lang w:val="en-US" w:eastAsia="zh-CN"/>
              </w:rPr>
              <w:t>根据政府采购相关法律法规组成</w:t>
            </w:r>
            <w:r>
              <w:rPr>
                <w:rFonts w:hint="eastAsia" w:ascii="宋体"/>
                <w:bCs/>
                <w:color w:val="auto"/>
                <w:highlight w:val="none"/>
              </w:rPr>
              <w:t>，评审专家根据相关法律法规及法律程序</w:t>
            </w:r>
            <w:r>
              <w:rPr>
                <w:rFonts w:hint="eastAsia" w:ascii="宋体"/>
                <w:bCs/>
                <w:color w:val="auto"/>
                <w:highlight w:val="none"/>
                <w:lang w:eastAsia="zh-CN"/>
              </w:rPr>
              <w:t>，</w:t>
            </w:r>
            <w:r>
              <w:rPr>
                <w:rFonts w:hint="eastAsia" w:ascii="宋体"/>
                <w:bCs/>
                <w:color w:val="auto"/>
                <w:highlight w:val="none"/>
              </w:rPr>
              <w:t>依据本次采购活动的特点和需要在政府指定的专家库中随机抽取产生,</w:t>
            </w:r>
            <w:r>
              <w:rPr>
                <w:rFonts w:hint="eastAsia" w:ascii="宋体"/>
                <w:b/>
                <w:bCs/>
                <w:color w:val="auto"/>
                <w:highlight w:val="none"/>
              </w:rPr>
              <w:t>专家数量共</w:t>
            </w:r>
            <w:r>
              <w:rPr>
                <w:rFonts w:hint="eastAsia" w:ascii="宋体"/>
                <w:b/>
                <w:bCs/>
                <w:color w:val="auto"/>
                <w:highlight w:val="none"/>
                <w:u w:val="single"/>
              </w:rPr>
              <w:t xml:space="preserve"> </w:t>
            </w:r>
            <w:r>
              <w:rPr>
                <w:rFonts w:hint="eastAsia" w:ascii="宋体"/>
                <w:b/>
                <w:bCs/>
                <w:color w:val="auto"/>
                <w:highlight w:val="none"/>
                <w:u w:val="single"/>
                <w:lang w:val="en-US" w:eastAsia="zh-CN"/>
              </w:rPr>
              <w:t>5</w:t>
            </w:r>
            <w:r>
              <w:rPr>
                <w:rFonts w:ascii="宋体"/>
                <w:b/>
                <w:bCs/>
                <w:color w:val="auto"/>
                <w:highlight w:val="none"/>
                <w:u w:val="single"/>
              </w:rPr>
              <w:t xml:space="preserve"> </w:t>
            </w:r>
            <w:r>
              <w:rPr>
                <w:rFonts w:hint="eastAsia" w:ascii="宋体"/>
                <w:b/>
                <w:bCs/>
                <w:color w:val="auto"/>
                <w:highlight w:val="none"/>
              </w:rPr>
              <w:t>名。</w:t>
            </w:r>
          </w:p>
        </w:tc>
      </w:tr>
      <w:tr w14:paraId="7D9A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3145409">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0B533CB">
            <w:pPr>
              <w:keepNext w:val="0"/>
              <w:keepLines w:val="0"/>
              <w:pageBreakBefore w:val="0"/>
              <w:kinsoku/>
              <w:wordWrap/>
              <w:overflowPunct/>
              <w:topLinePunct w:val="0"/>
              <w:bidi w:val="0"/>
              <w:snapToGrid/>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rPr>
              <w:t>投标资料数量和封装</w:t>
            </w:r>
            <w:r>
              <w:rPr>
                <w:rFonts w:hint="eastAsia" w:ascii="宋体" w:hAnsi="宋体"/>
                <w:color w:val="auto"/>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5FCEC5C">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auto"/>
                <w:highlight w:val="none"/>
                <w:lang w:eastAsia="zh-CN"/>
              </w:rPr>
            </w:pPr>
            <w:r>
              <w:rPr>
                <w:rFonts w:hint="eastAsia" w:ascii="宋体" w:hAnsi="宋体"/>
                <w:b/>
                <w:bCs/>
                <w:color w:val="auto"/>
                <w:szCs w:val="21"/>
                <w:highlight w:val="none"/>
                <w:lang w:val="en-US" w:eastAsia="zh-CN"/>
              </w:rPr>
              <w:t>共提供4份</w:t>
            </w:r>
            <w:r>
              <w:rPr>
                <w:rFonts w:hint="eastAsia" w:ascii="宋体" w:hAnsi="宋体"/>
                <w:b/>
                <w:bCs/>
                <w:color w:val="auto"/>
                <w:szCs w:val="21"/>
                <w:highlight w:val="none"/>
              </w:rPr>
              <w:t>投标</w:t>
            </w:r>
            <w:r>
              <w:rPr>
                <w:rFonts w:hint="eastAsia" w:ascii="宋体" w:hAnsi="宋体"/>
                <w:b/>
                <w:bCs/>
                <w:color w:val="auto"/>
                <w:szCs w:val="21"/>
                <w:highlight w:val="none"/>
                <w:lang w:val="en-US" w:eastAsia="zh-CN"/>
              </w:rPr>
              <w:t>资料，分别封装：</w:t>
            </w:r>
            <w:r>
              <w:rPr>
                <w:rFonts w:hint="eastAsia" w:ascii="宋体" w:hAnsi="宋体"/>
                <w:b/>
                <w:bCs/>
                <w:color w:val="auto"/>
                <w:szCs w:val="21"/>
                <w:highlight w:val="none"/>
                <w:lang w:val="en-US" w:eastAsia="zh-CN"/>
              </w:rPr>
              <w:br w:type="textWrapping"/>
            </w:r>
          </w:p>
          <w:p w14:paraId="03B50534">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auto"/>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4842DF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资格审查文件</w:t>
            </w:r>
            <w:r>
              <w:rPr>
                <w:rFonts w:hint="eastAsia" w:ascii="宋体" w:hAnsi="宋体"/>
                <w:b/>
                <w:bCs/>
                <w:color w:val="auto"/>
                <w:szCs w:val="21"/>
                <w:highlight w:val="none"/>
                <w:lang w:eastAsia="zh-CN"/>
              </w:rPr>
              <w:t>。</w:t>
            </w:r>
            <w:r>
              <w:rPr>
                <w:rFonts w:hint="eastAsia"/>
                <w:color w:val="auto"/>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14:paraId="3DA1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48F98B">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5C971A72">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4512AB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F4B510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商务及技术文件</w:t>
            </w:r>
            <w:r>
              <w:rPr>
                <w:rFonts w:hint="eastAsia" w:ascii="宋体" w:hAnsi="宋体"/>
                <w:b/>
                <w:bCs/>
                <w:color w:val="auto"/>
                <w:szCs w:val="21"/>
                <w:highlight w:val="none"/>
                <w:lang w:eastAsia="zh-CN"/>
              </w:rPr>
              <w:t>。</w:t>
            </w:r>
            <w:r>
              <w:rPr>
                <w:rFonts w:hint="eastAsia"/>
                <w:color w:val="auto"/>
                <w:highlight w:val="none"/>
                <w:lang w:val="en-US" w:eastAsia="zh-CN"/>
              </w:rPr>
              <w:t>（内含</w:t>
            </w:r>
            <w:r>
              <w:rPr>
                <w:rFonts w:hint="eastAsia"/>
                <w:color w:val="auto"/>
                <w:highlight w:val="none"/>
                <w:u w:val="single"/>
                <w:lang w:val="en-US" w:eastAsia="zh-CN"/>
              </w:rPr>
              <w:t xml:space="preserve"> 1 </w:t>
            </w:r>
            <w:r>
              <w:rPr>
                <w:rFonts w:hint="eastAsia"/>
                <w:color w:val="auto"/>
                <w:highlight w:val="none"/>
                <w:lang w:val="en-US" w:eastAsia="zh-CN"/>
              </w:rPr>
              <w:t>正</w:t>
            </w:r>
            <w:r>
              <w:rPr>
                <w:rFonts w:hint="eastAsia"/>
                <w:color w:val="auto"/>
                <w:highlight w:val="none"/>
                <w:u w:val="single"/>
                <w:lang w:val="en-US" w:eastAsia="zh-CN"/>
              </w:rPr>
              <w:t xml:space="preserve"> 4 </w:t>
            </w:r>
            <w:r>
              <w:rPr>
                <w:rFonts w:hint="eastAsia"/>
                <w:color w:val="auto"/>
                <w:highlight w:val="none"/>
                <w:lang w:val="en-US" w:eastAsia="zh-CN"/>
              </w:rPr>
              <w:t>副，</w:t>
            </w:r>
            <w:r>
              <w:rPr>
                <w:rFonts w:hint="eastAsia" w:ascii="宋体" w:hAnsi="宋体"/>
                <w:bCs/>
                <w:color w:val="auto"/>
                <w:szCs w:val="21"/>
                <w:highlight w:val="none"/>
              </w:rPr>
              <w:t>独立装订成册</w:t>
            </w:r>
            <w:r>
              <w:rPr>
                <w:rFonts w:hint="eastAsia"/>
                <w:color w:val="auto"/>
                <w:highlight w:val="none"/>
                <w:lang w:eastAsia="zh-CN"/>
              </w:rPr>
              <w:t>。</w:t>
            </w:r>
            <w:r>
              <w:rPr>
                <w:rFonts w:hint="eastAsia"/>
                <w:color w:val="auto"/>
                <w:highlight w:val="none"/>
                <w:lang w:val="en-US" w:eastAsia="zh-CN"/>
              </w:rPr>
              <w:t>）</w:t>
            </w:r>
          </w:p>
        </w:tc>
      </w:tr>
      <w:tr w14:paraId="5BF2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47108C4">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3A88D4D1">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9F0609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490AAE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3.</w:t>
            </w:r>
            <w:r>
              <w:rPr>
                <w:rFonts w:hint="eastAsia"/>
                <w:b/>
                <w:bCs/>
                <w:color w:val="auto"/>
                <w:szCs w:val="21"/>
                <w:highlight w:val="none"/>
              </w:rPr>
              <w:t>开标信封</w:t>
            </w:r>
            <w:r>
              <w:rPr>
                <w:rFonts w:hint="eastAsia"/>
                <w:b/>
                <w:bCs/>
                <w:color w:val="auto"/>
                <w:szCs w:val="21"/>
                <w:highlight w:val="none"/>
                <w:lang w:eastAsia="zh-CN"/>
              </w:rPr>
              <w:t>。</w:t>
            </w:r>
            <w:r>
              <w:rPr>
                <w:rFonts w:hint="eastAsia"/>
                <w:color w:val="auto"/>
                <w:highlight w:val="none"/>
                <w:lang w:val="en-US" w:eastAsia="zh-CN"/>
              </w:rPr>
              <w:t>（内含“开标一览表”、“法定代表人（负责人）证明书”和“法定代表人（负责人）授权书”</w:t>
            </w:r>
            <w:r>
              <w:rPr>
                <w:rFonts w:hint="eastAsia"/>
                <w:color w:val="auto"/>
                <w:highlight w:val="none"/>
                <w:lang w:eastAsia="zh-CN"/>
              </w:rPr>
              <w:t>。</w:t>
            </w:r>
            <w:r>
              <w:rPr>
                <w:rFonts w:hint="eastAsia"/>
                <w:color w:val="auto"/>
                <w:highlight w:val="none"/>
                <w:lang w:val="en-US" w:eastAsia="zh-CN"/>
              </w:rPr>
              <w:t>）</w:t>
            </w:r>
          </w:p>
        </w:tc>
      </w:tr>
      <w:tr w14:paraId="19FD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312E9E8">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0BFC3D4A">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DDA51E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2CA07E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auto"/>
                <w:szCs w:val="21"/>
                <w:highlight w:val="none"/>
                <w:lang w:val="en-US" w:eastAsia="zh-CN"/>
              </w:rPr>
            </w:pPr>
            <w:r>
              <w:rPr>
                <w:rFonts w:hint="eastAsia"/>
                <w:b/>
                <w:bCs/>
                <w:color w:val="auto"/>
                <w:szCs w:val="21"/>
                <w:highlight w:val="none"/>
                <w:lang w:val="en-US" w:eastAsia="zh-CN"/>
              </w:rPr>
              <w:t>4.</w:t>
            </w:r>
            <w:r>
              <w:rPr>
                <w:rFonts w:hint="eastAsia"/>
                <w:b/>
                <w:bCs/>
                <w:color w:val="auto"/>
                <w:highlight w:val="none"/>
                <w:lang w:val="en-US" w:eastAsia="zh-CN"/>
              </w:rPr>
              <w:t>投标文件电子版。</w:t>
            </w:r>
            <w:r>
              <w:rPr>
                <w:rFonts w:hint="eastAsia"/>
                <w:color w:val="auto"/>
                <w:highlight w:val="none"/>
                <w:lang w:val="en-US" w:eastAsia="zh-CN"/>
              </w:rPr>
              <w:t>（以光盘或U盘提供，内含PDF及可编辑的投标文件电子版1份，</w:t>
            </w:r>
            <w:r>
              <w:rPr>
                <w:rFonts w:hint="eastAsia"/>
                <w:color w:val="auto"/>
                <w:szCs w:val="21"/>
                <w:highlight w:val="none"/>
              </w:rPr>
              <w:t>在封面上注明“</w:t>
            </w:r>
            <w:r>
              <w:rPr>
                <w:rFonts w:hint="eastAsia"/>
                <w:color w:val="auto"/>
                <w:szCs w:val="21"/>
                <w:highlight w:val="none"/>
                <w:lang w:val="en-US" w:eastAsia="zh-CN"/>
              </w:rPr>
              <w:t>公司名称-</w:t>
            </w:r>
            <w:r>
              <w:rPr>
                <w:rFonts w:hint="eastAsia"/>
                <w:color w:val="auto"/>
                <w:highlight w:val="none"/>
                <w:lang w:val="en-US" w:eastAsia="zh-CN"/>
              </w:rPr>
              <w:t>投标文件电子版</w:t>
            </w:r>
            <w:r>
              <w:rPr>
                <w:rFonts w:hint="eastAsia"/>
                <w:color w:val="auto"/>
                <w:szCs w:val="21"/>
                <w:highlight w:val="none"/>
              </w:rPr>
              <w:t>”</w:t>
            </w:r>
            <w:r>
              <w:rPr>
                <w:rFonts w:hint="eastAsia"/>
                <w:color w:val="auto"/>
                <w:highlight w:val="none"/>
                <w:lang w:eastAsia="zh-CN"/>
              </w:rPr>
              <w:t>。</w:t>
            </w:r>
            <w:r>
              <w:rPr>
                <w:rFonts w:hint="eastAsia"/>
                <w:color w:val="auto"/>
                <w:highlight w:val="none"/>
                <w:lang w:val="en-US" w:eastAsia="zh-CN"/>
              </w:rPr>
              <w:t>）</w:t>
            </w:r>
          </w:p>
        </w:tc>
      </w:tr>
      <w:tr w14:paraId="6870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32A62A0D">
            <w:pPr>
              <w:keepNext w:val="0"/>
              <w:keepLines w:val="0"/>
              <w:pageBreakBefore w:val="0"/>
              <w:tabs>
                <w:tab w:val="left" w:pos="180"/>
              </w:tabs>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455A581F">
            <w:pPr>
              <w:keepNext w:val="0"/>
              <w:keepLines w:val="0"/>
              <w:pageBreakBefore w:val="0"/>
              <w:kinsoku/>
              <w:wordWrap/>
              <w:overflowPunct/>
              <w:topLinePunct w:val="0"/>
              <w:bidi w:val="0"/>
              <w:snapToGrid/>
              <w:spacing w:line="400" w:lineRule="exact"/>
              <w:jc w:val="center"/>
              <w:rPr>
                <w:rFonts w:hint="eastAsia"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1C95F32">
            <w:pPr>
              <w:keepNext w:val="0"/>
              <w:keepLines w:val="0"/>
              <w:pageBreakBefore w:val="0"/>
              <w:kinsoku/>
              <w:wordWrap/>
              <w:overflowPunct/>
              <w:topLinePunct w:val="0"/>
              <w:bidi w:val="0"/>
              <w:snapToGrid/>
              <w:spacing w:line="400" w:lineRule="exact"/>
              <w:rPr>
                <w:color w:val="auto"/>
                <w:highlight w:val="none"/>
              </w:rPr>
            </w:pPr>
            <w:r>
              <w:rPr>
                <w:rFonts w:hint="eastAsia" w:ascii="宋体" w:hAnsi="宋体"/>
                <w:b/>
                <w:bCs w:val="0"/>
                <w:color w:val="auto"/>
                <w:szCs w:val="21"/>
                <w:highlight w:val="none"/>
                <w:lang w:val="en-US" w:eastAsia="zh-CN"/>
              </w:rPr>
              <w:t>所有投标资料</w:t>
            </w:r>
            <w:r>
              <w:rPr>
                <w:rFonts w:hint="eastAsia" w:ascii="宋体"/>
                <w:bCs/>
                <w:color w:val="auto"/>
                <w:szCs w:val="21"/>
                <w:highlight w:val="none"/>
              </w:rPr>
              <w:t>分别</w:t>
            </w:r>
            <w:r>
              <w:rPr>
                <w:rFonts w:hint="eastAsia" w:ascii="宋体" w:hAnsi="宋体"/>
                <w:bCs/>
                <w:color w:val="auto"/>
                <w:szCs w:val="21"/>
                <w:highlight w:val="none"/>
              </w:rPr>
              <w:t>密封在不透明的外层封装中，</w:t>
            </w:r>
            <w:r>
              <w:rPr>
                <w:rFonts w:hint="eastAsia"/>
                <w:color w:val="auto"/>
                <w:szCs w:val="21"/>
                <w:highlight w:val="none"/>
              </w:rPr>
              <w:t>封面需按招标文件封面格式要求标注并加盖公章。</w:t>
            </w:r>
          </w:p>
        </w:tc>
      </w:tr>
      <w:tr w14:paraId="0D06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FF9970">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D9FF806">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C8687BC">
            <w:pPr>
              <w:keepNext w:val="0"/>
              <w:keepLines w:val="0"/>
              <w:pageBreakBefore w:val="0"/>
              <w:kinsoku/>
              <w:wordWrap/>
              <w:overflowPunct/>
              <w:topLinePunct w:val="0"/>
              <w:bidi w:val="0"/>
              <w:snapToGrid/>
              <w:spacing w:line="400" w:lineRule="exact"/>
              <w:rPr>
                <w:color w:val="auto"/>
                <w:highlight w:val="none"/>
              </w:rPr>
            </w:pPr>
            <w:r>
              <w:rPr>
                <w:rFonts w:hint="eastAsia" w:ascii="宋体"/>
                <w:bCs/>
                <w:color w:val="auto"/>
                <w:highlight w:val="none"/>
              </w:rPr>
              <w:t>每一密封封</w:t>
            </w:r>
            <w:r>
              <w:rPr>
                <w:rFonts w:hint="eastAsia" w:ascii="宋体"/>
                <w:bCs/>
                <w:color w:val="auto"/>
                <w:highlight w:val="none"/>
                <w:lang w:val="en-US" w:eastAsia="zh-CN"/>
              </w:rPr>
              <w:t>装</w:t>
            </w:r>
            <w:r>
              <w:rPr>
                <w:rFonts w:hint="eastAsia" w:ascii="宋体"/>
                <w:bCs/>
                <w:color w:val="auto"/>
                <w:highlight w:val="none"/>
              </w:rPr>
              <w:t>上均注明“于</w:t>
            </w:r>
            <w:r>
              <w:rPr>
                <w:rFonts w:hint="eastAsia" w:ascii="宋体"/>
                <w:bCs/>
                <w:color w:val="auto"/>
                <w:highlight w:val="none"/>
                <w:u w:val="single"/>
              </w:rPr>
              <w:t xml:space="preserve">     （投标截止时间）   </w:t>
            </w:r>
            <w:r>
              <w:rPr>
                <w:rFonts w:hint="eastAsia" w:ascii="宋体"/>
                <w:bCs/>
                <w:color w:val="auto"/>
                <w:highlight w:val="none"/>
              </w:rPr>
              <w:t>之前不准启封”的字样。</w:t>
            </w:r>
          </w:p>
        </w:tc>
      </w:tr>
      <w:tr w14:paraId="4AC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96F3035">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852529E">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01C82F">
            <w:pPr>
              <w:keepNext w:val="0"/>
              <w:keepLines w:val="0"/>
              <w:pageBreakBefore w:val="0"/>
              <w:kinsoku/>
              <w:wordWrap/>
              <w:overflowPunct/>
              <w:topLinePunct w:val="0"/>
              <w:bidi w:val="0"/>
              <w:snapToGrid/>
              <w:spacing w:line="400" w:lineRule="exact"/>
              <w:rPr>
                <w:rFonts w:ascii="宋体"/>
                <w:bCs/>
                <w:color w:val="auto"/>
                <w:highlight w:val="none"/>
              </w:rPr>
            </w:pPr>
            <w:r>
              <w:rPr>
                <w:rFonts w:hint="eastAsia" w:ascii="宋体"/>
                <w:bCs/>
                <w:color w:val="auto"/>
                <w:highlight w:val="none"/>
              </w:rPr>
              <w:t>投标人未按上述规定对投标文件进行密封和加写标记，</w:t>
            </w:r>
            <w:r>
              <w:rPr>
                <w:rFonts w:hint="eastAsia" w:ascii="宋体" w:hAnsi="宋体"/>
                <w:color w:val="auto"/>
                <w:highlight w:val="none"/>
              </w:rPr>
              <w:t>代理采购机构有权予以拒收，并退回给投标人。电报、电话、传真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r>
              <w:rPr>
                <w:b/>
                <w:bCs/>
                <w:color w:val="auto"/>
                <w:szCs w:val="21"/>
                <w:highlight w:val="none"/>
              </w:rPr>
              <w:t>所有投标文件密封袋的封口处应加盖投标人</w:t>
            </w:r>
            <w:r>
              <w:rPr>
                <w:rFonts w:hint="eastAsia"/>
                <w:b/>
                <w:bCs/>
                <w:color w:val="auto"/>
                <w:szCs w:val="21"/>
                <w:highlight w:val="none"/>
              </w:rPr>
              <w:t>公章或密封章。</w:t>
            </w:r>
          </w:p>
        </w:tc>
      </w:tr>
      <w:tr w14:paraId="1CB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FED40B">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hint="eastAsia" w:ascii="宋体" w:hAnsi="宋体"/>
                <w:b/>
                <w:color w:val="auto"/>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5A657001">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CFB150F">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auto"/>
                <w:sz w:val="21"/>
                <w:szCs w:val="21"/>
                <w:highlight w:val="none"/>
              </w:rPr>
            </w:pPr>
            <w:r>
              <w:rPr>
                <w:rFonts w:hint="eastAsia"/>
                <w:b/>
                <w:color w:val="auto"/>
                <w:sz w:val="21"/>
                <w:szCs w:val="21"/>
                <w:highlight w:val="none"/>
              </w:rPr>
              <w:t>招标文件中打“★”号条款必须实质性响应，负偏离（不满足要求）将导致投标无效。</w:t>
            </w:r>
          </w:p>
          <w:p w14:paraId="1FF846A9">
            <w:pPr>
              <w:pStyle w:val="4"/>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auto"/>
                <w:highlight w:val="none"/>
              </w:rPr>
            </w:pPr>
            <w:r>
              <w:rPr>
                <w:rFonts w:hint="eastAsia"/>
                <w:b/>
                <w:color w:val="auto"/>
                <w:sz w:val="21"/>
                <w:szCs w:val="21"/>
                <w:highlight w:val="none"/>
              </w:rPr>
              <w:t>招标文件中带“▲”为实质性参数要求响应, 负偏离（不满足要求）将导致严重扣分。</w:t>
            </w:r>
          </w:p>
        </w:tc>
      </w:tr>
      <w:tr w14:paraId="504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36BB788D">
            <w:pPr>
              <w:keepNext w:val="0"/>
              <w:keepLines w:val="0"/>
              <w:pageBreakBefore w:val="0"/>
              <w:widowControl/>
              <w:kinsoku/>
              <w:wordWrap/>
              <w:overflowPunct/>
              <w:topLinePunct w:val="0"/>
              <w:bidi w:val="0"/>
              <w:snapToGrid/>
              <w:spacing w:line="400" w:lineRule="exact"/>
              <w:jc w:val="center"/>
              <w:rPr>
                <w:rFonts w:ascii="宋体" w:hAnsi="宋体"/>
                <w:b/>
                <w:color w:val="auto"/>
                <w:szCs w:val="21"/>
                <w:highlight w:val="none"/>
              </w:rPr>
            </w:pPr>
            <w:r>
              <w:rPr>
                <w:rFonts w:ascii="宋体" w:hAnsi="宋体"/>
                <w:b/>
                <w:color w:val="auto"/>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0F92839">
            <w:pPr>
              <w:keepNext w:val="0"/>
              <w:keepLines w:val="0"/>
              <w:pageBreakBefore w:val="0"/>
              <w:widowControl/>
              <w:kinsoku/>
              <w:wordWrap/>
              <w:overflowPunct/>
              <w:topLinePunct w:val="0"/>
              <w:bidi w:val="0"/>
              <w:snapToGrid/>
              <w:spacing w:line="40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14:paraId="3F379E1C">
            <w:pPr>
              <w:spacing w:line="400" w:lineRule="exact"/>
              <w:rPr>
                <w:rFonts w:ascii="宋体" w:hAnsi="宋体"/>
                <w:color w:val="auto"/>
                <w:szCs w:val="21"/>
                <w:highlight w:val="none"/>
              </w:rPr>
            </w:pPr>
            <w:r>
              <w:rPr>
                <w:rFonts w:hint="eastAsia" w:ascii="宋体" w:hAnsi="宋体"/>
                <w:color w:val="auto"/>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14:paraId="6B9F8AD8">
            <w:pPr>
              <w:spacing w:line="400" w:lineRule="exact"/>
              <w:rPr>
                <w:rFonts w:ascii="宋体" w:hAnsi="宋体"/>
                <w:color w:val="auto"/>
                <w:szCs w:val="21"/>
                <w:highlight w:val="none"/>
              </w:rPr>
            </w:pPr>
            <w:r>
              <w:rPr>
                <w:rFonts w:ascii="宋体" w:hAnsi="宋体"/>
                <w:color w:val="auto"/>
                <w:szCs w:val="21"/>
                <w:highlight w:val="none"/>
              </w:rPr>
              <w:t>http://www.ccgp.gov.cn/</w:t>
            </w:r>
          </w:p>
        </w:tc>
      </w:tr>
      <w:tr w14:paraId="24B1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5F73D16D">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42B83908">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14:paraId="595774E8">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rFonts w:hint="eastAsia" w:ascii="宋体" w:hAnsi="宋体"/>
                <w:color w:val="auto"/>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173E7E64">
            <w:pPr>
              <w:keepNext w:val="0"/>
              <w:keepLines w:val="0"/>
              <w:pageBreakBefore w:val="0"/>
              <w:kinsoku/>
              <w:wordWrap/>
              <w:overflowPunct/>
              <w:topLinePunct w:val="0"/>
              <w:bidi w:val="0"/>
              <w:snapToGrid/>
              <w:spacing w:line="40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14:paraId="69E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DD2DEDD">
            <w:pPr>
              <w:keepNext w:val="0"/>
              <w:keepLines w:val="0"/>
              <w:pageBreakBefore w:val="0"/>
              <w:widowControl/>
              <w:kinsoku/>
              <w:wordWrap/>
              <w:overflowPunct/>
              <w:topLinePunct w:val="0"/>
              <w:bidi w:val="0"/>
              <w:snapToGrid/>
              <w:spacing w:line="400" w:lineRule="exact"/>
              <w:jc w:val="left"/>
              <w:rPr>
                <w:rFonts w:ascii="宋体" w:hAnsi="宋体"/>
                <w:b/>
                <w:color w:val="auto"/>
                <w:szCs w:val="21"/>
                <w:highlight w:val="none"/>
              </w:rPr>
            </w:pPr>
          </w:p>
        </w:tc>
        <w:tc>
          <w:tcPr>
            <w:tcW w:w="1856" w:type="dxa"/>
            <w:vMerge w:val="continue"/>
            <w:tcBorders>
              <w:left w:val="single" w:color="auto" w:sz="4" w:space="0"/>
              <w:right w:val="single" w:color="auto" w:sz="4" w:space="0"/>
            </w:tcBorders>
            <w:vAlign w:val="center"/>
          </w:tcPr>
          <w:p w14:paraId="3209501A">
            <w:pPr>
              <w:keepNext w:val="0"/>
              <w:keepLines w:val="0"/>
              <w:pageBreakBefore w:val="0"/>
              <w:widowControl/>
              <w:kinsoku/>
              <w:wordWrap/>
              <w:overflowPunct/>
              <w:topLinePunct w:val="0"/>
              <w:bidi w:val="0"/>
              <w:snapToGrid/>
              <w:spacing w:line="400" w:lineRule="exact"/>
              <w:jc w:val="left"/>
              <w:rPr>
                <w:rFonts w:ascii="宋体" w:hAnsi="宋体"/>
                <w:color w:val="auto"/>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14:paraId="4D5D593E">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14:paraId="2E7E2F04">
            <w:pPr>
              <w:keepNext w:val="0"/>
              <w:keepLines w:val="0"/>
              <w:pageBreakBefore w:val="0"/>
              <w:kinsoku/>
              <w:wordWrap/>
              <w:overflowPunct/>
              <w:topLinePunct w:val="0"/>
              <w:bidi w:val="0"/>
              <w:snapToGrid/>
              <w:spacing w:line="40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14:paraId="47B83C3A">
      <w:pPr>
        <w:pStyle w:val="4"/>
        <w:ind w:left="0" w:leftChars="0" w:firstLine="0" w:firstLineChars="0"/>
        <w:rPr>
          <w:rFonts w:hint="eastAsia"/>
          <w:color w:val="auto"/>
          <w:szCs w:val="21"/>
          <w:highlight w:val="none"/>
        </w:rPr>
      </w:pPr>
    </w:p>
    <w:p w14:paraId="00DD13EE">
      <w:pPr>
        <w:pStyle w:val="4"/>
        <w:ind w:left="0" w:leftChars="0" w:firstLine="0" w:firstLineChars="0"/>
        <w:rPr>
          <w:rFonts w:hint="eastAsia"/>
          <w:color w:val="auto"/>
          <w:szCs w:val="21"/>
          <w:highlight w:val="none"/>
        </w:rPr>
      </w:pPr>
    </w:p>
    <w:p w14:paraId="49245612">
      <w:pPr>
        <w:pStyle w:val="3"/>
        <w:numPr>
          <w:ilvl w:val="0"/>
          <w:numId w:val="0"/>
        </w:numPr>
        <w:rPr>
          <w:color w:val="auto"/>
          <w:sz w:val="24"/>
          <w:highlight w:val="none"/>
        </w:rPr>
      </w:pPr>
      <w:bookmarkStart w:id="119" w:name="_Hlt21938665"/>
      <w:bookmarkEnd w:id="119"/>
      <w:bookmarkStart w:id="120" w:name="_Hlt21938668"/>
      <w:bookmarkEnd w:id="120"/>
      <w:bookmarkStart w:id="121" w:name="_Toc337632326"/>
      <w:bookmarkStart w:id="122" w:name="_Toc339441055"/>
      <w:bookmarkStart w:id="123" w:name="_Toc339019857"/>
      <w:bookmarkStart w:id="124" w:name="_Toc349127594"/>
      <w:bookmarkStart w:id="125" w:name="_Toc340677038"/>
      <w:bookmarkStart w:id="126" w:name="_Toc341348306"/>
      <w:bookmarkStart w:id="127" w:name="_Toc345513835"/>
      <w:bookmarkStart w:id="128" w:name="_Toc332270314"/>
      <w:bookmarkStart w:id="129" w:name="_Toc331684006"/>
      <w:bookmarkStart w:id="130" w:name="_Toc339362268"/>
      <w:bookmarkStart w:id="131" w:name="_Toc350438717"/>
      <w:bookmarkStart w:id="132" w:name="_Toc366072496"/>
      <w:bookmarkStart w:id="133" w:name="_Toc331512866"/>
      <w:bookmarkStart w:id="134" w:name="_Toc350756418"/>
      <w:bookmarkStart w:id="135" w:name="_Toc330459953"/>
      <w:bookmarkStart w:id="136" w:name="_Toc339020201"/>
      <w:bookmarkStart w:id="137" w:name="_Toc342060342"/>
      <w:bookmarkStart w:id="138" w:name="_Toc497224194"/>
      <w:bookmarkStart w:id="139" w:name="_Toc339020063"/>
      <w:bookmarkStart w:id="140" w:name="_Toc333238601"/>
      <w:bookmarkStart w:id="141" w:name="_Toc333237756"/>
      <w:bookmarkStart w:id="142" w:name="_Toc340507410"/>
      <w:bookmarkStart w:id="143" w:name="_Toc332206676"/>
      <w:bookmarkStart w:id="144" w:name="_Toc342296728"/>
      <w:bookmarkStart w:id="145" w:name="_Toc365985147"/>
      <w:bookmarkStart w:id="146" w:name="_Toc333935655"/>
      <w:bookmarkStart w:id="147" w:name="_Toc349143557"/>
      <w:bookmarkStart w:id="148" w:name="_Toc333935314"/>
      <w:bookmarkStart w:id="149" w:name="_Toc340672837"/>
      <w:bookmarkStart w:id="150" w:name="_Toc336681548"/>
      <w:bookmarkStart w:id="151" w:name="_Toc333237645"/>
      <w:bookmarkStart w:id="152" w:name="_Toc336681903"/>
      <w:bookmarkStart w:id="153" w:name="_Toc503785396"/>
      <w:bookmarkStart w:id="154" w:name="_Toc339019983"/>
      <w:bookmarkStart w:id="155" w:name="_Toc18649"/>
      <w:bookmarkStart w:id="156" w:name="_Toc365967041"/>
      <w:r>
        <w:rPr>
          <w:rFonts w:hint="eastAsia"/>
          <w:color w:val="auto"/>
          <w:sz w:val="24"/>
          <w:highlight w:val="none"/>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08C129A7">
      <w:pPr>
        <w:pStyle w:val="5"/>
        <w:numPr>
          <w:ilvl w:val="4"/>
          <w:numId w:val="23"/>
        </w:numPr>
        <w:tabs>
          <w:tab w:val="left" w:pos="720"/>
        </w:tabs>
        <w:spacing w:before="240" w:after="120"/>
        <w:ind w:left="2432" w:hanging="2432"/>
        <w:rPr>
          <w:color w:val="auto"/>
          <w:highlight w:val="none"/>
        </w:rPr>
      </w:pPr>
      <w:bookmarkStart w:id="157" w:name="_Toc503785397"/>
      <w:bookmarkStart w:id="158" w:name="_Toc497224195"/>
      <w:bookmarkStart w:id="159" w:name="_Toc336681904"/>
      <w:bookmarkStart w:id="160" w:name="_Toc339019984"/>
      <w:bookmarkStart w:id="161" w:name="_Toc365967042"/>
      <w:bookmarkStart w:id="162" w:name="_Toc333935315"/>
      <w:bookmarkStart w:id="163" w:name="_Toc339020064"/>
      <w:bookmarkStart w:id="164" w:name="_Toc333935656"/>
      <w:bookmarkStart w:id="165" w:name="_Toc330459954"/>
      <w:bookmarkStart w:id="166" w:name="_Toc339019858"/>
      <w:bookmarkStart w:id="167" w:name="_Toc340677039"/>
      <w:bookmarkStart w:id="168" w:name="_Toc350756419"/>
      <w:bookmarkStart w:id="169" w:name="_Toc345513836"/>
      <w:bookmarkStart w:id="170" w:name="_Toc339362269"/>
      <w:bookmarkStart w:id="171" w:name="_Toc365985148"/>
      <w:bookmarkStart w:id="172" w:name="_Toc337632327"/>
      <w:bookmarkStart w:id="173" w:name="_Toc333237646"/>
      <w:bookmarkStart w:id="174" w:name="_Toc332206677"/>
      <w:bookmarkStart w:id="175" w:name="_Toc333238602"/>
      <w:bookmarkStart w:id="176" w:name="_Toc339441056"/>
      <w:bookmarkStart w:id="177" w:name="_Toc349143558"/>
      <w:bookmarkStart w:id="178" w:name="_Toc342060343"/>
      <w:bookmarkStart w:id="179" w:name="_Toc331512867"/>
      <w:bookmarkStart w:id="180" w:name="_Toc333237757"/>
      <w:bookmarkStart w:id="181" w:name="_Toc350438718"/>
      <w:bookmarkStart w:id="182" w:name="_Toc339020202"/>
      <w:bookmarkStart w:id="183" w:name="_Toc1230"/>
      <w:bookmarkStart w:id="184" w:name="_Toc342296729"/>
      <w:bookmarkStart w:id="185" w:name="_Toc366072497"/>
      <w:bookmarkStart w:id="186" w:name="_Toc331684007"/>
      <w:bookmarkStart w:id="187" w:name="_Toc349127595"/>
      <w:bookmarkStart w:id="188" w:name="_Toc336681549"/>
      <w:bookmarkStart w:id="189" w:name="_Toc340507411"/>
      <w:bookmarkStart w:id="190" w:name="_Toc332270315"/>
      <w:bookmarkStart w:id="191" w:name="_Toc341348307"/>
      <w:bookmarkStart w:id="192" w:name="_Toc340672838"/>
      <w:r>
        <w:rPr>
          <w:rFonts w:hint="eastAsia"/>
          <w:color w:val="auto"/>
          <w:highlight w:val="none"/>
        </w:rPr>
        <w:t>适用范围</w:t>
      </w:r>
      <w:bookmarkEnd w:id="157"/>
      <w:bookmarkEnd w:id="158"/>
      <w:r>
        <w:rPr>
          <w:rFonts w:hint="eastAsia"/>
          <w:color w:val="auto"/>
          <w:highlight w:val="none"/>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D0D1B03">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bookmarkStart w:id="193" w:name="_Toc345513837"/>
      <w:bookmarkStart w:id="194" w:name="_Toc331512868"/>
      <w:bookmarkStart w:id="195" w:name="_Toc497224196"/>
      <w:bookmarkStart w:id="196" w:name="_Toc339019985"/>
      <w:bookmarkStart w:id="197" w:name="_Toc330459955"/>
      <w:bookmarkStart w:id="198" w:name="_Toc349143559"/>
      <w:bookmarkStart w:id="199" w:name="_Toc332270316"/>
      <w:bookmarkStart w:id="200" w:name="_Toc333935316"/>
      <w:bookmarkStart w:id="201" w:name="_Toc336681905"/>
      <w:bookmarkStart w:id="202" w:name="_Toc333935657"/>
      <w:bookmarkStart w:id="203" w:name="_Toc341348308"/>
      <w:bookmarkStart w:id="204" w:name="_Toc333238603"/>
      <w:bookmarkStart w:id="205" w:name="_Toc366072498"/>
      <w:bookmarkStart w:id="206" w:name="_Toc503785398"/>
      <w:bookmarkStart w:id="207" w:name="_Toc333237647"/>
      <w:bookmarkStart w:id="208" w:name="_Toc340672839"/>
      <w:bookmarkStart w:id="209" w:name="_Toc365967043"/>
      <w:bookmarkStart w:id="210" w:name="_Toc350756420"/>
      <w:bookmarkStart w:id="211" w:name="_Toc342296730"/>
      <w:bookmarkStart w:id="212" w:name="_Toc339362270"/>
      <w:bookmarkStart w:id="213" w:name="_Toc339441057"/>
      <w:bookmarkStart w:id="214" w:name="_Toc365985149"/>
      <w:bookmarkStart w:id="215" w:name="_Toc350438719"/>
      <w:bookmarkStart w:id="216" w:name="_Toc337632328"/>
      <w:bookmarkStart w:id="217" w:name="_Toc331684008"/>
      <w:bookmarkStart w:id="218" w:name="_Toc339019859"/>
      <w:bookmarkStart w:id="219" w:name="_Toc340507412"/>
      <w:bookmarkStart w:id="220" w:name="_Toc336681550"/>
      <w:bookmarkStart w:id="221" w:name="_Toc339020065"/>
      <w:bookmarkStart w:id="222" w:name="_Toc333237758"/>
      <w:bookmarkStart w:id="223" w:name="_Toc340677040"/>
      <w:bookmarkStart w:id="224" w:name="_Toc342060344"/>
      <w:bookmarkStart w:id="225" w:name="_Toc349127596"/>
      <w:bookmarkStart w:id="226" w:name="_Toc339020203"/>
      <w:bookmarkStart w:id="227" w:name="_Toc332206678"/>
      <w:bookmarkStart w:id="228" w:name="_Toc374454571"/>
      <w:r>
        <w:rPr>
          <w:rFonts w:hint="eastAsia" w:ascii="宋体"/>
          <w:bCs/>
          <w:color w:val="auto"/>
          <w:highlight w:val="none"/>
        </w:rPr>
        <w:t>1</w:t>
      </w:r>
      <w:r>
        <w:rPr>
          <w:rFonts w:ascii="宋体"/>
          <w:bCs/>
          <w:color w:val="auto"/>
          <w:highlight w:val="none"/>
        </w:rPr>
        <w:t>.1</w:t>
      </w:r>
      <w:r>
        <w:rPr>
          <w:rFonts w:hint="eastAsia" w:ascii="宋体"/>
          <w:bCs/>
          <w:color w:val="auto"/>
          <w:highlight w:val="none"/>
        </w:rPr>
        <w:t xml:space="preserve">    本招标文件仅适用于本次投标邀请函中所叙述的采购招标项目。</w:t>
      </w:r>
    </w:p>
    <w:p w14:paraId="56E4CBCC">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2    本项目的采购人已分别获得一笔资金用于支付本次招标项下的所有合同款项。</w:t>
      </w:r>
    </w:p>
    <w:p w14:paraId="582D255F">
      <w:pPr>
        <w:widowControl/>
        <w:tabs>
          <w:tab w:val="left" w:pos="502"/>
          <w:tab w:val="left" w:pos="753"/>
          <w:tab w:val="left" w:pos="840"/>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1</w:t>
      </w:r>
      <w:r>
        <w:rPr>
          <w:rFonts w:ascii="宋体"/>
          <w:bCs/>
          <w:color w:val="auto"/>
          <w:highlight w:val="none"/>
        </w:rPr>
        <w:t>.</w:t>
      </w:r>
      <w:r>
        <w:rPr>
          <w:rFonts w:hint="eastAsia" w:ascii="宋体"/>
          <w:bCs/>
          <w:color w:val="auto"/>
          <w:highlight w:val="none"/>
        </w:rPr>
        <w:t>3    本招标文件由代理采购机构负责解释。</w:t>
      </w:r>
    </w:p>
    <w:p w14:paraId="48FFFE62">
      <w:pPr>
        <w:pStyle w:val="5"/>
        <w:numPr>
          <w:ilvl w:val="4"/>
          <w:numId w:val="23"/>
        </w:numPr>
        <w:tabs>
          <w:tab w:val="left" w:pos="720"/>
        </w:tabs>
        <w:spacing w:before="240" w:after="120"/>
        <w:ind w:left="2432" w:hanging="2432"/>
        <w:rPr>
          <w:color w:val="auto"/>
          <w:highlight w:val="none"/>
        </w:rPr>
      </w:pPr>
      <w:bookmarkStart w:id="229" w:name="_Toc15741"/>
      <w:r>
        <w:rPr>
          <w:rFonts w:hint="eastAsia"/>
          <w:color w:val="auto"/>
          <w:highlight w:val="none"/>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21E76F6">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2.1</w:t>
      </w:r>
      <w:r>
        <w:rPr>
          <w:rFonts w:ascii="宋体"/>
          <w:bCs/>
          <w:color w:val="auto"/>
          <w:highlight w:val="none"/>
        </w:rPr>
        <w:tab/>
      </w:r>
      <w:r>
        <w:rPr>
          <w:rFonts w:hint="eastAsia" w:ascii="宋体"/>
          <w:bCs/>
          <w:color w:val="auto"/>
          <w:highlight w:val="none"/>
        </w:rPr>
        <w:t>“代理采购机构”系指组织本次招标的广东业信采购招标有限公司。</w:t>
      </w:r>
    </w:p>
    <w:p w14:paraId="64216994">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bCs/>
          <w:color w:val="auto"/>
          <w:highlight w:val="none"/>
        </w:rPr>
        <w:t>2</w:t>
      </w:r>
      <w:r>
        <w:rPr>
          <w:rFonts w:ascii="宋体"/>
          <w:bCs/>
          <w:color w:val="auto"/>
          <w:highlight w:val="none"/>
        </w:rPr>
        <w:t>.2</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“投标人”系指</w:t>
      </w:r>
      <w:r>
        <w:rPr>
          <w:rFonts w:hint="eastAsia" w:ascii="宋体" w:hAnsi="宋体"/>
          <w:bCs/>
          <w:color w:val="auto"/>
          <w:highlight w:val="none"/>
        </w:rPr>
        <w:t>符合招标文件合格投标人资格要求，并按招标文件规定提交投标文件的投标人。</w:t>
      </w:r>
    </w:p>
    <w:p w14:paraId="7D4DCC73">
      <w:pPr>
        <w:widowControl/>
        <w:tabs>
          <w:tab w:val="left" w:pos="753"/>
        </w:tabs>
        <w:adjustRightInd w:val="0"/>
        <w:snapToGrid w:val="0"/>
        <w:spacing w:line="360" w:lineRule="auto"/>
        <w:ind w:left="735" w:hanging="735" w:hangingChars="350"/>
        <w:rPr>
          <w:rFonts w:ascii="宋体" w:hAnsi="宋体"/>
          <w:bCs/>
          <w:color w:val="auto"/>
          <w:highlight w:val="none"/>
        </w:rPr>
      </w:pPr>
      <w:r>
        <w:rPr>
          <w:rFonts w:hint="eastAsia" w:ascii="宋体"/>
          <w:bCs/>
          <w:color w:val="auto"/>
          <w:highlight w:val="none"/>
        </w:rPr>
        <w:t>2.3</w:t>
      </w:r>
      <w:r>
        <w:rPr>
          <w:rFonts w:hint="eastAsia" w:ascii="宋体"/>
          <w:bCs/>
          <w:color w:val="auto"/>
          <w:highlight w:val="none"/>
        </w:rPr>
        <w:tab/>
      </w:r>
      <w:r>
        <w:rPr>
          <w:rFonts w:hint="eastAsia" w:ascii="宋体"/>
          <w:bCs/>
          <w:color w:val="auto"/>
          <w:highlight w:val="none"/>
        </w:rPr>
        <w:t>“采购人”系指</w:t>
      </w:r>
      <w:r>
        <w:rPr>
          <w:rFonts w:hint="eastAsia" w:ascii="宋体"/>
          <w:bCs/>
          <w:color w:val="auto"/>
          <w:highlight w:val="none"/>
          <w:lang w:eastAsia="zh-CN"/>
        </w:rPr>
        <w:t>阳江市同心中学</w:t>
      </w:r>
      <w:r>
        <w:rPr>
          <w:rFonts w:hint="eastAsia" w:ascii="宋体"/>
          <w:bCs/>
          <w:color w:val="auto"/>
          <w:highlight w:val="none"/>
        </w:rPr>
        <w:t>，即项目采购用户方。</w:t>
      </w:r>
    </w:p>
    <w:p w14:paraId="536F3716">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bCs/>
          <w:color w:val="auto"/>
          <w:highlight w:val="none"/>
        </w:rPr>
        <w:t>2.4</w:t>
      </w:r>
      <w:r>
        <w:rPr>
          <w:rFonts w:hint="eastAsia" w:ascii="宋体"/>
          <w:bCs/>
          <w:color w:val="auto"/>
          <w:highlight w:val="none"/>
        </w:rPr>
        <w:tab/>
      </w:r>
      <w:r>
        <w:rPr>
          <w:rFonts w:hint="eastAsia" w:ascii="宋体"/>
          <w:bCs/>
          <w:color w:val="auto"/>
          <w:highlight w:val="none"/>
        </w:rPr>
        <w:t xml:space="preserve"> </w:t>
      </w:r>
      <w:r>
        <w:rPr>
          <w:rFonts w:ascii="宋体" w:hAnsi="宋体"/>
          <w:bCs/>
          <w:color w:val="auto"/>
          <w:highlight w:val="none"/>
        </w:rPr>
        <w:t>“</w:t>
      </w:r>
      <w:r>
        <w:rPr>
          <w:rFonts w:hint="eastAsia" w:ascii="宋体" w:hAnsi="宋体"/>
          <w:bCs/>
          <w:color w:val="auto"/>
          <w:highlight w:val="none"/>
        </w:rPr>
        <w:t>货物</w:t>
      </w:r>
      <w:r>
        <w:rPr>
          <w:rFonts w:ascii="宋体" w:hAnsi="宋体"/>
          <w:bCs/>
          <w:color w:val="auto"/>
          <w:highlight w:val="none"/>
        </w:rPr>
        <w:t>”</w:t>
      </w:r>
      <w:r>
        <w:rPr>
          <w:rFonts w:hint="eastAsia" w:ascii="宋体" w:hAnsi="宋体"/>
          <w:bCs/>
          <w:color w:val="auto"/>
          <w:highlight w:val="none"/>
        </w:rPr>
        <w:t>系指投标人根据招标文件规定，须向采购人提供的设备、材料、备品备件、工具、使用手册、软件及有关技术资料等。</w:t>
      </w:r>
    </w:p>
    <w:p w14:paraId="6A209255">
      <w:pPr>
        <w:widowControl/>
        <w:numPr>
          <w:ilvl w:val="1"/>
          <w:numId w:val="24"/>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“服务”系指招标文件规定中标投标人须承担与实施本项目有关的伴随服务，包括但不限于运输、安装、调试、技术支持、培训、售后服务等义务和合同中规定中标投标人应承担的其它义务。</w:t>
      </w:r>
    </w:p>
    <w:p w14:paraId="29191FC0">
      <w:pPr>
        <w:widowControl/>
        <w:numPr>
          <w:ilvl w:val="1"/>
          <w:numId w:val="24"/>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“日”系指日历天。</w:t>
      </w:r>
    </w:p>
    <w:p w14:paraId="7895F2D4">
      <w:pPr>
        <w:widowControl/>
        <w:numPr>
          <w:ilvl w:val="1"/>
          <w:numId w:val="24"/>
        </w:numPr>
        <w:tabs>
          <w:tab w:val="left" w:pos="753"/>
          <w:tab w:val="clear" w:pos="360"/>
        </w:tabs>
        <w:adjustRightInd w:val="0"/>
        <w:snapToGrid w:val="0"/>
        <w:spacing w:line="360" w:lineRule="auto"/>
        <w:ind w:left="753" w:hanging="753"/>
        <w:rPr>
          <w:rFonts w:ascii="宋体" w:hAnsi="宋体"/>
          <w:bCs/>
          <w:color w:val="auto"/>
          <w:highlight w:val="none"/>
        </w:rPr>
      </w:pPr>
      <w:r>
        <w:rPr>
          <w:rFonts w:hint="eastAsia" w:ascii="宋体" w:hAnsi="宋体"/>
          <w:bCs/>
          <w:color w:val="auto"/>
          <w:highlight w:val="none"/>
        </w:rPr>
        <w:t>“工作日”系指国家规定除法定节假日以外的以日</w:t>
      </w:r>
      <w:r>
        <w:rPr>
          <w:rFonts w:ascii="宋体" w:hAnsi="宋体"/>
          <w:bCs/>
          <w:color w:val="auto"/>
          <w:highlight w:val="none"/>
        </w:rPr>
        <w:t>为计算单位的工作时间</w:t>
      </w:r>
      <w:r>
        <w:rPr>
          <w:rFonts w:hint="eastAsia" w:ascii="宋体" w:hAnsi="宋体"/>
          <w:bCs/>
          <w:color w:val="auto"/>
          <w:highlight w:val="none"/>
        </w:rPr>
        <w:t>。</w:t>
      </w:r>
    </w:p>
    <w:p w14:paraId="15E029CE">
      <w:pPr>
        <w:pStyle w:val="5"/>
        <w:numPr>
          <w:ilvl w:val="4"/>
          <w:numId w:val="23"/>
        </w:numPr>
        <w:tabs>
          <w:tab w:val="left" w:pos="720"/>
        </w:tabs>
        <w:spacing w:before="240" w:after="120"/>
        <w:ind w:left="2432" w:hanging="2432"/>
        <w:rPr>
          <w:color w:val="auto"/>
          <w:highlight w:val="none"/>
        </w:rPr>
      </w:pPr>
      <w:bookmarkStart w:id="230" w:name="_Toc497224197"/>
      <w:bookmarkStart w:id="231" w:name="_Toc503785399"/>
      <w:bookmarkStart w:id="232" w:name="_Toc340507413"/>
      <w:bookmarkStart w:id="233" w:name="_Toc331512869"/>
      <w:bookmarkStart w:id="234" w:name="_Toc339362271"/>
      <w:bookmarkStart w:id="235" w:name="_Toc350438720"/>
      <w:bookmarkStart w:id="236" w:name="_Toc333238604"/>
      <w:bookmarkStart w:id="237" w:name="_Toc341348309"/>
      <w:bookmarkStart w:id="238" w:name="_Toc339020066"/>
      <w:bookmarkStart w:id="239" w:name="_Toc342296731"/>
      <w:bookmarkStart w:id="240" w:name="_Toc339019986"/>
      <w:bookmarkStart w:id="241" w:name="_Toc333935658"/>
      <w:bookmarkStart w:id="242" w:name="_Toc333935317"/>
      <w:bookmarkStart w:id="243" w:name="_Toc333237648"/>
      <w:bookmarkStart w:id="244" w:name="_Toc333237759"/>
      <w:bookmarkStart w:id="245" w:name="_Toc350756421"/>
      <w:bookmarkStart w:id="246" w:name="_Toc332270317"/>
      <w:bookmarkStart w:id="247" w:name="_Toc349143560"/>
      <w:bookmarkStart w:id="248" w:name="_Toc366072499"/>
      <w:bookmarkStart w:id="249" w:name="_Toc374454572"/>
      <w:bookmarkStart w:id="250" w:name="_Toc339441058"/>
      <w:bookmarkStart w:id="251" w:name="_Toc365985150"/>
      <w:bookmarkStart w:id="252" w:name="_Toc345513838"/>
      <w:bookmarkStart w:id="253" w:name="_Toc336681906"/>
      <w:bookmarkStart w:id="254" w:name="_Toc340677041"/>
      <w:bookmarkStart w:id="255" w:name="_Toc330459956"/>
      <w:bookmarkStart w:id="256" w:name="_Toc336681551"/>
      <w:bookmarkStart w:id="257" w:name="_Toc332206679"/>
      <w:bookmarkStart w:id="258" w:name="_Toc365967044"/>
      <w:bookmarkStart w:id="259" w:name="_Toc340672840"/>
      <w:bookmarkStart w:id="260" w:name="_Toc339019860"/>
      <w:bookmarkStart w:id="261" w:name="_Toc331684009"/>
      <w:bookmarkStart w:id="262" w:name="_Toc349127597"/>
      <w:bookmarkStart w:id="263" w:name="_Toc339020204"/>
      <w:bookmarkStart w:id="264" w:name="_Toc342060345"/>
      <w:bookmarkStart w:id="265" w:name="_Toc337632329"/>
      <w:bookmarkStart w:id="266" w:name="_Toc19514"/>
      <w:r>
        <w:rPr>
          <w:rFonts w:hint="eastAsia"/>
          <w:color w:val="auto"/>
          <w:highlight w:val="none"/>
        </w:rPr>
        <w:t>合格的</w:t>
      </w:r>
      <w:bookmarkEnd w:id="230"/>
      <w:bookmarkEnd w:id="231"/>
      <w:r>
        <w:rPr>
          <w:rFonts w:hint="eastAsia"/>
          <w:color w:val="auto"/>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B222897">
      <w:pPr>
        <w:widowControl/>
        <w:tabs>
          <w:tab w:val="left" w:pos="502"/>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3.1</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 xml:space="preserve"> </w:t>
      </w:r>
      <w:r>
        <w:rPr>
          <w:rFonts w:hint="eastAsia" w:ascii="宋体" w:hAnsi="宋体"/>
          <w:bCs/>
          <w:color w:val="auto"/>
          <w:highlight w:val="none"/>
        </w:rPr>
        <w:t>国内有能力提供采购项目相关的工程、货物和服务且符合本项目合格投标人资格条件的投标人</w:t>
      </w:r>
      <w:r>
        <w:rPr>
          <w:rFonts w:hint="eastAsia" w:ascii="宋体"/>
          <w:bCs/>
          <w:color w:val="auto"/>
          <w:highlight w:val="none"/>
        </w:rPr>
        <w:t>为合格投标人。</w:t>
      </w:r>
    </w:p>
    <w:p w14:paraId="72430900">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3.2</w:t>
      </w:r>
      <w:r>
        <w:rPr>
          <w:rFonts w:ascii="宋体"/>
          <w:bCs/>
          <w:color w:val="auto"/>
          <w:highlight w:val="none"/>
        </w:rPr>
        <w:tab/>
      </w:r>
      <w:r>
        <w:rPr>
          <w:rFonts w:hint="eastAsia" w:ascii="宋体"/>
          <w:bCs/>
          <w:color w:val="auto"/>
          <w:highlight w:val="none"/>
        </w:rPr>
        <w:tab/>
      </w:r>
      <w:r>
        <w:rPr>
          <w:rFonts w:hint="eastAsia" w:ascii="宋体"/>
          <w:bCs/>
          <w:color w:val="auto"/>
          <w:highlight w:val="none"/>
        </w:rPr>
        <w:t xml:space="preserve"> </w:t>
      </w:r>
      <w:r>
        <w:rPr>
          <w:rFonts w:hint="eastAsia" w:ascii="宋体" w:hAnsi="宋体"/>
          <w:bCs/>
          <w:color w:val="auto"/>
          <w:highlight w:val="none"/>
        </w:rPr>
        <w:t>投标人必须遵守《中华人民共和国招标投标法》、《中华人民共和国政府采购法》的有关规定和其他相关的法律、法规、规章、条例及招标文件中的规定。</w:t>
      </w:r>
    </w:p>
    <w:p w14:paraId="735F71DC">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14:paraId="63798BB1">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14:paraId="1B4767FB">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14:paraId="55B3D326">
      <w:pPr>
        <w:widowControl/>
        <w:tabs>
          <w:tab w:val="left" w:pos="502"/>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szCs w:val="21"/>
          <w:highlight w:val="none"/>
        </w:rPr>
        <w:t xml:space="preserve">3.6    </w:t>
      </w:r>
      <w:r>
        <w:rPr>
          <w:bCs/>
          <w:color w:val="auto"/>
          <w:szCs w:val="21"/>
          <w:highlight w:val="none"/>
        </w:rPr>
        <w:t>专门面向中小微企业采购的项目，只能由中小企业或微型企业参加。</w:t>
      </w:r>
    </w:p>
    <w:p w14:paraId="37388895">
      <w:pPr>
        <w:pStyle w:val="5"/>
        <w:numPr>
          <w:ilvl w:val="4"/>
          <w:numId w:val="23"/>
        </w:numPr>
        <w:tabs>
          <w:tab w:val="left" w:pos="720"/>
        </w:tabs>
        <w:spacing w:before="240" w:after="120"/>
        <w:ind w:left="2432" w:hanging="2432"/>
        <w:rPr>
          <w:color w:val="auto"/>
          <w:highlight w:val="none"/>
        </w:rPr>
      </w:pPr>
      <w:bookmarkStart w:id="267" w:name="_Toc339019861"/>
      <w:bookmarkStart w:id="268" w:name="_Toc349127598"/>
      <w:bookmarkStart w:id="269" w:name="_Toc341348310"/>
      <w:bookmarkStart w:id="270" w:name="_Toc497224198"/>
      <w:bookmarkStart w:id="271" w:name="_Toc331684010"/>
      <w:bookmarkStart w:id="272" w:name="_Toc333238605"/>
      <w:bookmarkStart w:id="273" w:name="_Toc350438721"/>
      <w:bookmarkStart w:id="274" w:name="_Toc332270318"/>
      <w:bookmarkStart w:id="275" w:name="_Toc339441059"/>
      <w:bookmarkStart w:id="276" w:name="_Toc339020205"/>
      <w:bookmarkStart w:id="277" w:name="_Toc332206680"/>
      <w:bookmarkStart w:id="278" w:name="_Toc339020067"/>
      <w:bookmarkStart w:id="279" w:name="_Toc340677042"/>
      <w:bookmarkStart w:id="280" w:name="_Toc342296732"/>
      <w:bookmarkStart w:id="281" w:name="_Toc337632330"/>
      <w:bookmarkStart w:id="282" w:name="_Toc339362272"/>
      <w:bookmarkStart w:id="283" w:name="_Toc331512870"/>
      <w:bookmarkStart w:id="284" w:name="_Toc350756422"/>
      <w:bookmarkStart w:id="285" w:name="_Toc349143561"/>
      <w:bookmarkStart w:id="286" w:name="_Toc336681552"/>
      <w:bookmarkStart w:id="287" w:name="_Toc345513839"/>
      <w:bookmarkStart w:id="288" w:name="_Toc340507414"/>
      <w:bookmarkStart w:id="289" w:name="_Toc365985151"/>
      <w:bookmarkStart w:id="290" w:name="_Toc333935318"/>
      <w:bookmarkStart w:id="291" w:name="_Toc339019987"/>
      <w:bookmarkStart w:id="292" w:name="_Toc333237760"/>
      <w:bookmarkStart w:id="293" w:name="_Toc336681907"/>
      <w:bookmarkStart w:id="294" w:name="_Toc503785400"/>
      <w:bookmarkStart w:id="295" w:name="_Toc333237649"/>
      <w:bookmarkStart w:id="296" w:name="_Toc342060346"/>
      <w:bookmarkStart w:id="297" w:name="_Toc365967045"/>
      <w:bookmarkStart w:id="298" w:name="_Toc333935659"/>
      <w:bookmarkStart w:id="299" w:name="_Toc340672841"/>
      <w:bookmarkStart w:id="300" w:name="_Toc366072500"/>
      <w:bookmarkStart w:id="301" w:name="_Toc14935"/>
      <w:bookmarkStart w:id="302" w:name="_Toc330459957"/>
      <w:bookmarkStart w:id="303" w:name="_Toc374454573"/>
      <w:r>
        <w:rPr>
          <w:rFonts w:hint="eastAsia"/>
          <w:color w:val="auto"/>
          <w:highlight w:val="none"/>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74D3CCB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4.1</w:t>
      </w:r>
      <w:r>
        <w:rPr>
          <w:rFonts w:hint="eastAsia" w:ascii="宋体"/>
          <w:bCs/>
          <w:color w:val="auto"/>
          <w:highlight w:val="none"/>
        </w:rPr>
        <w:tab/>
      </w:r>
      <w:r>
        <w:rPr>
          <w:rFonts w:hint="eastAsia" w:hAnsi="宋体"/>
          <w:color w:val="auto"/>
          <w:highlight w:val="none"/>
        </w:rPr>
        <w:t>投标人应承担所有与准备和参加投标有关的费用。不论投标的结果如何，代理采购机构和采购人均无义务和责任承担这些费用</w:t>
      </w:r>
      <w:r>
        <w:rPr>
          <w:rFonts w:hint="eastAsia" w:ascii="宋体"/>
          <w:bCs/>
          <w:color w:val="auto"/>
          <w:highlight w:val="none"/>
        </w:rPr>
        <w:t>。</w:t>
      </w:r>
      <w:bookmarkStart w:id="304" w:name="_Toc340677043"/>
      <w:bookmarkStart w:id="305" w:name="_Toc333238606"/>
      <w:bookmarkStart w:id="306" w:name="_Toc365985152"/>
      <w:bookmarkStart w:id="307" w:name="_Toc345513840"/>
      <w:bookmarkStart w:id="308" w:name="_Toc333935660"/>
      <w:bookmarkStart w:id="309" w:name="_Toc339020206"/>
      <w:bookmarkStart w:id="310" w:name="_Toc350438722"/>
      <w:bookmarkStart w:id="311" w:name="_Toc349127599"/>
      <w:bookmarkStart w:id="312" w:name="_Toc340672842"/>
      <w:bookmarkStart w:id="313" w:name="_Toc337632331"/>
      <w:bookmarkStart w:id="314" w:name="_Toc331512871"/>
      <w:bookmarkStart w:id="315" w:name="_Toc340507415"/>
      <w:bookmarkStart w:id="316" w:name="_Toc339019988"/>
      <w:bookmarkStart w:id="317" w:name="_Toc342060347"/>
      <w:bookmarkStart w:id="318" w:name="_Toc366072501"/>
      <w:bookmarkStart w:id="319" w:name="_Toc341348311"/>
      <w:bookmarkStart w:id="320" w:name="_Toc339020068"/>
      <w:bookmarkStart w:id="321" w:name="_Toc333237650"/>
      <w:bookmarkStart w:id="322" w:name="_Toc336681553"/>
      <w:bookmarkStart w:id="323" w:name="_Toc342296733"/>
      <w:bookmarkStart w:id="324" w:name="_Toc332270319"/>
      <w:bookmarkStart w:id="325" w:name="_Toc333237761"/>
      <w:bookmarkStart w:id="326" w:name="_Toc350756423"/>
      <w:bookmarkStart w:id="327" w:name="_Toc333935319"/>
      <w:bookmarkStart w:id="328" w:name="_Toc497224199"/>
      <w:bookmarkStart w:id="329" w:name="_Toc332206681"/>
      <w:bookmarkStart w:id="330" w:name="_Toc330459958"/>
      <w:bookmarkStart w:id="331" w:name="_Toc339441060"/>
      <w:bookmarkStart w:id="332" w:name="_Toc374454574"/>
      <w:bookmarkStart w:id="333" w:name="_Toc331684011"/>
      <w:bookmarkStart w:id="334" w:name="_Toc339019862"/>
      <w:bookmarkStart w:id="335" w:name="_Toc336681908"/>
      <w:bookmarkStart w:id="336" w:name="_Toc503785401"/>
      <w:bookmarkStart w:id="337" w:name="_Toc365967046"/>
      <w:bookmarkStart w:id="338" w:name="_Toc339362273"/>
      <w:bookmarkStart w:id="339" w:name="_Toc349143562"/>
    </w:p>
    <w:p w14:paraId="48BA3839">
      <w:pPr>
        <w:pStyle w:val="3"/>
        <w:numPr>
          <w:ilvl w:val="0"/>
          <w:numId w:val="0"/>
        </w:numPr>
        <w:rPr>
          <w:color w:val="auto"/>
          <w:sz w:val="24"/>
          <w:highlight w:val="none"/>
        </w:rPr>
      </w:pPr>
      <w:bookmarkStart w:id="340" w:name="_Toc4851"/>
      <w:r>
        <w:rPr>
          <w:rFonts w:hint="eastAsia"/>
          <w:color w:val="auto"/>
          <w:sz w:val="24"/>
          <w:highlight w:val="none"/>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474F77CD">
      <w:pPr>
        <w:pStyle w:val="5"/>
        <w:numPr>
          <w:ilvl w:val="4"/>
          <w:numId w:val="23"/>
        </w:numPr>
        <w:tabs>
          <w:tab w:val="left" w:pos="720"/>
        </w:tabs>
        <w:spacing w:before="240" w:after="120"/>
        <w:ind w:left="2432" w:hanging="2432"/>
        <w:rPr>
          <w:color w:val="auto"/>
          <w:highlight w:val="none"/>
        </w:rPr>
      </w:pPr>
      <w:bookmarkStart w:id="341" w:name="_Toc339362274"/>
      <w:bookmarkStart w:id="342" w:name="_Toc333238607"/>
      <w:bookmarkStart w:id="343" w:name="_Toc349143563"/>
      <w:bookmarkStart w:id="344" w:name="_Toc365967047"/>
      <w:bookmarkStart w:id="345" w:name="_Toc350438723"/>
      <w:bookmarkStart w:id="346" w:name="_Toc333237762"/>
      <w:bookmarkStart w:id="347" w:name="_Toc330459959"/>
      <w:bookmarkStart w:id="348" w:name="_Toc340507416"/>
      <w:bookmarkStart w:id="349" w:name="_Toc336681554"/>
      <w:bookmarkStart w:id="350" w:name="_Toc332206682"/>
      <w:bookmarkStart w:id="351" w:name="_Toc339441061"/>
      <w:bookmarkStart w:id="352" w:name="_Toc342296734"/>
      <w:bookmarkStart w:id="353" w:name="_Toc333935661"/>
      <w:bookmarkStart w:id="354" w:name="_Toc333935320"/>
      <w:bookmarkStart w:id="355" w:name="_Toc340672843"/>
      <w:bookmarkStart w:id="356" w:name="_Toc349127600"/>
      <w:bookmarkStart w:id="357" w:name="_Toc337632332"/>
      <w:bookmarkStart w:id="358" w:name="_Toc366072502"/>
      <w:bookmarkStart w:id="359" w:name="_Toc503785402"/>
      <w:bookmarkStart w:id="360" w:name="_Toc341348312"/>
      <w:bookmarkStart w:id="361" w:name="_Toc333237651"/>
      <w:bookmarkStart w:id="362" w:name="_Toc331684012"/>
      <w:bookmarkStart w:id="363" w:name="_Toc345513841"/>
      <w:bookmarkStart w:id="364" w:name="_Toc350756424"/>
      <w:bookmarkStart w:id="365" w:name="_Toc339019989"/>
      <w:bookmarkStart w:id="366" w:name="_Toc339020069"/>
      <w:bookmarkStart w:id="367" w:name="_Toc374454575"/>
      <w:bookmarkStart w:id="368" w:name="_Toc340677044"/>
      <w:bookmarkStart w:id="369" w:name="_Toc339020207"/>
      <w:bookmarkStart w:id="370" w:name="_Toc365985153"/>
      <w:bookmarkStart w:id="371" w:name="_Toc331512872"/>
      <w:bookmarkStart w:id="372" w:name="_Toc336681909"/>
      <w:bookmarkStart w:id="373" w:name="_Toc332270320"/>
      <w:bookmarkStart w:id="374" w:name="_Toc497224200"/>
      <w:bookmarkStart w:id="375" w:name="_Toc339019863"/>
      <w:bookmarkStart w:id="376" w:name="_Toc2674"/>
      <w:bookmarkStart w:id="377" w:name="_Toc342060348"/>
      <w:r>
        <w:rPr>
          <w:rFonts w:hint="eastAsia"/>
          <w:color w:val="auto"/>
          <w:highlight w:val="none"/>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126CE68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5.1</w:t>
      </w:r>
      <w:r>
        <w:rPr>
          <w:rFonts w:ascii="宋体"/>
          <w:bCs/>
          <w:color w:val="auto"/>
          <w:highlight w:val="none"/>
        </w:rPr>
        <w:tab/>
      </w:r>
      <w:r>
        <w:rPr>
          <w:rFonts w:hint="eastAsia" w:ascii="宋体"/>
          <w:bCs/>
          <w:color w:val="auto"/>
          <w:highlight w:val="none"/>
        </w:rPr>
        <w:t>招标文件用以阐明所需货物及服务、招标投标程序、合同条款及相关附件。招标文件由下述部分组成：</w:t>
      </w:r>
    </w:p>
    <w:p w14:paraId="350A3F7A">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第一部分  投标邀请函</w:t>
      </w:r>
    </w:p>
    <w:p w14:paraId="2480CBF2">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第二部分  采购项目内容</w:t>
      </w:r>
    </w:p>
    <w:p w14:paraId="7BF5EF8F">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第三部分  投标人须知</w:t>
      </w:r>
    </w:p>
    <w:p w14:paraId="4F758AC8">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第四部分  参考合同</w:t>
      </w:r>
    </w:p>
    <w:p w14:paraId="5B75F1BB">
      <w:pPr>
        <w:widowControl/>
        <w:tabs>
          <w:tab w:val="left" w:pos="753"/>
        </w:tabs>
        <w:adjustRightInd w:val="0"/>
        <w:snapToGrid w:val="0"/>
        <w:spacing w:line="360" w:lineRule="auto"/>
        <w:ind w:left="1445" w:leftChars="448" w:hanging="504"/>
        <w:rPr>
          <w:rFonts w:ascii="宋体"/>
          <w:bCs/>
          <w:color w:val="auto"/>
          <w:highlight w:val="none"/>
        </w:rPr>
      </w:pPr>
      <w:r>
        <w:rPr>
          <w:rFonts w:hint="eastAsia" w:ascii="宋体"/>
          <w:bCs/>
          <w:color w:val="auto"/>
          <w:highlight w:val="none"/>
        </w:rPr>
        <w:t>第五部分  投标文件格式（含附件）</w:t>
      </w:r>
    </w:p>
    <w:p w14:paraId="727CCF9E">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5.2</w:t>
      </w:r>
      <w:r>
        <w:rPr>
          <w:rFonts w:hint="eastAsia" w:ascii="宋体"/>
          <w:bCs/>
          <w:color w:val="auto"/>
          <w:highlight w:val="none"/>
        </w:rPr>
        <w:t xml:space="preserve"> </w:t>
      </w:r>
      <w:r>
        <w:rPr>
          <w:rFonts w:ascii="宋体"/>
          <w:bCs/>
          <w:color w:val="auto"/>
          <w:highlight w:val="none"/>
        </w:rPr>
        <w:tab/>
      </w:r>
      <w:r>
        <w:rPr>
          <w:rFonts w:hint="eastAsia" w:ascii="宋体"/>
          <w:bCs/>
          <w:color w:val="auto"/>
          <w:highlight w:val="none"/>
        </w:rPr>
        <w:t>招标文件以中文编印。</w:t>
      </w:r>
    </w:p>
    <w:p w14:paraId="1746E3FB">
      <w:pPr>
        <w:pStyle w:val="5"/>
        <w:numPr>
          <w:ilvl w:val="4"/>
          <w:numId w:val="23"/>
        </w:numPr>
        <w:tabs>
          <w:tab w:val="left" w:pos="720"/>
        </w:tabs>
        <w:spacing w:before="240" w:after="120"/>
        <w:ind w:left="2432" w:hanging="2432"/>
        <w:rPr>
          <w:color w:val="auto"/>
          <w:highlight w:val="none"/>
        </w:rPr>
      </w:pPr>
      <w:bookmarkStart w:id="378" w:name="_Toc365967048"/>
      <w:bookmarkStart w:id="379" w:name="_Toc340672844"/>
      <w:bookmarkStart w:id="380" w:name="_Toc349143564"/>
      <w:bookmarkStart w:id="381" w:name="_Toc345513842"/>
      <w:bookmarkStart w:id="382" w:name="_Toc333238608"/>
      <w:bookmarkStart w:id="383" w:name="_Toc333237652"/>
      <w:bookmarkStart w:id="384" w:name="_Toc349127601"/>
      <w:bookmarkStart w:id="385" w:name="_Toc336681910"/>
      <w:bookmarkStart w:id="386" w:name="_Toc341348313"/>
      <w:bookmarkStart w:id="387" w:name="_Toc365985154"/>
      <w:bookmarkStart w:id="388" w:name="_Toc350438724"/>
      <w:bookmarkStart w:id="389" w:name="_Toc340507417"/>
      <w:bookmarkStart w:id="390" w:name="_Toc333935662"/>
      <w:bookmarkStart w:id="391" w:name="_Toc332206683"/>
      <w:bookmarkStart w:id="392" w:name="_Toc339020208"/>
      <w:bookmarkStart w:id="393" w:name="_Toc331684013"/>
      <w:bookmarkStart w:id="394" w:name="_Toc503785403"/>
      <w:bookmarkStart w:id="395" w:name="_Toc330459960"/>
      <w:bookmarkStart w:id="396" w:name="_Toc331512873"/>
      <w:bookmarkStart w:id="397" w:name="_Toc350756425"/>
      <w:bookmarkStart w:id="398" w:name="_Toc339019990"/>
      <w:bookmarkStart w:id="399" w:name="_Toc339019864"/>
      <w:bookmarkStart w:id="400" w:name="_Toc336681555"/>
      <w:bookmarkStart w:id="401" w:name="_Toc342060349"/>
      <w:bookmarkStart w:id="402" w:name="_Toc339441062"/>
      <w:bookmarkStart w:id="403" w:name="_Toc339362275"/>
      <w:bookmarkStart w:id="404" w:name="_Toc497224201"/>
      <w:bookmarkStart w:id="405" w:name="_Toc333237763"/>
      <w:bookmarkStart w:id="406" w:name="_Toc332270321"/>
      <w:bookmarkStart w:id="407" w:name="_Toc342296735"/>
      <w:bookmarkStart w:id="408" w:name="_Toc339020070"/>
      <w:bookmarkStart w:id="409" w:name="_Toc370388389"/>
      <w:bookmarkStart w:id="410" w:name="_Toc333935321"/>
      <w:bookmarkStart w:id="411" w:name="_Toc337632333"/>
      <w:bookmarkStart w:id="412" w:name="_Toc340677045"/>
      <w:bookmarkStart w:id="413" w:name="_Toc374454576"/>
      <w:bookmarkStart w:id="414" w:name="_Toc8560"/>
      <w:bookmarkStart w:id="415" w:name="_Toc497224203"/>
      <w:bookmarkStart w:id="416" w:name="_Toc503785405"/>
      <w:bookmarkStart w:id="417" w:name="_Toc337632335"/>
      <w:bookmarkStart w:id="418" w:name="_Toc339020210"/>
      <w:bookmarkStart w:id="419" w:name="_Toc345513844"/>
      <w:bookmarkStart w:id="420" w:name="_Toc333935664"/>
      <w:bookmarkStart w:id="421" w:name="_Toc333237765"/>
      <w:bookmarkStart w:id="422" w:name="_Toc340677047"/>
      <w:bookmarkStart w:id="423" w:name="_Toc340507419"/>
      <w:bookmarkStart w:id="424" w:name="_Toc339019992"/>
      <w:bookmarkStart w:id="425" w:name="_Toc339019866"/>
      <w:bookmarkStart w:id="426" w:name="_Toc342060351"/>
      <w:bookmarkStart w:id="427" w:name="_Toc333238610"/>
      <w:bookmarkStart w:id="428" w:name="_Toc330459962"/>
      <w:bookmarkStart w:id="429" w:name="_Toc333237654"/>
      <w:bookmarkStart w:id="430" w:name="_Toc336681912"/>
      <w:bookmarkStart w:id="431" w:name="_Toc366072505"/>
      <w:bookmarkStart w:id="432" w:name="_Toc340672846"/>
      <w:bookmarkStart w:id="433" w:name="_Toc339020072"/>
      <w:bookmarkStart w:id="434" w:name="_Toc342296737"/>
      <w:bookmarkStart w:id="435" w:name="_Toc333935323"/>
      <w:bookmarkStart w:id="436" w:name="_Toc365967050"/>
      <w:bookmarkStart w:id="437" w:name="_Toc365985156"/>
      <w:bookmarkStart w:id="438" w:name="_Toc349143566"/>
      <w:bookmarkStart w:id="439" w:name="_Toc339441064"/>
      <w:bookmarkStart w:id="440" w:name="_Toc339362277"/>
      <w:bookmarkStart w:id="441" w:name="_Toc341348315"/>
      <w:bookmarkStart w:id="442" w:name="_Toc332270323"/>
      <w:bookmarkStart w:id="443" w:name="_Toc350438726"/>
      <w:bookmarkStart w:id="444" w:name="_Toc332206685"/>
      <w:bookmarkStart w:id="445" w:name="_Toc331512875"/>
      <w:bookmarkStart w:id="446" w:name="_Toc331684015"/>
      <w:bookmarkStart w:id="447" w:name="_Toc350756427"/>
      <w:bookmarkStart w:id="448" w:name="_Toc336681557"/>
      <w:bookmarkStart w:id="449" w:name="_Toc349127603"/>
      <w:r>
        <w:rPr>
          <w:rFonts w:hint="eastAsia"/>
          <w:color w:val="auto"/>
          <w:highlight w:val="none"/>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auto"/>
          <w:highlight w:val="none"/>
        </w:rPr>
        <w:t>、修改</w:t>
      </w:r>
      <w:bookmarkEnd w:id="413"/>
      <w:bookmarkEnd w:id="414"/>
    </w:p>
    <w:p w14:paraId="35A6B877">
      <w:pPr>
        <w:widowControl/>
        <w:numPr>
          <w:ilvl w:val="1"/>
          <w:numId w:val="25"/>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0B2DE036">
      <w:pPr>
        <w:widowControl/>
        <w:numPr>
          <w:ilvl w:val="1"/>
          <w:numId w:val="25"/>
        </w:numPr>
        <w:tabs>
          <w:tab w:val="left" w:pos="735"/>
          <w:tab w:val="clear" w:pos="360"/>
        </w:tabs>
        <w:adjustRightInd w:val="0"/>
        <w:snapToGrid w:val="0"/>
        <w:spacing w:line="360" w:lineRule="auto"/>
        <w:ind w:left="735" w:hanging="735"/>
        <w:rPr>
          <w:rFonts w:ascii="宋体" w:hAnsi="宋体"/>
          <w:bCs/>
          <w:color w:val="auto"/>
          <w:highlight w:val="none"/>
        </w:rPr>
      </w:pPr>
      <w:r>
        <w:rPr>
          <w:rFonts w:hint="eastAsia" w:ascii="宋体" w:hAnsi="宋体"/>
          <w:color w:val="auto"/>
          <w:highlight w:val="none"/>
        </w:rPr>
        <w:t>澄清或修改时间距投标截止时间不足15日的，采购人或代理采购机构在征得已获取招标文件的投标人同意并书面确认后，可不改变投标截止时间。</w:t>
      </w:r>
    </w:p>
    <w:p w14:paraId="5BFF884A">
      <w:pPr>
        <w:pStyle w:val="3"/>
        <w:numPr>
          <w:ilvl w:val="0"/>
          <w:numId w:val="0"/>
        </w:numPr>
        <w:rPr>
          <w:color w:val="auto"/>
          <w:sz w:val="24"/>
          <w:highlight w:val="none"/>
        </w:rPr>
      </w:pPr>
      <w:bookmarkStart w:id="450" w:name="_Toc374454577"/>
      <w:r>
        <w:rPr>
          <w:color w:val="auto"/>
          <w:sz w:val="24"/>
          <w:highlight w:val="none"/>
        </w:rPr>
        <w:br w:type="page"/>
      </w:r>
      <w:bookmarkStart w:id="451" w:name="_Toc8116"/>
      <w:r>
        <w:rPr>
          <w:rFonts w:hint="eastAsia"/>
          <w:color w:val="auto"/>
          <w:sz w:val="24"/>
          <w:highlight w:val="none"/>
        </w:rPr>
        <w:t>Ｃ投标文件的编</w:t>
      </w:r>
      <w:bookmarkEnd w:id="415"/>
      <w:bookmarkEnd w:id="416"/>
      <w:r>
        <w:rPr>
          <w:rFonts w:hint="eastAsia"/>
          <w:color w:val="auto"/>
          <w:sz w:val="24"/>
          <w:highlight w:val="none"/>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F044434">
      <w:pPr>
        <w:pStyle w:val="5"/>
        <w:numPr>
          <w:ilvl w:val="4"/>
          <w:numId w:val="23"/>
        </w:numPr>
        <w:tabs>
          <w:tab w:val="left" w:pos="720"/>
        </w:tabs>
        <w:spacing w:before="240" w:after="120"/>
        <w:ind w:left="2432" w:hanging="2432"/>
        <w:rPr>
          <w:color w:val="auto"/>
          <w:highlight w:val="none"/>
        </w:rPr>
      </w:pPr>
      <w:bookmarkStart w:id="452" w:name="_Toc503785406"/>
      <w:bookmarkStart w:id="453" w:name="_Toc349143567"/>
      <w:bookmarkStart w:id="454" w:name="_Toc345513845"/>
      <w:bookmarkStart w:id="455" w:name="_Toc333935324"/>
      <w:bookmarkStart w:id="456" w:name="_Toc340507420"/>
      <w:bookmarkStart w:id="457" w:name="_Toc339362278"/>
      <w:bookmarkStart w:id="458" w:name="_Toc349127604"/>
      <w:bookmarkStart w:id="459" w:name="_Toc350756428"/>
      <w:bookmarkStart w:id="460" w:name="_Toc339019993"/>
      <w:bookmarkStart w:id="461" w:name="_Toc341348316"/>
      <w:bookmarkStart w:id="462" w:name="_Toc332206686"/>
      <w:bookmarkStart w:id="463" w:name="_Toc337632336"/>
      <w:bookmarkStart w:id="464" w:name="_Toc331512876"/>
      <w:bookmarkStart w:id="465" w:name="_Toc365985157"/>
      <w:bookmarkStart w:id="466" w:name="_Toc332270324"/>
      <w:bookmarkStart w:id="467" w:name="_Toc330459963"/>
      <w:bookmarkStart w:id="468" w:name="_Toc342296738"/>
      <w:bookmarkStart w:id="469" w:name="_Toc497224204"/>
      <w:bookmarkStart w:id="470" w:name="_Toc342060352"/>
      <w:bookmarkStart w:id="471" w:name="_Toc333935665"/>
      <w:bookmarkStart w:id="472" w:name="_Toc350438727"/>
      <w:bookmarkStart w:id="473" w:name="_Toc339441065"/>
      <w:bookmarkStart w:id="474" w:name="_Toc336681913"/>
      <w:bookmarkStart w:id="475" w:name="_Toc340677048"/>
      <w:bookmarkStart w:id="476" w:name="_Toc365967051"/>
      <w:bookmarkStart w:id="477" w:name="_Toc333237655"/>
      <w:bookmarkStart w:id="478" w:name="_Toc333237766"/>
      <w:bookmarkStart w:id="479" w:name="_Toc26654"/>
      <w:bookmarkStart w:id="480" w:name="_Toc340672847"/>
      <w:bookmarkStart w:id="481" w:name="_Toc366072506"/>
      <w:bookmarkStart w:id="482" w:name="_Toc374454578"/>
      <w:bookmarkStart w:id="483" w:name="_Toc339020211"/>
      <w:bookmarkStart w:id="484" w:name="_Toc336681558"/>
      <w:bookmarkStart w:id="485" w:name="_Toc339020073"/>
      <w:bookmarkStart w:id="486" w:name="_Toc339019867"/>
      <w:bookmarkStart w:id="487" w:name="_Toc331684016"/>
      <w:bookmarkStart w:id="488" w:name="_Toc333238611"/>
      <w:r>
        <w:rPr>
          <w:rFonts w:hint="eastAsia"/>
          <w:color w:val="auto"/>
          <w:highlight w:val="none"/>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1DA5BF53">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7</w:t>
      </w:r>
      <w:r>
        <w:rPr>
          <w:rFonts w:ascii="宋体"/>
          <w:bCs/>
          <w:color w:val="auto"/>
          <w:highlight w:val="none"/>
        </w:rPr>
        <w:t>.1</w:t>
      </w:r>
      <w:r>
        <w:rPr>
          <w:rFonts w:ascii="宋体"/>
          <w:bCs/>
          <w:color w:val="auto"/>
          <w:highlight w:val="none"/>
        </w:rPr>
        <w:tab/>
      </w:r>
      <w:r>
        <w:rPr>
          <w:rFonts w:hint="eastAsia" w:ascii="宋体"/>
          <w:bCs/>
          <w:color w:val="auto"/>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541586A">
      <w:pPr>
        <w:pStyle w:val="5"/>
        <w:numPr>
          <w:ilvl w:val="4"/>
          <w:numId w:val="23"/>
        </w:numPr>
        <w:tabs>
          <w:tab w:val="left" w:pos="720"/>
        </w:tabs>
        <w:spacing w:before="240" w:after="120"/>
        <w:ind w:left="2432" w:hanging="2432"/>
        <w:rPr>
          <w:color w:val="auto"/>
          <w:highlight w:val="none"/>
        </w:rPr>
      </w:pPr>
      <w:bookmarkStart w:id="489" w:name="_Toc497224205"/>
      <w:bookmarkStart w:id="490" w:name="_Toc333237767"/>
      <w:bookmarkStart w:id="491" w:name="_Toc350756429"/>
      <w:bookmarkStart w:id="492" w:name="_Toc333238612"/>
      <w:bookmarkStart w:id="493" w:name="_Toc339362279"/>
      <w:bookmarkStart w:id="494" w:name="_Toc342060353"/>
      <w:bookmarkStart w:id="495" w:name="_Toc503785407"/>
      <w:bookmarkStart w:id="496" w:name="_Toc330459964"/>
      <w:bookmarkStart w:id="497" w:name="_Toc331684017"/>
      <w:bookmarkStart w:id="498" w:name="_Toc365967052"/>
      <w:bookmarkStart w:id="499" w:name="_Toc340677049"/>
      <w:bookmarkStart w:id="500" w:name="_Toc339019868"/>
      <w:bookmarkStart w:id="501" w:name="_Toc349127605"/>
      <w:bookmarkStart w:id="502" w:name="_Toc366072507"/>
      <w:bookmarkStart w:id="503" w:name="_Toc336681559"/>
      <w:bookmarkStart w:id="504" w:name="_Toc341348317"/>
      <w:bookmarkStart w:id="505" w:name="_Toc337632337"/>
      <w:bookmarkStart w:id="506" w:name="_Toc339020212"/>
      <w:bookmarkStart w:id="507" w:name="_Toc333935666"/>
      <w:bookmarkStart w:id="508" w:name="_Toc332270325"/>
      <w:bookmarkStart w:id="509" w:name="_Toc24177"/>
      <w:bookmarkStart w:id="510" w:name="_Toc345513846"/>
      <w:bookmarkStart w:id="511" w:name="_Toc333237656"/>
      <w:bookmarkStart w:id="512" w:name="_Toc374454579"/>
      <w:bookmarkStart w:id="513" w:name="_Toc339441066"/>
      <w:bookmarkStart w:id="514" w:name="_Toc340672848"/>
      <w:bookmarkStart w:id="515" w:name="_Toc332206687"/>
      <w:bookmarkStart w:id="516" w:name="_Toc340507421"/>
      <w:bookmarkStart w:id="517" w:name="_Toc350438728"/>
      <w:bookmarkStart w:id="518" w:name="_Toc339019994"/>
      <w:bookmarkStart w:id="519" w:name="_Toc336681914"/>
      <w:bookmarkStart w:id="520" w:name="_Toc365985158"/>
      <w:bookmarkStart w:id="521" w:name="_Toc333935325"/>
      <w:bookmarkStart w:id="522" w:name="_Toc339020074"/>
      <w:bookmarkStart w:id="523" w:name="_Toc349143568"/>
      <w:bookmarkStart w:id="524" w:name="_Toc342296739"/>
      <w:bookmarkStart w:id="525" w:name="_Toc331512877"/>
      <w:r>
        <w:rPr>
          <w:rFonts w:hint="eastAsia"/>
          <w:color w:val="auto"/>
          <w:highlight w:val="none"/>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1EDAD056">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53257646">
      <w:pPr>
        <w:widowControl/>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8</w:t>
      </w:r>
      <w:r>
        <w:rPr>
          <w:rFonts w:ascii="宋体"/>
          <w:bCs/>
          <w:color w:val="auto"/>
          <w:highlight w:val="none"/>
        </w:rPr>
        <w:t>.2</w:t>
      </w:r>
      <w:r>
        <w:rPr>
          <w:rFonts w:hint="eastAsia" w:ascii="宋体"/>
          <w:bCs/>
          <w:color w:val="auto"/>
          <w:highlight w:val="none"/>
        </w:rPr>
        <w:t xml:space="preserve"> </w:t>
      </w:r>
      <w:r>
        <w:rPr>
          <w:rFonts w:ascii="宋体"/>
          <w:bCs/>
          <w:color w:val="auto"/>
          <w:highlight w:val="none"/>
        </w:rPr>
        <w:tab/>
      </w:r>
      <w:r>
        <w:rPr>
          <w:rFonts w:hint="eastAsia" w:ascii="宋体"/>
          <w:bCs/>
          <w:color w:val="auto"/>
          <w:highlight w:val="none"/>
        </w:rPr>
        <w:t>除在招标文件的技术规格中另有规定外，计量单位应使用中华人民共和国法定计量单位</w:t>
      </w:r>
      <w:r>
        <w:rPr>
          <w:rFonts w:hint="eastAsia"/>
          <w:bCs/>
          <w:color w:val="auto"/>
          <w:highlight w:val="none"/>
        </w:rPr>
        <w:t>（国际单位制和国家选定的其他计量单位）</w:t>
      </w:r>
      <w:r>
        <w:rPr>
          <w:rFonts w:hint="eastAsia" w:ascii="宋体"/>
          <w:bCs/>
          <w:color w:val="auto"/>
          <w:highlight w:val="none"/>
        </w:rPr>
        <w:t>。</w:t>
      </w:r>
    </w:p>
    <w:p w14:paraId="7D55B36A">
      <w:pPr>
        <w:pStyle w:val="5"/>
        <w:numPr>
          <w:ilvl w:val="4"/>
          <w:numId w:val="23"/>
        </w:numPr>
        <w:tabs>
          <w:tab w:val="left" w:pos="720"/>
        </w:tabs>
        <w:spacing w:before="240" w:after="120"/>
        <w:ind w:left="2432" w:hanging="2432"/>
        <w:rPr>
          <w:color w:val="auto"/>
          <w:highlight w:val="none"/>
        </w:rPr>
      </w:pPr>
      <w:bookmarkStart w:id="526" w:name="_Toc333935326"/>
      <w:bookmarkStart w:id="527" w:name="_Toc342060354"/>
      <w:bookmarkStart w:id="528" w:name="_Toc497224206"/>
      <w:bookmarkStart w:id="529" w:name="_Toc332206688"/>
      <w:bookmarkStart w:id="530" w:name="_Toc333238613"/>
      <w:bookmarkStart w:id="531" w:name="_Toc374454580"/>
      <w:bookmarkStart w:id="532" w:name="_Toc349127606"/>
      <w:bookmarkStart w:id="533" w:name="_Toc339019995"/>
      <w:bookmarkStart w:id="534" w:name="_Toc340677050"/>
      <w:bookmarkStart w:id="535" w:name="_Toc350438729"/>
      <w:bookmarkStart w:id="536" w:name="_Toc337632338"/>
      <w:bookmarkStart w:id="537" w:name="_Toc366072508"/>
      <w:bookmarkStart w:id="538" w:name="_Toc350756430"/>
      <w:bookmarkStart w:id="539" w:name="_Toc365967053"/>
      <w:bookmarkStart w:id="540" w:name="_Toc365985159"/>
      <w:bookmarkStart w:id="541" w:name="_Toc333237657"/>
      <w:bookmarkStart w:id="542" w:name="_Toc340672849"/>
      <w:bookmarkStart w:id="543" w:name="_Toc333935667"/>
      <w:bookmarkStart w:id="544" w:name="_Toc333237768"/>
      <w:bookmarkStart w:id="545" w:name="_Toc341348318"/>
      <w:bookmarkStart w:id="546" w:name="_Toc339020075"/>
      <w:bookmarkStart w:id="547" w:name="_Toc336681560"/>
      <w:bookmarkStart w:id="548" w:name="_Toc336681915"/>
      <w:bookmarkStart w:id="549" w:name="_Toc339362280"/>
      <w:bookmarkStart w:id="550" w:name="_Toc340507422"/>
      <w:bookmarkStart w:id="551" w:name="_Toc339019869"/>
      <w:bookmarkStart w:id="552" w:name="_Toc330459965"/>
      <w:bookmarkStart w:id="553" w:name="_Toc331684018"/>
      <w:bookmarkStart w:id="554" w:name="_Toc339441067"/>
      <w:bookmarkStart w:id="555" w:name="_Toc349143569"/>
      <w:bookmarkStart w:id="556" w:name="_Toc345513847"/>
      <w:bookmarkStart w:id="557" w:name="_Toc503785408"/>
      <w:bookmarkStart w:id="558" w:name="_Toc331512878"/>
      <w:bookmarkStart w:id="559" w:name="_Toc339020213"/>
      <w:bookmarkStart w:id="560" w:name="_Toc306"/>
      <w:bookmarkStart w:id="561" w:name="_Toc332270326"/>
      <w:bookmarkStart w:id="562" w:name="_Toc342296740"/>
      <w:r>
        <w:rPr>
          <w:rFonts w:hint="eastAsia"/>
          <w:color w:val="auto"/>
          <w:highlight w:val="none"/>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10364E91">
      <w:pPr>
        <w:widowControl/>
        <w:tabs>
          <w:tab w:val="left" w:pos="753"/>
        </w:tabs>
        <w:adjustRightInd w:val="0"/>
        <w:snapToGrid w:val="0"/>
        <w:spacing w:line="360" w:lineRule="auto"/>
        <w:rPr>
          <w:rFonts w:ascii="宋体"/>
          <w:bCs/>
          <w:color w:val="auto"/>
          <w:highlight w:val="none"/>
        </w:rPr>
      </w:pPr>
      <w:r>
        <w:rPr>
          <w:rFonts w:hint="eastAsia" w:ascii="宋体"/>
          <w:bCs/>
          <w:color w:val="auto"/>
          <w:highlight w:val="none"/>
        </w:rPr>
        <w:t>9</w:t>
      </w:r>
      <w:r>
        <w:rPr>
          <w:rFonts w:ascii="宋体"/>
          <w:bCs/>
          <w:color w:val="auto"/>
          <w:highlight w:val="none"/>
        </w:rPr>
        <w:t>.1</w:t>
      </w:r>
      <w:r>
        <w:rPr>
          <w:rFonts w:hint="eastAsia" w:ascii="宋体"/>
          <w:bCs/>
          <w:color w:val="auto"/>
          <w:highlight w:val="none"/>
        </w:rPr>
        <w:t xml:space="preserve">   投标文件包括：</w:t>
      </w:r>
    </w:p>
    <w:p w14:paraId="77DA649E">
      <w:pPr>
        <w:widowControl/>
        <w:adjustRightInd w:val="0"/>
        <w:snapToGrid w:val="0"/>
        <w:spacing w:line="360" w:lineRule="auto"/>
        <w:ind w:left="734"/>
        <w:rPr>
          <w:rFonts w:ascii="宋体" w:hAnsi="宋体"/>
          <w:bCs/>
          <w:color w:val="auto"/>
          <w:highlight w:val="none"/>
        </w:rPr>
      </w:pPr>
      <w:bookmarkStart w:id="563" w:name="_Toc497224207"/>
      <w:bookmarkStart w:id="564" w:name="_Toc503785409"/>
      <w:r>
        <w:rPr>
          <w:rFonts w:hint="eastAsia" w:ascii="宋体" w:hAnsi="宋体"/>
          <w:bCs/>
          <w:color w:val="auto"/>
          <w:highlight w:val="none"/>
        </w:rPr>
        <w:t>第一章 资格审查文件（含附件）</w:t>
      </w:r>
    </w:p>
    <w:p w14:paraId="21480BF4">
      <w:pPr>
        <w:widowControl/>
        <w:adjustRightInd w:val="0"/>
        <w:snapToGrid w:val="0"/>
        <w:spacing w:line="360" w:lineRule="auto"/>
        <w:ind w:left="734"/>
        <w:rPr>
          <w:rFonts w:ascii="宋体" w:hAnsi="宋体"/>
          <w:bCs/>
          <w:color w:val="auto"/>
          <w:highlight w:val="none"/>
        </w:rPr>
      </w:pPr>
      <w:r>
        <w:rPr>
          <w:rFonts w:hint="eastAsia" w:ascii="宋体" w:hAnsi="宋体"/>
          <w:bCs/>
          <w:color w:val="auto"/>
          <w:highlight w:val="none"/>
        </w:rPr>
        <w:t>第二章 商务和技术部分</w:t>
      </w:r>
    </w:p>
    <w:p w14:paraId="5333F4A5">
      <w:pPr>
        <w:pStyle w:val="5"/>
        <w:numPr>
          <w:ilvl w:val="4"/>
          <w:numId w:val="23"/>
        </w:numPr>
        <w:tabs>
          <w:tab w:val="left" w:pos="720"/>
        </w:tabs>
        <w:spacing w:before="240" w:after="120"/>
        <w:ind w:left="2432" w:hanging="2432"/>
        <w:rPr>
          <w:color w:val="auto"/>
          <w:highlight w:val="none"/>
        </w:rPr>
      </w:pPr>
      <w:bookmarkStart w:id="565" w:name="_Toc339020214"/>
      <w:bookmarkStart w:id="566" w:name="_Toc333935327"/>
      <w:bookmarkStart w:id="567" w:name="_Toc330459966"/>
      <w:bookmarkStart w:id="568" w:name="_Toc331684019"/>
      <w:bookmarkStart w:id="569" w:name="_Toc339020076"/>
      <w:bookmarkStart w:id="570" w:name="_Toc350756431"/>
      <w:bookmarkStart w:id="571" w:name="_Toc342060355"/>
      <w:bookmarkStart w:id="572" w:name="_Toc342296741"/>
      <w:bookmarkStart w:id="573" w:name="_Toc339362281"/>
      <w:bookmarkStart w:id="574" w:name="_Toc340672850"/>
      <w:bookmarkStart w:id="575" w:name="_Toc332206689"/>
      <w:bookmarkStart w:id="576" w:name="_Toc340677051"/>
      <w:bookmarkStart w:id="577" w:name="_Toc345513848"/>
      <w:bookmarkStart w:id="578" w:name="_Toc333237769"/>
      <w:bookmarkStart w:id="579" w:name="_Toc365985160"/>
      <w:bookmarkStart w:id="580" w:name="_Toc337632339"/>
      <w:bookmarkStart w:id="581" w:name="_Toc340507423"/>
      <w:bookmarkStart w:id="582" w:name="_Toc350438730"/>
      <w:bookmarkStart w:id="583" w:name="_Toc339441068"/>
      <w:bookmarkStart w:id="584" w:name="_Toc365967054"/>
      <w:bookmarkStart w:id="585" w:name="_Toc366072509"/>
      <w:bookmarkStart w:id="586" w:name="_Toc374454581"/>
      <w:bookmarkStart w:id="587" w:name="_Toc332270327"/>
      <w:bookmarkStart w:id="588" w:name="_Toc349143570"/>
      <w:bookmarkStart w:id="589" w:name="_Toc339019870"/>
      <w:bookmarkStart w:id="590" w:name="_Toc336681916"/>
      <w:bookmarkStart w:id="591" w:name="_Toc336681561"/>
      <w:bookmarkStart w:id="592" w:name="_Toc349127607"/>
      <w:bookmarkStart w:id="593" w:name="_Toc331512879"/>
      <w:bookmarkStart w:id="594" w:name="_Toc333238614"/>
      <w:bookmarkStart w:id="595" w:name="_Toc339019996"/>
      <w:bookmarkStart w:id="596" w:name="_Toc333935668"/>
      <w:bookmarkStart w:id="597" w:name="_Toc341348319"/>
      <w:bookmarkStart w:id="598" w:name="_Toc27250"/>
      <w:bookmarkStart w:id="599" w:name="_Toc333237658"/>
      <w:r>
        <w:rPr>
          <w:rFonts w:hint="eastAsia"/>
          <w:color w:val="auto"/>
          <w:highlight w:val="none"/>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5EFB290E">
      <w:pPr>
        <w:widowControl/>
        <w:tabs>
          <w:tab w:val="left" w:pos="753"/>
        </w:tabs>
        <w:adjustRightInd w:val="0"/>
        <w:snapToGrid w:val="0"/>
        <w:spacing w:before="240"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0</w:t>
      </w:r>
      <w:r>
        <w:rPr>
          <w:rFonts w:ascii="宋体"/>
          <w:bCs/>
          <w:color w:val="auto"/>
          <w:highlight w:val="none"/>
        </w:rPr>
        <w:t>.1</w:t>
      </w:r>
      <w:r>
        <w:rPr>
          <w:rFonts w:hint="eastAsia" w:ascii="宋体"/>
          <w:bCs/>
          <w:color w:val="auto"/>
          <w:highlight w:val="none"/>
        </w:rPr>
        <w:t xml:space="preserve">   投标人应</w:t>
      </w:r>
      <w:r>
        <w:rPr>
          <w:rFonts w:hint="eastAsia" w:ascii="宋体" w:hAnsi="宋体"/>
          <w:bCs/>
          <w:color w:val="auto"/>
          <w:highlight w:val="none"/>
        </w:rPr>
        <w:t>按照招标文件中提供的投标文件格式编制投标文件（详见第五部分）。</w:t>
      </w:r>
    </w:p>
    <w:p w14:paraId="4BBA393A">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10.2 </w:t>
      </w:r>
      <w:r>
        <w:rPr>
          <w:rFonts w:hint="eastAsia" w:ascii="宋体" w:hAnsi="宋体"/>
          <w:bCs/>
          <w:color w:val="auto"/>
          <w:highlight w:val="none"/>
        </w:rPr>
        <w:tab/>
      </w:r>
      <w:r>
        <w:rPr>
          <w:rFonts w:hint="eastAsia" w:ascii="宋体" w:hAnsi="宋体"/>
          <w:bCs/>
          <w:color w:val="auto"/>
          <w:highlight w:val="none"/>
        </w:rPr>
        <w:tab/>
      </w:r>
      <w:r>
        <w:rPr>
          <w:rFonts w:hint="eastAsia" w:ascii="宋体" w:hAnsi="宋体"/>
          <w:bCs/>
          <w:color w:val="auto"/>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128E51EC">
      <w:pPr>
        <w:pStyle w:val="5"/>
        <w:numPr>
          <w:ilvl w:val="4"/>
          <w:numId w:val="23"/>
        </w:numPr>
        <w:tabs>
          <w:tab w:val="left" w:pos="720"/>
        </w:tabs>
        <w:spacing w:before="240" w:after="120"/>
        <w:ind w:left="2432" w:hanging="2432"/>
        <w:rPr>
          <w:color w:val="auto"/>
          <w:highlight w:val="none"/>
        </w:rPr>
      </w:pPr>
      <w:bookmarkStart w:id="600" w:name="_Toc345513849"/>
      <w:bookmarkStart w:id="601" w:name="_Toc333237659"/>
      <w:bookmarkStart w:id="602" w:name="_Toc337632340"/>
      <w:bookmarkStart w:id="603" w:name="_Toc339441069"/>
      <w:bookmarkStart w:id="604" w:name="_Toc5003680"/>
      <w:bookmarkStart w:id="605" w:name="_Toc336681562"/>
      <w:bookmarkStart w:id="606" w:name="_Toc342060356"/>
      <w:bookmarkStart w:id="607" w:name="_Toc350438731"/>
      <w:bookmarkStart w:id="608" w:name="_Toc340672851"/>
      <w:bookmarkStart w:id="609" w:name="_Toc365967055"/>
      <w:bookmarkStart w:id="610" w:name="_Toc340507424"/>
      <w:bookmarkStart w:id="611" w:name="_Toc339019997"/>
      <w:bookmarkStart w:id="612" w:name="_Toc342296742"/>
      <w:bookmarkStart w:id="613" w:name="_Toc349127608"/>
      <w:bookmarkStart w:id="614" w:name="_Toc350756432"/>
      <w:bookmarkStart w:id="615" w:name="_Toc332270328"/>
      <w:bookmarkStart w:id="616" w:name="_Toc339020215"/>
      <w:bookmarkStart w:id="617" w:name="_Toc339019871"/>
      <w:bookmarkStart w:id="618" w:name="_Toc333237770"/>
      <w:bookmarkStart w:id="619" w:name="_Toc341348320"/>
      <w:bookmarkStart w:id="620" w:name="_Toc365985161"/>
      <w:bookmarkStart w:id="621" w:name="_Toc330459967"/>
      <w:bookmarkStart w:id="622" w:name="_Toc366072510"/>
      <w:bookmarkStart w:id="623" w:name="_Toc336681917"/>
      <w:bookmarkStart w:id="624" w:name="_Toc349143571"/>
      <w:bookmarkStart w:id="625" w:name="_Toc331512880"/>
      <w:bookmarkStart w:id="626" w:name="_Toc332206690"/>
      <w:bookmarkStart w:id="627" w:name="_Toc339020077"/>
      <w:bookmarkStart w:id="628" w:name="_Toc340677052"/>
      <w:bookmarkStart w:id="629" w:name="_Toc333935328"/>
      <w:bookmarkStart w:id="630" w:name="_Toc339362282"/>
      <w:bookmarkStart w:id="631" w:name="_Toc331684020"/>
      <w:bookmarkStart w:id="632" w:name="_Toc333238615"/>
      <w:bookmarkStart w:id="633" w:name="_Toc374454582"/>
      <w:bookmarkStart w:id="634" w:name="_Toc21011"/>
      <w:bookmarkStart w:id="635" w:name="_Toc333935669"/>
      <w:r>
        <w:rPr>
          <w:rFonts w:hint="eastAsia"/>
          <w:color w:val="auto"/>
          <w:highlight w:val="none"/>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1DD3B076">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11.1  </w:t>
      </w:r>
      <w:r>
        <w:rPr>
          <w:rFonts w:hint="eastAsia" w:ascii="宋体" w:hAnsi="宋体"/>
          <w:bCs/>
          <w:color w:val="auto"/>
          <w:highlight w:val="none"/>
        </w:rPr>
        <w:tab/>
      </w:r>
      <w:r>
        <w:rPr>
          <w:rFonts w:hint="eastAsia" w:ascii="宋体" w:hAnsi="宋体"/>
          <w:bCs/>
          <w:color w:val="auto"/>
          <w:highlight w:val="none"/>
        </w:rPr>
        <w:t>投标人应按招标文件的要求，提交其有资格参加投标和中标后有履行合同能力的文件，并作为其投标文件的组成部分，包括但不限于下列文件：</w:t>
      </w:r>
    </w:p>
    <w:p w14:paraId="325C7FA5">
      <w:pPr>
        <w:widowControl/>
        <w:numPr>
          <w:ilvl w:val="0"/>
          <w:numId w:val="26"/>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投标人满足招标文件中列出的资格标准；</w:t>
      </w:r>
    </w:p>
    <w:p w14:paraId="6B14606C">
      <w:pPr>
        <w:widowControl/>
        <w:numPr>
          <w:ilvl w:val="0"/>
          <w:numId w:val="26"/>
        </w:numPr>
        <w:tabs>
          <w:tab w:val="left" w:pos="1255"/>
          <w:tab w:val="clear" w:pos="1638"/>
        </w:tabs>
        <w:adjustRightInd w:val="0"/>
        <w:snapToGrid w:val="0"/>
        <w:spacing w:line="360" w:lineRule="auto"/>
        <w:ind w:left="1255" w:hanging="502"/>
        <w:rPr>
          <w:rFonts w:ascii="宋体" w:hAnsi="宋体"/>
          <w:bCs/>
          <w:color w:val="auto"/>
          <w:highlight w:val="none"/>
        </w:rPr>
      </w:pPr>
      <w:r>
        <w:rPr>
          <w:rFonts w:hint="eastAsia" w:ascii="宋体" w:hAnsi="宋体"/>
          <w:bCs/>
          <w:color w:val="auto"/>
          <w:highlight w:val="none"/>
        </w:rPr>
        <w:t>投标人已具备履行合同所需的财务、技术、生产和服务能力。</w:t>
      </w:r>
    </w:p>
    <w:p w14:paraId="269A9326">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6D3BCD">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22567E5">
      <w:pPr>
        <w:pStyle w:val="5"/>
        <w:numPr>
          <w:ilvl w:val="4"/>
          <w:numId w:val="23"/>
        </w:numPr>
        <w:tabs>
          <w:tab w:val="left" w:pos="720"/>
        </w:tabs>
        <w:spacing w:before="240" w:after="120"/>
        <w:ind w:left="2432" w:hanging="2432"/>
        <w:rPr>
          <w:color w:val="auto"/>
          <w:highlight w:val="none"/>
        </w:rPr>
      </w:pPr>
      <w:bookmarkStart w:id="636" w:name="_Toc331512881"/>
      <w:bookmarkStart w:id="637" w:name="_Toc374454583"/>
      <w:bookmarkStart w:id="638" w:name="_Toc366072511"/>
      <w:bookmarkStart w:id="639" w:name="_Toc349127609"/>
      <w:bookmarkStart w:id="640" w:name="_Toc336681918"/>
      <w:bookmarkStart w:id="641" w:name="_Toc5003681"/>
      <w:bookmarkStart w:id="642" w:name="_Toc339441070"/>
      <w:bookmarkStart w:id="643" w:name="_Toc339362283"/>
      <w:bookmarkStart w:id="644" w:name="_Toc342060357"/>
      <w:bookmarkStart w:id="645" w:name="_Toc333935329"/>
      <w:bookmarkStart w:id="646" w:name="_Toc350756433"/>
      <w:bookmarkStart w:id="647" w:name="_Toc339020078"/>
      <w:bookmarkStart w:id="648" w:name="_Toc345513850"/>
      <w:bookmarkStart w:id="649" w:name="_Toc339020216"/>
      <w:bookmarkStart w:id="650" w:name="_Toc333237771"/>
      <w:bookmarkStart w:id="651" w:name="_Toc339019998"/>
      <w:bookmarkStart w:id="652" w:name="_Toc336681563"/>
      <w:bookmarkStart w:id="653" w:name="_Toc350438732"/>
      <w:bookmarkStart w:id="654" w:name="_Toc333237660"/>
      <w:bookmarkStart w:id="655" w:name="_Toc365985162"/>
      <w:bookmarkStart w:id="656" w:name="_Toc332270329"/>
      <w:bookmarkStart w:id="657" w:name="_Toc332206691"/>
      <w:bookmarkStart w:id="658" w:name="_Toc342296743"/>
      <w:bookmarkStart w:id="659" w:name="_Toc330459968"/>
      <w:bookmarkStart w:id="660" w:name="_Toc331684021"/>
      <w:bookmarkStart w:id="661" w:name="_Toc341348321"/>
      <w:bookmarkStart w:id="662" w:name="_Toc340507425"/>
      <w:bookmarkStart w:id="663" w:name="_Toc365967056"/>
      <w:bookmarkStart w:id="664" w:name="_Toc10560"/>
      <w:bookmarkStart w:id="665" w:name="_Toc339019872"/>
      <w:bookmarkStart w:id="666" w:name="_Toc333935670"/>
      <w:bookmarkStart w:id="667" w:name="_Toc333238616"/>
      <w:bookmarkStart w:id="668" w:name="_Toc349143572"/>
      <w:bookmarkStart w:id="669" w:name="_Toc340677053"/>
      <w:bookmarkStart w:id="670" w:name="_Toc337632341"/>
      <w:bookmarkStart w:id="671" w:name="_Toc340672852"/>
      <w:r>
        <w:rPr>
          <w:rFonts w:hint="eastAsia"/>
          <w:color w:val="auto"/>
          <w:highlight w:val="none"/>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380CC759">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 xml:space="preserve">12.1 </w:t>
      </w:r>
      <w:r>
        <w:rPr>
          <w:rFonts w:hint="eastAsia" w:ascii="宋体" w:hAnsi="宋体"/>
          <w:bCs/>
          <w:color w:val="auto"/>
          <w:highlight w:val="none"/>
        </w:rPr>
        <w:tab/>
      </w:r>
      <w:r>
        <w:rPr>
          <w:rFonts w:hint="eastAsia" w:ascii="宋体" w:hAnsi="宋体"/>
          <w:bCs/>
          <w:color w:val="auto"/>
          <w:highlight w:val="none"/>
        </w:rPr>
        <w:t>投标人应提交其拟供的合同项下的货物和服务的合格性符合招标文件规定的证明文件，并作为其投标文件的一部分。</w:t>
      </w:r>
    </w:p>
    <w:p w14:paraId="302E4906">
      <w:pPr>
        <w:tabs>
          <w:tab w:val="left" w:pos="753"/>
        </w:tabs>
        <w:autoSpaceDE w:val="0"/>
        <w:autoSpaceDN w:val="0"/>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12.2</w:t>
      </w:r>
      <w:r>
        <w:rPr>
          <w:rFonts w:hint="eastAsia" w:ascii="宋体" w:hAnsi="宋体"/>
          <w:bCs/>
          <w:color w:val="auto"/>
          <w:highlight w:val="none"/>
        </w:rPr>
        <w:tab/>
      </w:r>
      <w:r>
        <w:rPr>
          <w:rFonts w:hint="eastAsia" w:ascii="宋体" w:hAnsi="宋体"/>
          <w:bCs/>
          <w:color w:val="auto"/>
          <w:highlight w:val="none"/>
        </w:rPr>
        <w:t xml:space="preserve"> 证明货物和服务与招标文件的要求相一致的文件，它可以是文字资料、图纸、手册和数据，包括：</w:t>
      </w:r>
    </w:p>
    <w:p w14:paraId="3056E947">
      <w:pPr>
        <w:numPr>
          <w:ilvl w:val="5"/>
          <w:numId w:val="23"/>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货物主要技术指标和性能的详细说明。</w:t>
      </w:r>
    </w:p>
    <w:p w14:paraId="49DD72DC">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货物从采购人开始使用至招标要求中规定的周期内正常、连续地使用所必须的备件和专用工具清单，包括备件和专用工具的货源及现行价格。</w:t>
      </w:r>
    </w:p>
    <w:p w14:paraId="6D895C7E">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auto"/>
          <w:highlight w:val="none"/>
        </w:rPr>
      </w:pPr>
      <w:r>
        <w:rPr>
          <w:rFonts w:hint="eastAsia" w:ascii="宋体" w:hAnsi="宋体"/>
          <w:bCs/>
          <w:color w:val="auto"/>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694311B7">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12.3</w:t>
      </w:r>
      <w:r>
        <w:rPr>
          <w:rFonts w:hint="eastAsia" w:ascii="宋体" w:hAnsi="宋体"/>
          <w:bCs/>
          <w:color w:val="auto"/>
          <w:highlight w:val="none"/>
        </w:rPr>
        <w:tab/>
      </w:r>
      <w:r>
        <w:rPr>
          <w:rFonts w:hint="eastAsia" w:ascii="宋体" w:hAnsi="宋体"/>
          <w:bCs/>
          <w:color w:val="auto"/>
          <w:highlight w:val="none"/>
        </w:rPr>
        <w:t xml:space="preserve"> </w:t>
      </w:r>
      <w:r>
        <w:rPr>
          <w:rFonts w:hint="eastAsia"/>
          <w:color w:val="auto"/>
          <w:highlight w:val="none"/>
        </w:rPr>
        <w:t>投标人在阐述上述第</w:t>
      </w:r>
      <w:r>
        <w:rPr>
          <w:rFonts w:hint="eastAsia" w:ascii="宋体" w:hAnsi="宋体"/>
          <w:color w:val="auto"/>
          <w:highlight w:val="none"/>
        </w:rPr>
        <w:t>12.2（3）</w:t>
      </w:r>
      <w:r>
        <w:rPr>
          <w:rFonts w:hint="eastAsia"/>
          <w:color w:val="auto"/>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3EF08A8B">
      <w:pPr>
        <w:tabs>
          <w:tab w:val="left" w:pos="753"/>
        </w:tabs>
        <w:autoSpaceDE w:val="0"/>
        <w:autoSpaceDN w:val="0"/>
        <w:adjustRightInd w:val="0"/>
        <w:snapToGrid w:val="0"/>
        <w:spacing w:line="360" w:lineRule="auto"/>
        <w:ind w:left="752" w:hanging="751" w:hangingChars="358"/>
        <w:rPr>
          <w:rFonts w:ascii="宋体" w:hAnsi="宋体"/>
          <w:bCs/>
          <w:color w:val="auto"/>
          <w:highlight w:val="none"/>
        </w:rPr>
      </w:pPr>
      <w:r>
        <w:rPr>
          <w:rFonts w:hint="eastAsia" w:ascii="宋体" w:hAnsi="宋体"/>
          <w:color w:val="auto"/>
          <w:highlight w:val="none"/>
        </w:rPr>
        <w:t>12.4   评标委员会对投标人所提供的证明货物和服务的合格性的文件进行审查，审查不合格的投标将作为无效投标处理。</w:t>
      </w:r>
    </w:p>
    <w:p w14:paraId="1ECEAD3E">
      <w:pPr>
        <w:pStyle w:val="5"/>
        <w:numPr>
          <w:ilvl w:val="4"/>
          <w:numId w:val="23"/>
        </w:numPr>
        <w:tabs>
          <w:tab w:val="left" w:pos="720"/>
        </w:tabs>
        <w:spacing w:before="240" w:after="120"/>
        <w:ind w:left="2432" w:hanging="2432"/>
        <w:rPr>
          <w:color w:val="auto"/>
          <w:highlight w:val="none"/>
        </w:rPr>
      </w:pPr>
      <w:bookmarkStart w:id="672" w:name="_Toc339019999"/>
      <w:bookmarkStart w:id="673" w:name="_Toc365985163"/>
      <w:bookmarkStart w:id="674" w:name="_Toc342296744"/>
      <w:bookmarkStart w:id="675" w:name="_Toc366072512"/>
      <w:bookmarkStart w:id="676" w:name="_Toc337632342"/>
      <w:bookmarkStart w:id="677" w:name="_Toc349127610"/>
      <w:bookmarkStart w:id="678" w:name="_Toc333238617"/>
      <w:bookmarkStart w:id="679" w:name="_Toc340672853"/>
      <w:bookmarkStart w:id="680" w:name="_Toc497224209"/>
      <w:bookmarkStart w:id="681" w:name="_Toc349143573"/>
      <w:bookmarkStart w:id="682" w:name="_Toc339020079"/>
      <w:bookmarkStart w:id="683" w:name="_Toc333237661"/>
      <w:bookmarkStart w:id="684" w:name="_Toc333237772"/>
      <w:bookmarkStart w:id="685" w:name="_Toc340507426"/>
      <w:bookmarkStart w:id="686" w:name="_Toc339020217"/>
      <w:bookmarkStart w:id="687" w:name="_Toc342060358"/>
      <w:bookmarkStart w:id="688" w:name="_Toc341348322"/>
      <w:bookmarkStart w:id="689" w:name="_Toc331512882"/>
      <w:bookmarkStart w:id="690" w:name="_Toc340677054"/>
      <w:bookmarkStart w:id="691" w:name="_Toc339441071"/>
      <w:bookmarkStart w:id="692" w:name="_Toc350438733"/>
      <w:bookmarkStart w:id="693" w:name="_Toc332270330"/>
      <w:bookmarkStart w:id="694" w:name="_Toc333935330"/>
      <w:bookmarkStart w:id="695" w:name="_Toc345513851"/>
      <w:bookmarkStart w:id="696" w:name="_Toc503785411"/>
      <w:bookmarkStart w:id="697" w:name="_Toc331684022"/>
      <w:bookmarkStart w:id="698" w:name="_Toc332206692"/>
      <w:bookmarkStart w:id="699" w:name="_Toc339362284"/>
      <w:bookmarkStart w:id="700" w:name="_Toc333935671"/>
      <w:bookmarkStart w:id="701" w:name="_Toc336681919"/>
      <w:bookmarkStart w:id="702" w:name="_Toc336681564"/>
      <w:bookmarkStart w:id="703" w:name="_Toc365967057"/>
      <w:bookmarkStart w:id="704" w:name="_Toc374454584"/>
      <w:bookmarkStart w:id="705" w:name="_Toc339019873"/>
      <w:bookmarkStart w:id="706" w:name="_Toc20731"/>
      <w:bookmarkStart w:id="707" w:name="_Toc330459969"/>
      <w:bookmarkStart w:id="708" w:name="_Toc350756434"/>
      <w:r>
        <w:rPr>
          <w:rFonts w:hint="eastAsia"/>
          <w:color w:val="auto"/>
          <w:highlight w:val="none"/>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6F6A0AE7">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13.1</w:t>
      </w:r>
      <w:r>
        <w:rPr>
          <w:rFonts w:hint="eastAsia" w:ascii="宋体" w:hAnsi="宋体"/>
          <w:color w:val="auto"/>
          <w:highlight w:val="none"/>
        </w:rPr>
        <w:tab/>
      </w:r>
      <w:r>
        <w:rPr>
          <w:rFonts w:hint="eastAsia" w:ascii="宋体" w:hAnsi="宋体"/>
          <w:color w:val="auto"/>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auto"/>
          <w:highlight w:val="none"/>
        </w:rPr>
        <w:t>价格。</w:t>
      </w:r>
    </w:p>
    <w:p w14:paraId="411F5B2F">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13.2   投标报价为一次性报价，开标后不得更改。</w:t>
      </w:r>
    </w:p>
    <w:p w14:paraId="5960C673">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13.3</w:t>
      </w:r>
      <w:r>
        <w:rPr>
          <w:rFonts w:hint="eastAsia" w:ascii="宋体" w:hAnsi="宋体"/>
          <w:color w:val="auto"/>
          <w:highlight w:val="none"/>
        </w:rPr>
        <w:tab/>
      </w:r>
      <w:r>
        <w:rPr>
          <w:rFonts w:hint="eastAsia" w:ascii="宋体" w:hAnsi="宋体"/>
          <w:color w:val="auto"/>
          <w:highlight w:val="none"/>
        </w:rPr>
        <w:t>投标人对货物只允许有一个报价，任何有选择报价的投标将被拒绝。</w:t>
      </w:r>
    </w:p>
    <w:p w14:paraId="06E3D882">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13.4   投标人所报出的投标价在合同执行过程中是固定不变的，不得以任何理由予以变更。</w:t>
      </w:r>
    </w:p>
    <w:p w14:paraId="25C64BA4">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13.5   投标价格一律用人民币填报。</w:t>
      </w:r>
    </w:p>
    <w:p w14:paraId="1337B685">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hAnsi="宋体"/>
          <w:color w:val="auto"/>
          <w:highlight w:val="none"/>
        </w:rPr>
        <w:t>13.6   投标人在投标文件中如有任何遗漏，影响到招标文件中规定的范围、质量、性能和项目的实施或限制了采购人的权利和投标人的义务，由此产生的费用由投标人负责。</w:t>
      </w:r>
    </w:p>
    <w:p w14:paraId="2378B02C">
      <w:pPr>
        <w:pStyle w:val="5"/>
        <w:numPr>
          <w:ilvl w:val="4"/>
          <w:numId w:val="23"/>
        </w:numPr>
        <w:tabs>
          <w:tab w:val="left" w:pos="720"/>
        </w:tabs>
        <w:spacing w:before="240" w:after="120"/>
        <w:ind w:left="2432" w:hanging="2432"/>
        <w:rPr>
          <w:color w:val="auto"/>
          <w:highlight w:val="none"/>
        </w:rPr>
      </w:pPr>
      <w:bookmarkStart w:id="709" w:name="_Toc333935331"/>
      <w:bookmarkStart w:id="710" w:name="_Toc366072513"/>
      <w:bookmarkStart w:id="711" w:name="_Toc349127611"/>
      <w:bookmarkStart w:id="712" w:name="_Toc332206693"/>
      <w:bookmarkStart w:id="713" w:name="_Toc331684023"/>
      <w:bookmarkStart w:id="714" w:name="_Toc350438734"/>
      <w:bookmarkStart w:id="715" w:name="_Toc342060359"/>
      <w:bookmarkStart w:id="716" w:name="_Toc365967058"/>
      <w:bookmarkStart w:id="717" w:name="_Toc374454585"/>
      <w:bookmarkStart w:id="718" w:name="_Toc333237662"/>
      <w:bookmarkStart w:id="719" w:name="_Toc340677055"/>
      <w:bookmarkStart w:id="720" w:name="_Toc336681565"/>
      <w:bookmarkStart w:id="721" w:name="_Toc503785414"/>
      <w:bookmarkStart w:id="722" w:name="_Toc497224212"/>
      <w:bookmarkStart w:id="723" w:name="_Toc333237773"/>
      <w:bookmarkStart w:id="724" w:name="_Toc339019874"/>
      <w:bookmarkStart w:id="725" w:name="_Toc333238618"/>
      <w:bookmarkStart w:id="726" w:name="_Toc342296745"/>
      <w:bookmarkStart w:id="727" w:name="_Toc339441072"/>
      <w:bookmarkStart w:id="728" w:name="_Toc2994"/>
      <w:bookmarkStart w:id="729" w:name="_Toc339362285"/>
      <w:bookmarkStart w:id="730" w:name="_Toc350756435"/>
      <w:bookmarkStart w:id="731" w:name="_Toc339020000"/>
      <w:bookmarkStart w:id="732" w:name="_Toc330459970"/>
      <w:bookmarkStart w:id="733" w:name="_Toc340507427"/>
      <w:bookmarkStart w:id="734" w:name="_Toc365985164"/>
      <w:bookmarkStart w:id="735" w:name="_Toc339020218"/>
      <w:bookmarkStart w:id="736" w:name="_Toc339020080"/>
      <w:bookmarkStart w:id="737" w:name="_Toc345513852"/>
      <w:bookmarkStart w:id="738" w:name="_Toc336681920"/>
      <w:bookmarkStart w:id="739" w:name="_Toc337632343"/>
      <w:bookmarkStart w:id="740" w:name="_Toc341348323"/>
      <w:bookmarkStart w:id="741" w:name="_Toc349143574"/>
      <w:bookmarkStart w:id="742" w:name="_Toc333935672"/>
      <w:bookmarkStart w:id="743" w:name="_Toc332270331"/>
      <w:bookmarkStart w:id="744" w:name="_Toc331512883"/>
      <w:bookmarkStart w:id="745" w:name="_Toc340672854"/>
      <w:r>
        <w:rPr>
          <w:rFonts w:hint="eastAsia"/>
          <w:color w:val="auto"/>
          <w:highlight w:val="none"/>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74CA8732">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.1</w:t>
      </w:r>
      <w:r>
        <w:rPr>
          <w:rFonts w:ascii="宋体"/>
          <w:bCs/>
          <w:color w:val="auto"/>
          <w:highlight w:val="none"/>
        </w:rPr>
        <w:tab/>
      </w:r>
      <w:r>
        <w:rPr>
          <w:rFonts w:hint="eastAsia" w:ascii="宋体"/>
          <w:bCs/>
          <w:color w:val="auto"/>
          <w:highlight w:val="none"/>
        </w:rPr>
        <w:t xml:space="preserve"> 投标保证金为投标文件的重要组成部分之一。</w:t>
      </w:r>
    </w:p>
    <w:p w14:paraId="528F340D">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color w:val="auto"/>
          <w:highlight w:val="none"/>
        </w:rPr>
        <w:t>14.2   投标人在投标时应按照招标文件商务要求中规定的形式和金额提交投标保证金。</w:t>
      </w:r>
    </w:p>
    <w:p w14:paraId="12AA6AD7">
      <w:pPr>
        <w:widowControl/>
        <w:tabs>
          <w:tab w:val="left" w:pos="753"/>
        </w:tabs>
        <w:adjustRightInd w:val="0"/>
        <w:snapToGrid w:val="0"/>
        <w:spacing w:line="360" w:lineRule="auto"/>
        <w:ind w:left="752" w:hanging="751" w:hangingChars="358"/>
        <w:rPr>
          <w:rFonts w:ascii="宋体" w:hAnsi="宋体"/>
          <w:color w:val="auto"/>
          <w:highlight w:val="none"/>
        </w:rPr>
      </w:pPr>
      <w:r>
        <w:rPr>
          <w:rFonts w:hint="eastAsia" w:ascii="宋体"/>
          <w:bCs/>
          <w:color w:val="auto"/>
          <w:highlight w:val="none"/>
        </w:rPr>
        <w:t>14.3</w:t>
      </w:r>
      <w:r>
        <w:rPr>
          <w:rFonts w:hint="eastAsia" w:ascii="宋体"/>
          <w:bCs/>
          <w:color w:val="auto"/>
          <w:highlight w:val="none"/>
        </w:rPr>
        <w:tab/>
      </w:r>
      <w:r>
        <w:rPr>
          <w:rFonts w:hint="eastAsia" w:ascii="宋体"/>
          <w:bCs/>
          <w:color w:val="auto"/>
          <w:highlight w:val="none"/>
        </w:rPr>
        <w:t>投标保证金用于保护本次招标免遭因投标人的行为而蒙受的损失。</w:t>
      </w:r>
      <w:r>
        <w:rPr>
          <w:rFonts w:hint="eastAsia" w:ascii="宋体" w:hAnsi="宋体"/>
          <w:color w:val="auto"/>
          <w:highlight w:val="none"/>
        </w:rPr>
        <w:t>代理采购机构在因投标人的行为受到损害时，可根据第14.7条的规定，投标人的投标保证金不予退还。</w:t>
      </w:r>
    </w:p>
    <w:p w14:paraId="5F6D2F50">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hAnsi="宋体"/>
          <w:bCs/>
          <w:color w:val="auto"/>
          <w:highlight w:val="none"/>
        </w:rPr>
        <w:t>凡未按本须知第14.2条规定随附有效投标保证金的投标</w:t>
      </w:r>
      <w:r>
        <w:rPr>
          <w:rFonts w:ascii="宋体" w:hAnsi="宋体"/>
          <w:bCs/>
          <w:color w:val="auto"/>
          <w:highlight w:val="none"/>
        </w:rPr>
        <w:t>,</w:t>
      </w:r>
      <w:r>
        <w:rPr>
          <w:rFonts w:hint="eastAsia" w:ascii="宋体" w:hAnsi="宋体"/>
          <w:bCs/>
          <w:color w:val="auto"/>
          <w:highlight w:val="none"/>
        </w:rPr>
        <w:t>将被视为非实质性响应投标作无效投标处理。</w:t>
      </w:r>
    </w:p>
    <w:p w14:paraId="3C9A6C3C">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5</w:t>
      </w:r>
      <w:r>
        <w:rPr>
          <w:rFonts w:ascii="宋体"/>
          <w:bCs/>
          <w:color w:val="auto"/>
          <w:highlight w:val="none"/>
        </w:rPr>
        <w:tab/>
      </w:r>
      <w:r>
        <w:rPr>
          <w:rFonts w:hint="eastAsia" w:ascii="宋体" w:hAnsi="宋体"/>
          <w:bCs/>
          <w:color w:val="auto"/>
          <w:highlight w:val="none"/>
        </w:rPr>
        <w:t>未中标的投标人的投标保证金，采购</w:t>
      </w:r>
      <w:r>
        <w:rPr>
          <w:rFonts w:hint="eastAsia" w:ascii="宋体" w:hAnsi="宋体"/>
          <w:bCs/>
          <w:color w:val="auto"/>
          <w:szCs w:val="21"/>
          <w:highlight w:val="none"/>
        </w:rPr>
        <w:t>代理</w:t>
      </w:r>
      <w:r>
        <w:rPr>
          <w:rFonts w:hint="eastAsia" w:ascii="宋体" w:hAnsi="宋体"/>
          <w:bCs/>
          <w:color w:val="auto"/>
          <w:highlight w:val="none"/>
        </w:rPr>
        <w:t>机构应当自中标通知书发出之日起5个工作日内无息退还。</w:t>
      </w:r>
    </w:p>
    <w:p w14:paraId="0BC2BFB0">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6</w:t>
      </w:r>
      <w:r>
        <w:rPr>
          <w:rFonts w:ascii="宋体"/>
          <w:bCs/>
          <w:color w:val="auto"/>
          <w:highlight w:val="none"/>
        </w:rPr>
        <w:tab/>
      </w:r>
      <w:r>
        <w:rPr>
          <w:rFonts w:hint="eastAsia" w:ascii="宋体" w:hAnsi="宋体"/>
          <w:bCs/>
          <w:color w:val="auto"/>
          <w:highlight w:val="none"/>
        </w:rPr>
        <w:t>中标投标人的投标保证金</w:t>
      </w:r>
      <w:r>
        <w:rPr>
          <w:rFonts w:ascii="宋体" w:hAnsi="宋体"/>
          <w:bCs/>
          <w:color w:val="auto"/>
          <w:highlight w:val="none"/>
        </w:rPr>
        <w:t>，</w:t>
      </w:r>
      <w:r>
        <w:rPr>
          <w:rFonts w:hint="eastAsia" w:ascii="宋体" w:hAnsi="宋体"/>
          <w:bCs/>
          <w:color w:val="auto"/>
          <w:highlight w:val="none"/>
        </w:rPr>
        <w:t>在中标投标人付清中标服务费、签订合同之日起5个工作日内无息退</w:t>
      </w:r>
      <w:r>
        <w:rPr>
          <w:rFonts w:hint="eastAsia" w:ascii="宋体"/>
          <w:bCs/>
          <w:color w:val="auto"/>
          <w:highlight w:val="none"/>
        </w:rPr>
        <w:t>还。</w:t>
      </w:r>
    </w:p>
    <w:p w14:paraId="41E73FA3">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4</w:t>
      </w:r>
      <w:r>
        <w:rPr>
          <w:rFonts w:ascii="宋体"/>
          <w:bCs/>
          <w:color w:val="auto"/>
          <w:highlight w:val="none"/>
        </w:rPr>
        <w:t>.</w:t>
      </w:r>
      <w:r>
        <w:rPr>
          <w:rFonts w:hint="eastAsia" w:ascii="宋体"/>
          <w:bCs/>
          <w:color w:val="auto"/>
          <w:highlight w:val="none"/>
        </w:rPr>
        <w:t>7</w:t>
      </w:r>
      <w:r>
        <w:rPr>
          <w:rFonts w:ascii="宋体"/>
          <w:bCs/>
          <w:color w:val="auto"/>
          <w:highlight w:val="none"/>
        </w:rPr>
        <w:tab/>
      </w:r>
      <w:r>
        <w:rPr>
          <w:rFonts w:hint="eastAsia" w:ascii="宋体"/>
          <w:bCs/>
          <w:color w:val="auto"/>
          <w:highlight w:val="none"/>
        </w:rPr>
        <w:t>发生以下情况之一的，投标保证金将不予退还：</w:t>
      </w:r>
    </w:p>
    <w:p w14:paraId="6D607C6A">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（1）投标人在招标文件中规定的投标有效期内撤回其投标文件；</w:t>
      </w:r>
    </w:p>
    <w:p w14:paraId="1912D257">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（2）中标投标人未能按招标文件的规定签订合同；</w:t>
      </w:r>
    </w:p>
    <w:p w14:paraId="03374D40">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（3）中标投标人未能按招标文件的有关规定交纳中标服务费；</w:t>
      </w:r>
    </w:p>
    <w:p w14:paraId="55BE766F">
      <w:pPr>
        <w:widowControl/>
        <w:tabs>
          <w:tab w:val="left" w:pos="753"/>
        </w:tabs>
        <w:adjustRightInd w:val="0"/>
        <w:snapToGrid w:val="0"/>
        <w:spacing w:line="360" w:lineRule="auto"/>
        <w:ind w:left="563" w:leftChars="268" w:firstLine="1"/>
        <w:rPr>
          <w:rFonts w:ascii="宋体" w:hAnsi="宋体"/>
          <w:bCs/>
          <w:color w:val="auto"/>
          <w:highlight w:val="none"/>
        </w:rPr>
      </w:pPr>
      <w:r>
        <w:rPr>
          <w:rFonts w:hint="eastAsia" w:ascii="宋体" w:hAnsi="宋体"/>
          <w:bCs/>
          <w:color w:val="auto"/>
          <w:highlight w:val="none"/>
        </w:rPr>
        <w:t>（4）投标人提供虚假投标文件或虚假补充文件的。</w:t>
      </w:r>
    </w:p>
    <w:p w14:paraId="3EF8B71B">
      <w:pPr>
        <w:pStyle w:val="5"/>
        <w:numPr>
          <w:ilvl w:val="4"/>
          <w:numId w:val="23"/>
        </w:numPr>
        <w:tabs>
          <w:tab w:val="left" w:pos="720"/>
        </w:tabs>
        <w:spacing w:before="240" w:after="120"/>
        <w:ind w:left="2432" w:hanging="2432"/>
        <w:rPr>
          <w:color w:val="auto"/>
          <w:highlight w:val="none"/>
        </w:rPr>
      </w:pPr>
      <w:bookmarkStart w:id="746" w:name="_Toc336681566"/>
      <w:bookmarkStart w:id="747" w:name="_Toc339020219"/>
      <w:bookmarkStart w:id="748" w:name="_Toc333237774"/>
      <w:bookmarkStart w:id="749" w:name="_Toc350438735"/>
      <w:bookmarkStart w:id="750" w:name="_Toc331512884"/>
      <w:bookmarkStart w:id="751" w:name="_Toc331684024"/>
      <w:bookmarkStart w:id="752" w:name="_Toc332206694"/>
      <w:bookmarkStart w:id="753" w:name="_Toc336681921"/>
      <w:bookmarkStart w:id="754" w:name="_Toc365967059"/>
      <w:bookmarkStart w:id="755" w:name="_Toc342060360"/>
      <w:bookmarkStart w:id="756" w:name="_Toc339362286"/>
      <w:bookmarkStart w:id="757" w:name="_Toc349127612"/>
      <w:bookmarkStart w:id="758" w:name="_Toc337632344"/>
      <w:bookmarkStart w:id="759" w:name="_Toc333238619"/>
      <w:bookmarkStart w:id="760" w:name="_Toc365985165"/>
      <w:bookmarkStart w:id="761" w:name="_Toc345513853"/>
      <w:bookmarkStart w:id="762" w:name="_Toc340677056"/>
      <w:bookmarkStart w:id="763" w:name="_Toc350756436"/>
      <w:bookmarkStart w:id="764" w:name="_Toc333935673"/>
      <w:bookmarkStart w:id="765" w:name="_Toc342296746"/>
      <w:bookmarkStart w:id="766" w:name="_Toc341348324"/>
      <w:bookmarkStart w:id="767" w:name="_Toc503785415"/>
      <w:bookmarkStart w:id="768" w:name="_Toc340672855"/>
      <w:bookmarkStart w:id="769" w:name="_Toc332270332"/>
      <w:bookmarkStart w:id="770" w:name="_Toc22725"/>
      <w:bookmarkStart w:id="771" w:name="_Toc374454586"/>
      <w:bookmarkStart w:id="772" w:name="_Toc339020081"/>
      <w:bookmarkStart w:id="773" w:name="_Toc349143575"/>
      <w:bookmarkStart w:id="774" w:name="_Toc333935332"/>
      <w:bookmarkStart w:id="775" w:name="_Toc497224213"/>
      <w:bookmarkStart w:id="776" w:name="_Toc366072514"/>
      <w:bookmarkStart w:id="777" w:name="_Toc339020001"/>
      <w:bookmarkStart w:id="778" w:name="_Toc339019875"/>
      <w:bookmarkStart w:id="779" w:name="_Toc339441073"/>
      <w:bookmarkStart w:id="780" w:name="_Toc333237663"/>
      <w:bookmarkStart w:id="781" w:name="_Toc330459971"/>
      <w:bookmarkStart w:id="782" w:name="_Toc340507428"/>
      <w:r>
        <w:rPr>
          <w:rFonts w:hint="eastAsia"/>
          <w:color w:val="auto"/>
          <w:highlight w:val="none"/>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1CAA3617">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.1</w:t>
      </w:r>
      <w:r>
        <w:rPr>
          <w:rFonts w:hint="eastAsia" w:ascii="宋体"/>
          <w:bCs/>
          <w:color w:val="auto"/>
          <w:highlight w:val="none"/>
        </w:rPr>
        <w:t xml:space="preserve"> </w:t>
      </w:r>
      <w:r>
        <w:rPr>
          <w:rFonts w:hint="eastAsia" w:ascii="宋体"/>
          <w:bCs/>
          <w:color w:val="auto"/>
          <w:highlight w:val="none"/>
        </w:rPr>
        <w:tab/>
      </w:r>
      <w:r>
        <w:rPr>
          <w:rFonts w:hint="eastAsia" w:ascii="宋体"/>
          <w:bCs/>
          <w:color w:val="auto"/>
          <w:highlight w:val="none"/>
        </w:rPr>
        <w:t>从开标之日起，本项目的投标有效期为90天。</w:t>
      </w:r>
    </w:p>
    <w:p w14:paraId="0BB56EFB">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5</w:t>
      </w:r>
      <w:r>
        <w:rPr>
          <w:rFonts w:ascii="宋体"/>
          <w:bCs/>
          <w:color w:val="auto"/>
          <w:highlight w:val="none"/>
        </w:rPr>
        <w:t>.2</w:t>
      </w:r>
      <w:r>
        <w:rPr>
          <w:rFonts w:hint="eastAsia" w:ascii="宋体"/>
          <w:bCs/>
          <w:color w:val="auto"/>
          <w:highlight w:val="none"/>
        </w:rPr>
        <w:tab/>
      </w:r>
      <w:r>
        <w:rPr>
          <w:rFonts w:hint="eastAsia" w:ascii="宋体"/>
          <w:bCs/>
          <w:color w:val="auto"/>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9801680">
      <w:pPr>
        <w:pStyle w:val="5"/>
        <w:numPr>
          <w:ilvl w:val="4"/>
          <w:numId w:val="23"/>
        </w:numPr>
        <w:tabs>
          <w:tab w:val="left" w:pos="720"/>
        </w:tabs>
        <w:spacing w:before="240" w:after="120"/>
        <w:ind w:left="2432" w:hanging="2432"/>
        <w:rPr>
          <w:color w:val="auto"/>
          <w:highlight w:val="none"/>
        </w:rPr>
      </w:pPr>
      <w:bookmarkStart w:id="783" w:name="_Toc342060361"/>
      <w:bookmarkStart w:id="784" w:name="_Toc339441074"/>
      <w:bookmarkStart w:id="785" w:name="_Toc339020002"/>
      <w:bookmarkStart w:id="786" w:name="_Toc331512885"/>
      <w:bookmarkStart w:id="787" w:name="_Toc337632345"/>
      <w:bookmarkStart w:id="788" w:name="_Toc349143576"/>
      <w:bookmarkStart w:id="789" w:name="_Toc342296747"/>
      <w:bookmarkStart w:id="790" w:name="_Toc340672856"/>
      <w:bookmarkStart w:id="791" w:name="_Toc366072515"/>
      <w:bookmarkStart w:id="792" w:name="_Toc331684025"/>
      <w:bookmarkStart w:id="793" w:name="_Toc333237664"/>
      <w:bookmarkStart w:id="794" w:name="_Toc333237775"/>
      <w:bookmarkStart w:id="795" w:name="_Toc339019876"/>
      <w:bookmarkStart w:id="796" w:name="_Toc340507429"/>
      <w:bookmarkStart w:id="797" w:name="_Toc333935333"/>
      <w:bookmarkStart w:id="798" w:name="_Toc345513854"/>
      <w:bookmarkStart w:id="799" w:name="_Toc340677057"/>
      <w:bookmarkStart w:id="800" w:name="_Toc111534389"/>
      <w:bookmarkStart w:id="801" w:name="_Toc497224214"/>
      <w:bookmarkStart w:id="802" w:name="_Toc336681567"/>
      <w:bookmarkStart w:id="803" w:name="_Toc336681922"/>
      <w:bookmarkStart w:id="804" w:name="_Toc350756437"/>
      <w:bookmarkStart w:id="805" w:name="_Toc333935674"/>
      <w:bookmarkStart w:id="806" w:name="_Toc332206695"/>
      <w:bookmarkStart w:id="807" w:name="_Toc339362287"/>
      <w:bookmarkStart w:id="808" w:name="_Toc350438736"/>
      <w:bookmarkStart w:id="809" w:name="_Toc341348325"/>
      <w:bookmarkStart w:id="810" w:name="_Toc374454587"/>
      <w:bookmarkStart w:id="811" w:name="_Toc365985166"/>
      <w:bookmarkStart w:id="812" w:name="_Toc365967060"/>
      <w:bookmarkStart w:id="813" w:name="_Toc339020082"/>
      <w:bookmarkStart w:id="814" w:name="_Toc339020220"/>
      <w:bookmarkStart w:id="815" w:name="_Toc503785416"/>
      <w:bookmarkStart w:id="816" w:name="_Toc333238620"/>
      <w:bookmarkStart w:id="817" w:name="_Toc349127613"/>
      <w:bookmarkStart w:id="818" w:name="_Toc332270333"/>
      <w:bookmarkStart w:id="819" w:name="_Toc330459972"/>
      <w:bookmarkStart w:id="820" w:name="_Toc276"/>
      <w:r>
        <w:rPr>
          <w:rFonts w:hint="eastAsia"/>
          <w:color w:val="auto"/>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F89931D">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.1</w:t>
      </w:r>
      <w:r>
        <w:rPr>
          <w:rFonts w:hint="eastAsia" w:ascii="宋体"/>
          <w:bCs/>
          <w:color w:val="auto"/>
          <w:highlight w:val="none"/>
        </w:rPr>
        <w:tab/>
      </w:r>
      <w:r>
        <w:rPr>
          <w:rFonts w:hint="eastAsia" w:ascii="宋体"/>
          <w:bCs/>
          <w:color w:val="auto"/>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auto"/>
          <w:szCs w:val="21"/>
          <w:highlight w:val="none"/>
        </w:rPr>
        <w:t>只接受PDF格式的电子文件（电子文件须单独密封，在封皮上注明“（公司名称）投标电子版”并加盖公章）。</w:t>
      </w:r>
    </w:p>
    <w:p w14:paraId="475A28ED">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.2</w:t>
      </w:r>
      <w:r>
        <w:rPr>
          <w:rFonts w:hint="eastAsia" w:ascii="宋体"/>
          <w:bCs/>
          <w:color w:val="auto"/>
          <w:highlight w:val="none"/>
        </w:rPr>
        <w:tab/>
      </w:r>
      <w:r>
        <w:rPr>
          <w:rFonts w:hint="eastAsia" w:ascii="宋体" w:hAnsi="宋体"/>
          <w:bCs/>
          <w:color w:val="auto"/>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C896C77">
      <w:pPr>
        <w:widowControl/>
        <w:tabs>
          <w:tab w:val="left" w:pos="753"/>
        </w:tabs>
        <w:adjustRightInd w:val="0"/>
        <w:snapToGrid w:val="0"/>
        <w:spacing w:line="360" w:lineRule="auto"/>
        <w:ind w:left="630" w:hanging="630" w:hangingChars="300"/>
        <w:rPr>
          <w:rFonts w:ascii="宋体"/>
          <w:bCs/>
          <w:color w:val="auto"/>
          <w:highlight w:val="none"/>
        </w:rPr>
      </w:pPr>
      <w:r>
        <w:rPr>
          <w:rFonts w:ascii="宋体"/>
          <w:bCs/>
          <w:color w:val="auto"/>
          <w:highlight w:val="none"/>
        </w:rPr>
        <w:t>1</w:t>
      </w:r>
      <w:r>
        <w:rPr>
          <w:rFonts w:hint="eastAsia" w:ascii="宋体"/>
          <w:bCs/>
          <w:color w:val="auto"/>
          <w:highlight w:val="none"/>
        </w:rPr>
        <w:t>6</w:t>
      </w:r>
      <w:r>
        <w:rPr>
          <w:rFonts w:ascii="宋体"/>
          <w:bCs/>
          <w:color w:val="auto"/>
          <w:highlight w:val="none"/>
        </w:rPr>
        <w:t>.3</w:t>
      </w:r>
      <w:r>
        <w:rPr>
          <w:rFonts w:hint="eastAsia" w:ascii="宋体"/>
          <w:bCs/>
          <w:color w:val="auto"/>
          <w:highlight w:val="none"/>
        </w:rPr>
        <w:tab/>
      </w:r>
      <w:r>
        <w:rPr>
          <w:rFonts w:hint="eastAsia" w:ascii="宋体"/>
          <w:bCs/>
          <w:color w:val="auto"/>
          <w:highlight w:val="none"/>
        </w:rPr>
        <w:t xml:space="preserve"> 除投标人对差错处做必要修改外，投标文件中不允许有行间插字、涂改或增删，如有修改错漏处，必须由投标文件的签署人签字并在修改错漏处加盖公章，以示确认。</w:t>
      </w:r>
    </w:p>
    <w:p w14:paraId="4C40981E">
      <w:pPr>
        <w:pStyle w:val="3"/>
        <w:numPr>
          <w:ilvl w:val="0"/>
          <w:numId w:val="0"/>
        </w:numPr>
        <w:rPr>
          <w:color w:val="auto"/>
          <w:sz w:val="24"/>
          <w:highlight w:val="none"/>
        </w:rPr>
      </w:pPr>
      <w:bookmarkStart w:id="821" w:name="_Toc340507430"/>
      <w:bookmarkStart w:id="822" w:name="_Toc339362288"/>
      <w:bookmarkStart w:id="823" w:name="_Toc365967061"/>
      <w:bookmarkStart w:id="824" w:name="_Toc349127614"/>
      <w:bookmarkStart w:id="825" w:name="_Toc503785417"/>
      <w:bookmarkStart w:id="826" w:name="_Toc339020083"/>
      <w:bookmarkStart w:id="827" w:name="_Toc345513855"/>
      <w:bookmarkStart w:id="828" w:name="_Toc341348326"/>
      <w:bookmarkStart w:id="829" w:name="_Toc366072516"/>
      <w:bookmarkStart w:id="830" w:name="_Toc350438737"/>
      <w:bookmarkStart w:id="831" w:name="_Toc333935675"/>
      <w:bookmarkStart w:id="832" w:name="_Toc342060362"/>
      <w:bookmarkStart w:id="833" w:name="_Toc332206696"/>
      <w:bookmarkStart w:id="834" w:name="_Toc365985167"/>
      <w:bookmarkStart w:id="835" w:name="_Toc337632346"/>
      <w:bookmarkStart w:id="836" w:name="_Toc497224215"/>
      <w:bookmarkStart w:id="837" w:name="_Toc111534390"/>
      <w:bookmarkStart w:id="838" w:name="_Toc350756438"/>
      <w:bookmarkStart w:id="839" w:name="_Toc349143577"/>
      <w:bookmarkStart w:id="840" w:name="_Toc339019877"/>
      <w:bookmarkStart w:id="841" w:name="_Toc339020003"/>
      <w:bookmarkStart w:id="842" w:name="_Toc374454588"/>
      <w:bookmarkStart w:id="843" w:name="_Toc333237776"/>
      <w:bookmarkStart w:id="844" w:name="_Toc336681568"/>
      <w:bookmarkStart w:id="845" w:name="_Toc342296748"/>
      <w:bookmarkStart w:id="846" w:name="_Toc333935334"/>
      <w:bookmarkStart w:id="847" w:name="_Toc340677058"/>
      <w:bookmarkStart w:id="848" w:name="_Toc332270334"/>
      <w:bookmarkStart w:id="849" w:name="_Toc339020221"/>
      <w:bookmarkStart w:id="850" w:name="_Toc340672857"/>
      <w:bookmarkStart w:id="851" w:name="_Toc339441075"/>
      <w:bookmarkStart w:id="852" w:name="_Toc331684026"/>
      <w:bookmarkStart w:id="853" w:name="_Toc333238621"/>
      <w:bookmarkStart w:id="854" w:name="_Toc1025"/>
      <w:bookmarkStart w:id="855" w:name="_Toc336681923"/>
      <w:bookmarkStart w:id="856" w:name="_Toc331512886"/>
      <w:bookmarkStart w:id="857" w:name="_Toc330459973"/>
      <w:bookmarkStart w:id="858" w:name="_Toc333237665"/>
      <w:r>
        <w:rPr>
          <w:rFonts w:hint="eastAsia"/>
          <w:color w:val="auto"/>
          <w:sz w:val="24"/>
          <w:highlight w:val="none"/>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0B2DFBAE">
      <w:pPr>
        <w:pStyle w:val="5"/>
        <w:numPr>
          <w:ilvl w:val="4"/>
          <w:numId w:val="23"/>
        </w:numPr>
        <w:tabs>
          <w:tab w:val="left" w:pos="251"/>
          <w:tab w:val="left" w:pos="720"/>
        </w:tabs>
        <w:spacing w:before="240" w:after="120"/>
        <w:ind w:left="751" w:leftChars="1" w:hangingChars="357"/>
        <w:rPr>
          <w:rFonts w:ascii="宋体" w:hAnsi="宋体"/>
          <w:color w:val="auto"/>
          <w:highlight w:val="none"/>
        </w:rPr>
      </w:pPr>
      <w:bookmarkStart w:id="859" w:name="_Toc365985168"/>
      <w:bookmarkStart w:id="860" w:name="_Toc111534391"/>
      <w:bookmarkStart w:id="861" w:name="_Toc349143578"/>
      <w:bookmarkStart w:id="862" w:name="_Toc342060363"/>
      <w:bookmarkStart w:id="863" w:name="_Toc339019878"/>
      <w:bookmarkStart w:id="864" w:name="_Toc345513856"/>
      <w:bookmarkStart w:id="865" w:name="_Toc340672858"/>
      <w:bookmarkStart w:id="866" w:name="_Toc342296749"/>
      <w:bookmarkStart w:id="867" w:name="_Toc336681569"/>
      <w:bookmarkStart w:id="868" w:name="_Toc339441076"/>
      <w:bookmarkStart w:id="869" w:name="_Toc333238622"/>
      <w:bookmarkStart w:id="870" w:name="_Toc331684027"/>
      <w:bookmarkStart w:id="871" w:name="_Toc365967062"/>
      <w:bookmarkStart w:id="872" w:name="_Toc350756439"/>
      <w:bookmarkStart w:id="873" w:name="_Toc332270335"/>
      <w:bookmarkStart w:id="874" w:name="_Toc374454589"/>
      <w:bookmarkStart w:id="875" w:name="_Toc331512887"/>
      <w:bookmarkStart w:id="876" w:name="_Toc330459974"/>
      <w:bookmarkStart w:id="877" w:name="_Toc349127615"/>
      <w:bookmarkStart w:id="878" w:name="_Toc339020004"/>
      <w:bookmarkStart w:id="879" w:name="_Toc333237777"/>
      <w:bookmarkStart w:id="880" w:name="_Toc340677059"/>
      <w:bookmarkStart w:id="881" w:name="_Toc340507431"/>
      <w:bookmarkStart w:id="882" w:name="_Toc337632347"/>
      <w:bookmarkStart w:id="883" w:name="_Toc339020084"/>
      <w:bookmarkStart w:id="884" w:name="_Toc339362289"/>
      <w:bookmarkStart w:id="885" w:name="_Toc339020222"/>
      <w:bookmarkStart w:id="886" w:name="_Toc333237666"/>
      <w:bookmarkStart w:id="887" w:name="_Toc333935676"/>
      <w:bookmarkStart w:id="888" w:name="_Toc366072517"/>
      <w:bookmarkStart w:id="889" w:name="_Toc332206697"/>
      <w:bookmarkStart w:id="890" w:name="_Toc341348327"/>
      <w:bookmarkStart w:id="891" w:name="_Toc333935335"/>
      <w:bookmarkStart w:id="892" w:name="_Toc497224216"/>
      <w:bookmarkStart w:id="893" w:name="_Toc503785418"/>
      <w:bookmarkStart w:id="894" w:name="_Toc336681924"/>
      <w:bookmarkStart w:id="895" w:name="_Toc350438738"/>
      <w:r>
        <w:rPr>
          <w:rFonts w:hint="eastAsia"/>
          <w:color w:val="auto"/>
          <w:highlight w:val="none"/>
        </w:rPr>
        <w:t xml:space="preserve">     </w:t>
      </w:r>
      <w:bookmarkStart w:id="896" w:name="_Toc18528"/>
      <w:r>
        <w:rPr>
          <w:rFonts w:hint="eastAsia"/>
          <w:color w:val="auto"/>
          <w:highlight w:val="none"/>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3B3EC707">
      <w:pPr>
        <w:pStyle w:val="4"/>
        <w:rPr>
          <w:color w:val="auto"/>
          <w:highlight w:val="none"/>
        </w:rPr>
      </w:pPr>
      <w:r>
        <w:rPr>
          <w:rFonts w:hint="eastAsia"/>
          <w:color w:val="auto"/>
          <w:highlight w:val="none"/>
        </w:rPr>
        <w:tab/>
      </w:r>
      <w:r>
        <w:rPr>
          <w:rFonts w:hint="eastAsia"/>
          <w:color w:val="auto"/>
          <w:highlight w:val="none"/>
        </w:rPr>
        <w:t xml:space="preserve">  </w:t>
      </w:r>
      <w:r>
        <w:rPr>
          <w:rFonts w:hint="eastAsia" w:ascii="黑体" w:eastAsia="黑体"/>
          <w:bCs/>
          <w:color w:val="auto"/>
          <w:kern w:val="2"/>
          <w:sz w:val="21"/>
          <w:szCs w:val="24"/>
          <w:highlight w:val="none"/>
        </w:rPr>
        <w:t>详见第三部份《投标人须知〈投标人须知前附表〉》。</w:t>
      </w:r>
    </w:p>
    <w:p w14:paraId="3A9DF16F">
      <w:pPr>
        <w:pStyle w:val="5"/>
        <w:numPr>
          <w:ilvl w:val="4"/>
          <w:numId w:val="23"/>
        </w:numPr>
        <w:tabs>
          <w:tab w:val="left" w:pos="720"/>
        </w:tabs>
        <w:spacing w:before="240" w:after="120"/>
        <w:ind w:left="2432" w:hanging="2432"/>
        <w:rPr>
          <w:color w:val="auto"/>
          <w:highlight w:val="none"/>
        </w:rPr>
      </w:pPr>
      <w:bookmarkStart w:id="897" w:name="_Toc330459975"/>
      <w:bookmarkStart w:id="898" w:name="_Toc111534392"/>
      <w:bookmarkStart w:id="899" w:name="_Toc350756440"/>
      <w:bookmarkStart w:id="900" w:name="_Toc340672859"/>
      <w:bookmarkStart w:id="901" w:name="_Toc345513857"/>
      <w:bookmarkStart w:id="902" w:name="_Toc333935336"/>
      <w:bookmarkStart w:id="903" w:name="_Toc350438739"/>
      <w:bookmarkStart w:id="904" w:name="_Toc337632348"/>
      <w:bookmarkStart w:id="905" w:name="_Toc339020223"/>
      <w:bookmarkStart w:id="906" w:name="_Toc365967063"/>
      <w:bookmarkStart w:id="907" w:name="_Toc340677060"/>
      <w:bookmarkStart w:id="908" w:name="_Toc339019879"/>
      <w:bookmarkStart w:id="909" w:name="_Toc331684028"/>
      <w:bookmarkStart w:id="910" w:name="_Toc503785419"/>
      <w:bookmarkStart w:id="911" w:name="_Toc333237778"/>
      <w:bookmarkStart w:id="912" w:name="_Toc340507432"/>
      <w:bookmarkStart w:id="913" w:name="_Toc336681570"/>
      <w:bookmarkStart w:id="914" w:name="_Toc342060364"/>
      <w:bookmarkStart w:id="915" w:name="_Toc349127616"/>
      <w:bookmarkStart w:id="916" w:name="_Toc339441077"/>
      <w:bookmarkStart w:id="917" w:name="_Toc341348328"/>
      <w:bookmarkStart w:id="918" w:name="_Toc332270336"/>
      <w:bookmarkStart w:id="919" w:name="_Toc497224217"/>
      <w:bookmarkStart w:id="920" w:name="_Toc331512888"/>
      <w:bookmarkStart w:id="921" w:name="_Toc339020085"/>
      <w:bookmarkStart w:id="922" w:name="_Toc365985169"/>
      <w:bookmarkStart w:id="923" w:name="_Toc333935677"/>
      <w:bookmarkStart w:id="924" w:name="_Toc333238623"/>
      <w:bookmarkStart w:id="925" w:name="_Toc332206698"/>
      <w:bookmarkStart w:id="926" w:name="_Toc366072518"/>
      <w:bookmarkStart w:id="927" w:name="_Toc336681925"/>
      <w:bookmarkStart w:id="928" w:name="_Toc349143579"/>
      <w:bookmarkStart w:id="929" w:name="_Toc333237667"/>
      <w:bookmarkStart w:id="930" w:name="_Toc342296750"/>
      <w:bookmarkStart w:id="931" w:name="_Toc339020005"/>
      <w:bookmarkStart w:id="932" w:name="_Toc374454590"/>
      <w:bookmarkStart w:id="933" w:name="_Toc339362290"/>
      <w:bookmarkStart w:id="934" w:name="_Toc4543"/>
      <w:r>
        <w:rPr>
          <w:rFonts w:hint="eastAsia"/>
          <w:color w:val="auto"/>
          <w:highlight w:val="none"/>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14:paraId="42147D58">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18.1</w:t>
      </w:r>
      <w:r>
        <w:rPr>
          <w:rFonts w:hint="eastAsia" w:ascii="宋体" w:hAnsi="宋体"/>
          <w:bCs/>
          <w:color w:val="auto"/>
          <w:highlight w:val="none"/>
        </w:rPr>
        <w:tab/>
      </w:r>
      <w:r>
        <w:rPr>
          <w:rFonts w:hint="eastAsia" w:ascii="宋体" w:hAnsi="宋体"/>
          <w:bCs/>
          <w:color w:val="auto"/>
          <w:highlight w:val="none"/>
        </w:rPr>
        <w:t xml:space="preserve"> 递交投标文件的地点与开标仪式的地点为同一地点；投标截止时间与开标时间为同一时间。</w:t>
      </w:r>
    </w:p>
    <w:p w14:paraId="7F197D09">
      <w:pPr>
        <w:widowControl/>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18.2</w:t>
      </w:r>
      <w:r>
        <w:rPr>
          <w:rFonts w:hint="eastAsia" w:ascii="宋体" w:hAnsi="宋体"/>
          <w:bCs/>
          <w:color w:val="auto"/>
          <w:highlight w:val="none"/>
        </w:rPr>
        <w:tab/>
      </w:r>
      <w:r>
        <w:rPr>
          <w:rFonts w:hint="eastAsia" w:ascii="宋体" w:hAnsi="宋体"/>
          <w:bCs/>
          <w:color w:val="auto"/>
          <w:highlight w:val="none"/>
        </w:rPr>
        <w:t>投标文件需由专人送交。投标人须将密封和标记后的投标文件，按照招标文件中注明的开标地址于投标截止时间之前送交代理采购机构。</w:t>
      </w:r>
    </w:p>
    <w:p w14:paraId="6FA1C1C9">
      <w:pPr>
        <w:widowControl/>
        <w:tabs>
          <w:tab w:val="left" w:pos="753"/>
        </w:tabs>
        <w:adjustRightInd w:val="0"/>
        <w:snapToGrid w:val="0"/>
        <w:spacing w:line="360" w:lineRule="auto"/>
        <w:ind w:left="751" w:leftChars="1" w:hanging="749" w:hangingChars="357"/>
        <w:rPr>
          <w:rFonts w:ascii="宋体" w:hAnsi="宋体"/>
          <w:bCs/>
          <w:color w:val="auto"/>
          <w:highlight w:val="none"/>
        </w:rPr>
      </w:pPr>
      <w:bookmarkStart w:id="935" w:name="_Toc340677061"/>
      <w:bookmarkStart w:id="936" w:name="_Toc331684029"/>
      <w:bookmarkStart w:id="937" w:name="_Toc333935337"/>
      <w:bookmarkStart w:id="938" w:name="_Toc497224218"/>
      <w:bookmarkStart w:id="939" w:name="_Toc331512889"/>
      <w:bookmarkStart w:id="940" w:name="_Toc340672860"/>
      <w:bookmarkStart w:id="941" w:name="_Toc345513858"/>
      <w:bookmarkStart w:id="942" w:name="_Toc349127617"/>
      <w:bookmarkStart w:id="943" w:name="_Toc342296751"/>
      <w:bookmarkStart w:id="944" w:name="_Toc333238624"/>
      <w:bookmarkStart w:id="945" w:name="_Toc350438740"/>
      <w:bookmarkStart w:id="946" w:name="_Toc333237779"/>
      <w:bookmarkStart w:id="947" w:name="_Toc366072519"/>
      <w:bookmarkStart w:id="948" w:name="_Toc339362291"/>
      <w:bookmarkStart w:id="949" w:name="_Toc333935678"/>
      <w:bookmarkStart w:id="950" w:name="_Toc336681926"/>
      <w:bookmarkStart w:id="951" w:name="_Toc365985170"/>
      <w:bookmarkStart w:id="952" w:name="_Toc339020224"/>
      <w:bookmarkStart w:id="953" w:name="_Toc337632349"/>
      <w:bookmarkStart w:id="954" w:name="_Toc374454591"/>
      <w:bookmarkStart w:id="955" w:name="_Toc339020006"/>
      <w:bookmarkStart w:id="956" w:name="_Toc350756441"/>
      <w:bookmarkStart w:id="957" w:name="_Toc333237668"/>
      <w:bookmarkStart w:id="958" w:name="_Toc339019880"/>
      <w:bookmarkStart w:id="959" w:name="_Toc342060365"/>
      <w:bookmarkStart w:id="960" w:name="_Toc339441078"/>
      <w:bookmarkStart w:id="961" w:name="_Toc340507433"/>
      <w:bookmarkStart w:id="962" w:name="_Toc332206699"/>
      <w:bookmarkStart w:id="963" w:name="_Toc349143580"/>
      <w:bookmarkStart w:id="964" w:name="_Toc503785420"/>
      <w:bookmarkStart w:id="965" w:name="_Toc339020086"/>
      <w:bookmarkStart w:id="966" w:name="_Toc330459976"/>
      <w:bookmarkStart w:id="967" w:name="_Toc336681571"/>
      <w:bookmarkStart w:id="968" w:name="_Toc341348329"/>
      <w:bookmarkStart w:id="969" w:name="_Toc365967064"/>
      <w:bookmarkStart w:id="970" w:name="_Toc332270337"/>
      <w:r>
        <w:rPr>
          <w:rFonts w:hint="eastAsia" w:ascii="宋体" w:hAnsi="宋体"/>
          <w:bCs/>
          <w:color w:val="auto"/>
          <w:highlight w:val="none"/>
        </w:rPr>
        <w:t>18.3</w:t>
      </w:r>
      <w:r>
        <w:rPr>
          <w:rFonts w:hint="eastAsia" w:ascii="宋体" w:hAnsi="宋体"/>
          <w:bCs/>
          <w:color w:val="auto"/>
          <w:highlight w:val="none"/>
        </w:rPr>
        <w:tab/>
      </w:r>
      <w:r>
        <w:rPr>
          <w:rFonts w:hint="eastAsia" w:ascii="宋体" w:hAnsi="宋体"/>
          <w:bCs/>
          <w:color w:val="auto"/>
          <w:highlight w:val="none"/>
        </w:rPr>
        <w:t xml:space="preserve"> 代理采购机构于投标截止时间前30分钟开始接收投标文件，并于招标文件“第一部分投标邀请函”规定的开标时间、开标地点公开开标。</w:t>
      </w:r>
    </w:p>
    <w:p w14:paraId="2DA53B5A">
      <w:pPr>
        <w:pStyle w:val="5"/>
        <w:numPr>
          <w:ilvl w:val="4"/>
          <w:numId w:val="23"/>
        </w:numPr>
        <w:tabs>
          <w:tab w:val="left" w:pos="720"/>
        </w:tabs>
        <w:spacing w:before="240" w:after="120"/>
        <w:ind w:left="2432" w:hanging="2432"/>
        <w:rPr>
          <w:color w:val="auto"/>
          <w:highlight w:val="none"/>
        </w:rPr>
      </w:pPr>
      <w:bookmarkStart w:id="971" w:name="_Toc14431"/>
      <w:r>
        <w:rPr>
          <w:rFonts w:hint="eastAsia"/>
          <w:color w:val="auto"/>
          <w:highlight w:val="none"/>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3DF488F5">
      <w:pPr>
        <w:widowControl/>
        <w:tabs>
          <w:tab w:val="left" w:pos="753"/>
        </w:tabs>
        <w:adjustRightInd w:val="0"/>
        <w:snapToGrid w:val="0"/>
        <w:spacing w:line="360" w:lineRule="auto"/>
        <w:ind w:left="751" w:leftChars="1" w:hanging="749" w:hangingChars="357"/>
        <w:rPr>
          <w:rFonts w:ascii="宋体"/>
          <w:bCs/>
          <w:color w:val="auto"/>
          <w:highlight w:val="none"/>
        </w:rPr>
      </w:pPr>
      <w:r>
        <w:rPr>
          <w:rFonts w:hint="eastAsia" w:ascii="宋体"/>
          <w:bCs/>
          <w:color w:val="auto"/>
          <w:highlight w:val="none"/>
        </w:rPr>
        <w:t>19</w:t>
      </w:r>
      <w:r>
        <w:rPr>
          <w:rFonts w:ascii="宋体"/>
          <w:bCs/>
          <w:color w:val="auto"/>
          <w:highlight w:val="none"/>
        </w:rPr>
        <w:t>.1</w:t>
      </w:r>
      <w:r>
        <w:rPr>
          <w:rFonts w:hint="eastAsia" w:ascii="宋体"/>
          <w:bCs/>
          <w:color w:val="auto"/>
          <w:highlight w:val="none"/>
        </w:rPr>
        <w:t xml:space="preserve"> </w:t>
      </w:r>
      <w:r>
        <w:rPr>
          <w:rFonts w:hint="eastAsia" w:ascii="宋体"/>
          <w:bCs/>
          <w:color w:val="auto"/>
          <w:highlight w:val="none"/>
        </w:rPr>
        <w:tab/>
      </w:r>
      <w:r>
        <w:rPr>
          <w:rFonts w:hint="eastAsia" w:ascii="宋体"/>
          <w:bCs/>
          <w:color w:val="auto"/>
          <w:highlight w:val="none"/>
        </w:rPr>
        <w:t>代理采购机构将拒绝在投标截止时间后递交的任何投标文件。</w:t>
      </w:r>
    </w:p>
    <w:p w14:paraId="2E03923D">
      <w:pPr>
        <w:pStyle w:val="5"/>
        <w:numPr>
          <w:ilvl w:val="4"/>
          <w:numId w:val="23"/>
        </w:numPr>
        <w:tabs>
          <w:tab w:val="left" w:pos="720"/>
        </w:tabs>
        <w:spacing w:before="240" w:after="120"/>
        <w:ind w:left="2432" w:hanging="2432"/>
        <w:rPr>
          <w:color w:val="auto"/>
          <w:highlight w:val="none"/>
        </w:rPr>
      </w:pPr>
      <w:bookmarkStart w:id="972" w:name="_Toc497224219"/>
      <w:bookmarkStart w:id="973" w:name="_Toc503785421"/>
      <w:bookmarkStart w:id="974" w:name="_Toc333237669"/>
      <w:bookmarkStart w:id="975" w:name="_Toc342060366"/>
      <w:bookmarkStart w:id="976" w:name="_Toc365967065"/>
      <w:bookmarkStart w:id="977" w:name="_Toc332270338"/>
      <w:bookmarkStart w:id="978" w:name="_Toc339020007"/>
      <w:bookmarkStart w:id="979" w:name="_Toc333935679"/>
      <w:bookmarkStart w:id="980" w:name="_Toc332206700"/>
      <w:bookmarkStart w:id="981" w:name="_Toc339362292"/>
      <w:bookmarkStart w:id="982" w:name="_Toc337632350"/>
      <w:bookmarkStart w:id="983" w:name="_Toc365985171"/>
      <w:bookmarkStart w:id="984" w:name="_Toc340677062"/>
      <w:bookmarkStart w:id="985" w:name="_Toc374454592"/>
      <w:bookmarkStart w:id="986" w:name="_Toc339019881"/>
      <w:bookmarkStart w:id="987" w:name="_Toc333238625"/>
      <w:bookmarkStart w:id="988" w:name="_Toc349127618"/>
      <w:bookmarkStart w:id="989" w:name="_Toc340507434"/>
      <w:bookmarkStart w:id="990" w:name="_Toc333935338"/>
      <w:bookmarkStart w:id="991" w:name="_Toc336681927"/>
      <w:bookmarkStart w:id="992" w:name="_Toc330459977"/>
      <w:bookmarkStart w:id="993" w:name="_Toc366072520"/>
      <w:bookmarkStart w:id="994" w:name="_Toc331684030"/>
      <w:bookmarkStart w:id="995" w:name="_Toc350756442"/>
      <w:bookmarkStart w:id="996" w:name="_Toc340672861"/>
      <w:bookmarkStart w:id="997" w:name="_Toc339020225"/>
      <w:bookmarkStart w:id="998" w:name="_Toc333237780"/>
      <w:bookmarkStart w:id="999" w:name="_Toc336681572"/>
      <w:bookmarkStart w:id="1000" w:name="_Toc331512890"/>
      <w:bookmarkStart w:id="1001" w:name="_Toc349143581"/>
      <w:bookmarkStart w:id="1002" w:name="_Toc339020087"/>
      <w:bookmarkStart w:id="1003" w:name="_Toc345513859"/>
      <w:bookmarkStart w:id="1004" w:name="_Toc339441079"/>
      <w:bookmarkStart w:id="1005" w:name="_Toc342296752"/>
      <w:bookmarkStart w:id="1006" w:name="_Toc350438741"/>
      <w:bookmarkStart w:id="1007" w:name="_Toc341348330"/>
      <w:bookmarkStart w:id="1008" w:name="_Toc10681"/>
      <w:r>
        <w:rPr>
          <w:rFonts w:hint="eastAsia"/>
          <w:color w:val="auto"/>
          <w:highlight w:val="none"/>
        </w:rPr>
        <w:t>投标文件的修改和撤</w:t>
      </w:r>
      <w:bookmarkEnd w:id="972"/>
      <w:bookmarkEnd w:id="973"/>
      <w:r>
        <w:rPr>
          <w:rFonts w:hint="eastAsia"/>
          <w:color w:val="auto"/>
          <w:highlight w:val="none"/>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65EB0EC1">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.1</w:t>
      </w:r>
      <w:r>
        <w:rPr>
          <w:rFonts w:hint="eastAsia" w:ascii="宋体"/>
          <w:bCs/>
          <w:color w:val="auto"/>
          <w:highlight w:val="none"/>
        </w:rPr>
        <w:tab/>
      </w:r>
      <w:r>
        <w:rPr>
          <w:rFonts w:hint="eastAsia" w:ascii="宋体"/>
          <w:bCs/>
          <w:color w:val="auto"/>
          <w:highlight w:val="none"/>
        </w:rPr>
        <w:t xml:space="preserve"> 投标人在</w:t>
      </w:r>
      <w:r>
        <w:rPr>
          <w:rFonts w:hint="eastAsia" w:ascii="宋体"/>
          <w:bCs/>
          <w:color w:val="auto"/>
          <w:highlight w:val="none"/>
          <w:lang w:val="en-US" w:eastAsia="zh-CN"/>
        </w:rPr>
        <w:t>投标</w:t>
      </w:r>
      <w:r>
        <w:rPr>
          <w:rFonts w:hint="eastAsia" w:ascii="宋体"/>
          <w:bCs/>
          <w:color w:val="auto"/>
          <w:highlight w:val="none"/>
        </w:rPr>
        <w:t>截止时间前，可以修改或撤回其投标文件。但必须在规定的</w:t>
      </w:r>
      <w:r>
        <w:rPr>
          <w:rFonts w:hint="eastAsia" w:ascii="宋体"/>
          <w:bCs/>
          <w:color w:val="auto"/>
          <w:highlight w:val="none"/>
          <w:lang w:val="en-US" w:eastAsia="zh-CN"/>
        </w:rPr>
        <w:t>投标</w:t>
      </w:r>
      <w:r>
        <w:rPr>
          <w:rFonts w:hint="eastAsia" w:ascii="宋体"/>
          <w:bCs/>
          <w:color w:val="auto"/>
          <w:highlight w:val="none"/>
        </w:rPr>
        <w:t>截止时间之前以书面通知到代理采购机构，该通知须有投标人法定代表人（负责人）或其授权代表签字。</w:t>
      </w:r>
    </w:p>
    <w:p w14:paraId="29F696F8">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.2</w:t>
      </w:r>
      <w:r>
        <w:rPr>
          <w:rFonts w:hint="eastAsia" w:ascii="宋体"/>
          <w:bCs/>
          <w:color w:val="auto"/>
          <w:highlight w:val="none"/>
        </w:rPr>
        <w:tab/>
      </w:r>
      <w:r>
        <w:rPr>
          <w:rFonts w:hint="eastAsia" w:ascii="宋体"/>
          <w:bCs/>
          <w:color w:val="auto"/>
          <w:highlight w:val="none"/>
        </w:rPr>
        <w:t xml:space="preserve"> 投标人对投标文件修改的书面材料或撤销的通知应注明“修改投标文件”或“撤销投标”字样。</w:t>
      </w:r>
    </w:p>
    <w:p w14:paraId="74C5A789">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在投标截止时间之后，投标人不得对其投标文件做任何修改。</w:t>
      </w:r>
    </w:p>
    <w:p w14:paraId="4C012F38">
      <w:pPr>
        <w:widowControl/>
        <w:tabs>
          <w:tab w:val="left" w:pos="753"/>
        </w:tabs>
        <w:adjustRightInd w:val="0"/>
        <w:snapToGrid w:val="0"/>
        <w:spacing w:line="360" w:lineRule="auto"/>
        <w:ind w:left="751" w:leftChars="1" w:hanging="749" w:hangingChars="357"/>
        <w:rPr>
          <w:rFonts w:ascii="宋体"/>
          <w:bCs/>
          <w:color w:val="auto"/>
          <w:highlight w:val="none"/>
        </w:rPr>
      </w:pPr>
      <w:r>
        <w:rPr>
          <w:rFonts w:ascii="宋体"/>
          <w:bCs/>
          <w:color w:val="auto"/>
          <w:highlight w:val="none"/>
        </w:rPr>
        <w:t>2</w:t>
      </w:r>
      <w:r>
        <w:rPr>
          <w:rFonts w:hint="eastAsia" w:ascii="宋体"/>
          <w:bCs/>
          <w:color w:val="auto"/>
          <w:highlight w:val="none"/>
        </w:rPr>
        <w:t>0</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从投标截止时间至投标文件有效期期满之前，投标人不得撤回其投标文件，否则代理采购机构将按规定不予退还投标保证金。</w:t>
      </w:r>
    </w:p>
    <w:p w14:paraId="67AC6F9E">
      <w:pPr>
        <w:pStyle w:val="3"/>
        <w:numPr>
          <w:ilvl w:val="0"/>
          <w:numId w:val="0"/>
        </w:numPr>
        <w:rPr>
          <w:color w:val="auto"/>
          <w:sz w:val="24"/>
          <w:highlight w:val="none"/>
        </w:rPr>
      </w:pPr>
      <w:bookmarkStart w:id="1009" w:name="_Toc349127619"/>
      <w:bookmarkStart w:id="1010" w:name="_Toc333935680"/>
      <w:bookmarkStart w:id="1011" w:name="_Toc341348331"/>
      <w:bookmarkStart w:id="1012" w:name="_Toc374454593"/>
      <w:bookmarkStart w:id="1013" w:name="_Toc365967066"/>
      <w:bookmarkStart w:id="1014" w:name="_Toc332270339"/>
      <w:bookmarkStart w:id="1015" w:name="_Toc340672862"/>
      <w:bookmarkStart w:id="1016" w:name="_Toc339362293"/>
      <w:bookmarkStart w:id="1017" w:name="_Toc342060367"/>
      <w:bookmarkStart w:id="1018" w:name="_Toc345513860"/>
      <w:bookmarkStart w:id="1019" w:name="_Toc333935339"/>
      <w:bookmarkStart w:id="1020" w:name="_Toc339019882"/>
      <w:bookmarkStart w:id="1021" w:name="_Toc497224220"/>
      <w:bookmarkStart w:id="1022" w:name="_Toc366072521"/>
      <w:bookmarkStart w:id="1023" w:name="_Toc340507435"/>
      <w:bookmarkStart w:id="1024" w:name="_Toc349143582"/>
      <w:bookmarkStart w:id="1025" w:name="_Toc333238626"/>
      <w:bookmarkStart w:id="1026" w:name="_Toc336681928"/>
      <w:bookmarkStart w:id="1027" w:name="_Toc332206701"/>
      <w:bookmarkStart w:id="1028" w:name="_Toc365985172"/>
      <w:bookmarkStart w:id="1029" w:name="_Toc350438742"/>
      <w:bookmarkStart w:id="1030" w:name="_Toc339020226"/>
      <w:bookmarkStart w:id="1031" w:name="_Toc331512891"/>
      <w:bookmarkStart w:id="1032" w:name="_Toc339020008"/>
      <w:bookmarkStart w:id="1033" w:name="_Toc342296753"/>
      <w:bookmarkStart w:id="1034" w:name="_Toc337632351"/>
      <w:bookmarkStart w:id="1035" w:name="_Toc339020088"/>
      <w:bookmarkStart w:id="1036" w:name="_Toc336681573"/>
      <w:bookmarkStart w:id="1037" w:name="_Toc350756443"/>
      <w:bookmarkStart w:id="1038" w:name="_Toc331684031"/>
      <w:bookmarkStart w:id="1039" w:name="_Toc333237781"/>
      <w:bookmarkStart w:id="1040" w:name="_Toc340677063"/>
      <w:bookmarkStart w:id="1041" w:name="_Toc330459978"/>
      <w:bookmarkStart w:id="1042" w:name="_Toc333237670"/>
      <w:bookmarkStart w:id="1043" w:name="_Toc503785422"/>
      <w:bookmarkStart w:id="1044" w:name="_Toc339441080"/>
      <w:r>
        <w:rPr>
          <w:color w:val="auto"/>
          <w:sz w:val="24"/>
          <w:highlight w:val="none"/>
        </w:rPr>
        <w:br w:type="page"/>
      </w:r>
      <w:bookmarkStart w:id="1045" w:name="_Toc7595"/>
      <w:r>
        <w:rPr>
          <w:rFonts w:hint="eastAsia"/>
          <w:color w:val="auto"/>
          <w:sz w:val="24"/>
          <w:highlight w:val="none"/>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14:paraId="1D446ECC">
      <w:pPr>
        <w:pStyle w:val="5"/>
        <w:numPr>
          <w:ilvl w:val="4"/>
          <w:numId w:val="23"/>
        </w:numPr>
        <w:tabs>
          <w:tab w:val="left" w:pos="720"/>
        </w:tabs>
        <w:spacing w:before="240" w:after="120"/>
        <w:ind w:left="2432" w:hanging="2432"/>
        <w:rPr>
          <w:color w:val="auto"/>
          <w:highlight w:val="none"/>
        </w:rPr>
      </w:pPr>
      <w:bookmarkStart w:id="1046" w:name="_Toc330459979"/>
      <w:bookmarkStart w:id="1047" w:name="_Toc331684032"/>
      <w:bookmarkStart w:id="1048" w:name="_Toc340672863"/>
      <w:bookmarkStart w:id="1049" w:name="_Toc349143583"/>
      <w:bookmarkStart w:id="1050" w:name="_Toc349127620"/>
      <w:bookmarkStart w:id="1051" w:name="_Toc339020089"/>
      <w:bookmarkStart w:id="1052" w:name="_Toc333237671"/>
      <w:bookmarkStart w:id="1053" w:name="_Toc365985173"/>
      <w:bookmarkStart w:id="1054" w:name="_Toc341348332"/>
      <w:bookmarkStart w:id="1055" w:name="_Toc336681574"/>
      <w:bookmarkStart w:id="1056" w:name="_Toc497224221"/>
      <w:bookmarkStart w:id="1057" w:name="_Toc345513861"/>
      <w:bookmarkStart w:id="1058" w:name="_Toc350438743"/>
      <w:bookmarkStart w:id="1059" w:name="_Toc332270340"/>
      <w:bookmarkStart w:id="1060" w:name="_Toc366072522"/>
      <w:bookmarkStart w:id="1061" w:name="_Toc333237782"/>
      <w:bookmarkStart w:id="1062" w:name="_Toc342296754"/>
      <w:bookmarkStart w:id="1063" w:name="_Toc503785423"/>
      <w:bookmarkStart w:id="1064" w:name="_Toc333238627"/>
      <w:bookmarkStart w:id="1065" w:name="_Toc339020009"/>
      <w:bookmarkStart w:id="1066" w:name="_Toc339020227"/>
      <w:bookmarkStart w:id="1067" w:name="_Toc342060368"/>
      <w:bookmarkStart w:id="1068" w:name="_Toc374454594"/>
      <w:bookmarkStart w:id="1069" w:name="_Toc340507436"/>
      <w:bookmarkStart w:id="1070" w:name="_Toc333935681"/>
      <w:bookmarkStart w:id="1071" w:name="_Toc339441081"/>
      <w:bookmarkStart w:id="1072" w:name="_Toc339362294"/>
      <w:bookmarkStart w:id="1073" w:name="_Toc333935340"/>
      <w:bookmarkStart w:id="1074" w:name="_Toc331512892"/>
      <w:bookmarkStart w:id="1075" w:name="_Toc332206702"/>
      <w:bookmarkStart w:id="1076" w:name="_Toc336681929"/>
      <w:bookmarkStart w:id="1077" w:name="_Toc340677064"/>
      <w:bookmarkStart w:id="1078" w:name="_Toc337632352"/>
      <w:bookmarkStart w:id="1079" w:name="_Toc365967067"/>
      <w:bookmarkStart w:id="1080" w:name="_Toc339019883"/>
      <w:bookmarkStart w:id="1081" w:name="_Toc350756444"/>
      <w:bookmarkStart w:id="1082" w:name="_Toc17090"/>
      <w:r>
        <w:rPr>
          <w:rFonts w:hint="eastAsia"/>
          <w:color w:val="auto"/>
          <w:highlight w:val="none"/>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159245DF">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代理采购机构在招标文件中规定的时间和地点公开开标。开标会由代理采购机构主持。投标人代表均需按时参加开标会。参加开标的投标人代表应签名报到以证明其出席。</w:t>
      </w:r>
    </w:p>
    <w:p w14:paraId="2DC12040">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1</w:t>
      </w:r>
      <w:r>
        <w:rPr>
          <w:rFonts w:ascii="宋体" w:hAnsi="宋体"/>
          <w:bCs/>
          <w:color w:val="auto"/>
          <w:highlight w:val="none"/>
        </w:rPr>
        <w:t>.2</w:t>
      </w:r>
      <w:r>
        <w:rPr>
          <w:rFonts w:hint="eastAsia" w:ascii="宋体" w:hAnsi="宋体"/>
          <w:bCs/>
          <w:color w:val="auto"/>
          <w:highlight w:val="none"/>
        </w:rPr>
        <w:t xml:space="preserve"> </w:t>
      </w:r>
      <w:r>
        <w:rPr>
          <w:rFonts w:hint="eastAsia" w:ascii="宋体" w:hAnsi="宋体"/>
          <w:bCs/>
          <w:color w:val="auto"/>
          <w:highlight w:val="none"/>
        </w:rPr>
        <w:tab/>
      </w:r>
      <w:r>
        <w:rPr>
          <w:rFonts w:hint="eastAsia" w:ascii="宋体" w:hAnsi="宋体"/>
          <w:bCs/>
          <w:color w:val="auto"/>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1E43208">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4A055A8">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21.4</w:t>
      </w:r>
      <w:r>
        <w:rPr>
          <w:rFonts w:hint="eastAsia" w:ascii="宋体" w:hAnsi="宋体"/>
          <w:bCs/>
          <w:color w:val="auto"/>
          <w:highlight w:val="none"/>
        </w:rPr>
        <w:tab/>
      </w:r>
      <w:r>
        <w:rPr>
          <w:rFonts w:hint="eastAsia" w:ascii="宋体" w:hAnsi="宋体"/>
          <w:bCs/>
          <w:color w:val="auto"/>
          <w:highlight w:val="none"/>
        </w:rPr>
        <w:t xml:space="preserve"> 唱标结束后，代理采购机构将做唱标记录，并按规定在唱标记录上签字。</w:t>
      </w:r>
    </w:p>
    <w:p w14:paraId="47E8DD66">
      <w:pPr>
        <w:pStyle w:val="5"/>
        <w:numPr>
          <w:ilvl w:val="4"/>
          <w:numId w:val="23"/>
        </w:numPr>
        <w:tabs>
          <w:tab w:val="left" w:pos="720"/>
        </w:tabs>
        <w:spacing w:before="240" w:after="120"/>
        <w:ind w:left="752" w:hanging="751" w:hangingChars="358"/>
        <w:rPr>
          <w:rFonts w:ascii="宋体" w:hAnsi="宋体"/>
          <w:color w:val="auto"/>
          <w:highlight w:val="none"/>
        </w:rPr>
      </w:pPr>
      <w:bookmarkStart w:id="1083" w:name="_Toc333237783"/>
      <w:bookmarkStart w:id="1084" w:name="_Toc349143584"/>
      <w:bookmarkStart w:id="1085" w:name="_Toc333935682"/>
      <w:bookmarkStart w:id="1086" w:name="_Toc339020090"/>
      <w:bookmarkStart w:id="1087" w:name="_Toc336681930"/>
      <w:bookmarkStart w:id="1088" w:name="_Toc341348333"/>
      <w:bookmarkStart w:id="1089" w:name="_Toc340672864"/>
      <w:bookmarkStart w:id="1090" w:name="_Toc339019884"/>
      <w:bookmarkStart w:id="1091" w:name="_Toc331512893"/>
      <w:bookmarkStart w:id="1092" w:name="_Toc330459980"/>
      <w:bookmarkStart w:id="1093" w:name="_Toc337632353"/>
      <w:bookmarkStart w:id="1094" w:name="_Toc342060369"/>
      <w:bookmarkStart w:id="1095" w:name="_Toc340677065"/>
      <w:bookmarkStart w:id="1096" w:name="_Toc333237672"/>
      <w:bookmarkStart w:id="1097" w:name="_Toc333935341"/>
      <w:bookmarkStart w:id="1098" w:name="_Toc350438744"/>
      <w:bookmarkStart w:id="1099" w:name="_Toc365985174"/>
      <w:bookmarkStart w:id="1100" w:name="_Toc350756445"/>
      <w:bookmarkStart w:id="1101" w:name="_Toc342296755"/>
      <w:bookmarkStart w:id="1102" w:name="_Toc374454595"/>
      <w:bookmarkStart w:id="1103" w:name="_Toc339020228"/>
      <w:bookmarkStart w:id="1104" w:name="_Toc333238628"/>
      <w:bookmarkStart w:id="1105" w:name="_Toc332270341"/>
      <w:bookmarkStart w:id="1106" w:name="_Toc366072523"/>
      <w:bookmarkStart w:id="1107" w:name="_Toc497224222"/>
      <w:bookmarkStart w:id="1108" w:name="_Toc345513862"/>
      <w:bookmarkStart w:id="1109" w:name="_Toc339020010"/>
      <w:bookmarkStart w:id="1110" w:name="_Toc336681575"/>
      <w:bookmarkStart w:id="1111" w:name="_Toc349127621"/>
      <w:bookmarkStart w:id="1112" w:name="_Toc332206703"/>
      <w:bookmarkStart w:id="1113" w:name="_Toc340507437"/>
      <w:bookmarkStart w:id="1114" w:name="_Toc331684033"/>
      <w:bookmarkStart w:id="1115" w:name="_Toc503785424"/>
      <w:bookmarkStart w:id="1116" w:name="_Toc339441082"/>
      <w:bookmarkStart w:id="1117" w:name="_Toc365967068"/>
      <w:bookmarkStart w:id="1118" w:name="_Toc339362295"/>
      <w:bookmarkStart w:id="1119" w:name="_Toc1513"/>
      <w:r>
        <w:rPr>
          <w:rFonts w:hint="eastAsia"/>
          <w:color w:val="auto"/>
          <w:highlight w:val="none"/>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1E9937C4">
      <w:pPr>
        <w:pStyle w:val="4"/>
        <w:rPr>
          <w:color w:val="auto"/>
          <w:highlight w:val="none"/>
        </w:rPr>
      </w:pPr>
      <w:r>
        <w:rPr>
          <w:rFonts w:hint="eastAsia" w:ascii="黑体" w:eastAsia="黑体"/>
          <w:bCs/>
          <w:color w:val="auto"/>
          <w:kern w:val="2"/>
          <w:sz w:val="21"/>
          <w:szCs w:val="24"/>
          <w:highlight w:val="none"/>
        </w:rPr>
        <w:t>详见第三部份《投标人须知〈投标人须知前附表〉》。</w:t>
      </w:r>
    </w:p>
    <w:p w14:paraId="5E628106">
      <w:pPr>
        <w:pStyle w:val="5"/>
        <w:numPr>
          <w:ilvl w:val="4"/>
          <w:numId w:val="23"/>
        </w:numPr>
        <w:tabs>
          <w:tab w:val="left" w:pos="720"/>
        </w:tabs>
        <w:spacing w:before="240" w:after="120"/>
        <w:ind w:left="2432" w:hanging="2432"/>
        <w:rPr>
          <w:color w:val="auto"/>
          <w:highlight w:val="none"/>
        </w:rPr>
      </w:pPr>
      <w:bookmarkStart w:id="1120" w:name="_Toc350438745"/>
      <w:bookmarkStart w:id="1121" w:name="_Toc341348334"/>
      <w:bookmarkStart w:id="1122" w:name="_Toc345513863"/>
      <w:bookmarkStart w:id="1123" w:name="_Toc336681576"/>
      <w:bookmarkStart w:id="1124" w:name="_Toc340507438"/>
      <w:bookmarkStart w:id="1125" w:name="_Toc337632354"/>
      <w:bookmarkStart w:id="1126" w:name="_Toc366072524"/>
      <w:bookmarkStart w:id="1127" w:name="_Toc340672865"/>
      <w:bookmarkStart w:id="1128" w:name="_Toc339019885"/>
      <w:bookmarkStart w:id="1129" w:name="_Toc339020091"/>
      <w:bookmarkStart w:id="1130" w:name="_Toc333237673"/>
      <w:bookmarkStart w:id="1131" w:name="_Toc339441083"/>
      <w:bookmarkStart w:id="1132" w:name="_Toc497224223"/>
      <w:bookmarkStart w:id="1133" w:name="_Toc340677066"/>
      <w:bookmarkStart w:id="1134" w:name="_Toc336681931"/>
      <w:bookmarkStart w:id="1135" w:name="_Toc333935683"/>
      <w:bookmarkStart w:id="1136" w:name="_Toc365985175"/>
      <w:bookmarkStart w:id="1137" w:name="_Toc374454596"/>
      <w:bookmarkStart w:id="1138" w:name="_Toc342296756"/>
      <w:bookmarkStart w:id="1139" w:name="_Toc339362296"/>
      <w:bookmarkStart w:id="1140" w:name="_Toc331512894"/>
      <w:bookmarkStart w:id="1141" w:name="_Toc365967069"/>
      <w:bookmarkStart w:id="1142" w:name="_Toc332206704"/>
      <w:bookmarkStart w:id="1143" w:name="_Toc333238629"/>
      <w:bookmarkStart w:id="1144" w:name="_Toc333237784"/>
      <w:bookmarkStart w:id="1145" w:name="_Toc331684034"/>
      <w:bookmarkStart w:id="1146" w:name="_Toc349143585"/>
      <w:bookmarkStart w:id="1147" w:name="_Toc349127622"/>
      <w:bookmarkStart w:id="1148" w:name="_Toc330459981"/>
      <w:bookmarkStart w:id="1149" w:name="_Toc342060370"/>
      <w:bookmarkStart w:id="1150" w:name="_Toc339020229"/>
      <w:bookmarkStart w:id="1151" w:name="_Toc503785425"/>
      <w:bookmarkStart w:id="1152" w:name="_Toc332270342"/>
      <w:bookmarkStart w:id="1153" w:name="_Toc17821"/>
      <w:bookmarkStart w:id="1154" w:name="_Toc333935342"/>
      <w:bookmarkStart w:id="1155" w:name="_Toc350756446"/>
      <w:bookmarkStart w:id="1156" w:name="_Toc339020011"/>
      <w:r>
        <w:rPr>
          <w:rFonts w:hint="eastAsia"/>
          <w:color w:val="auto"/>
          <w:highlight w:val="none"/>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5AD5606B">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.1</w:t>
      </w:r>
      <w:r>
        <w:rPr>
          <w:rFonts w:hint="eastAsia" w:ascii="宋体"/>
          <w:bCs/>
          <w:color w:val="auto"/>
          <w:highlight w:val="none"/>
        </w:rPr>
        <w:tab/>
      </w:r>
      <w:r>
        <w:rPr>
          <w:rFonts w:hint="eastAsia" w:ascii="宋体"/>
          <w:bCs/>
          <w:color w:val="auto"/>
          <w:highlight w:val="none"/>
        </w:rPr>
        <w:t>开标后，评标委员会将组织审查投标文件是否完整，文件签署是否合格，证明文件是否齐全等。</w:t>
      </w:r>
    </w:p>
    <w:p w14:paraId="5E4615A3">
      <w:pPr>
        <w:widowControl/>
        <w:tabs>
          <w:tab w:val="left" w:pos="567"/>
        </w:tabs>
        <w:adjustRightInd w:val="0"/>
        <w:snapToGrid w:val="0"/>
        <w:spacing w:line="360" w:lineRule="auto"/>
        <w:ind w:left="752" w:hanging="751" w:hangingChars="358"/>
        <w:jc w:val="left"/>
        <w:rPr>
          <w:rFonts w:ascii="宋体"/>
          <w:bCs/>
          <w:color w:val="auto"/>
          <w:highlight w:val="none"/>
        </w:rPr>
      </w:pPr>
      <w:r>
        <w:rPr>
          <w:rFonts w:hint="eastAsia" w:ascii="宋体"/>
          <w:bCs/>
          <w:color w:val="auto"/>
          <w:highlight w:val="none"/>
        </w:rPr>
        <w:t xml:space="preserve">23.2   </w:t>
      </w:r>
      <w:r>
        <w:rPr>
          <w:rFonts w:hint="eastAsia" w:ascii="宋体" w:hAnsi="宋体"/>
          <w:color w:val="auto"/>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A5BEAF">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3</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auto"/>
          <w:highlight w:val="none"/>
          <w:lang w:val="en-US" w:eastAsia="zh-CN"/>
        </w:rPr>
        <w:t>是</w:t>
      </w:r>
      <w:r>
        <w:rPr>
          <w:rFonts w:hint="eastAsia" w:ascii="宋体"/>
          <w:bCs/>
          <w:color w:val="auto"/>
          <w:highlight w:val="none"/>
        </w:rPr>
        <w:t>指影响到招标文件规定的供货范围、质量和性能，或限制了买方的权力和投标人的义务的规定，而纠正这些偏离将影响到其它提交实质性响应投标的投标人的公平竞争地位。</w:t>
      </w:r>
    </w:p>
    <w:p w14:paraId="062C51BD">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4</w:t>
      </w:r>
      <w:r>
        <w:rPr>
          <w:rFonts w:hint="eastAsia" w:ascii="宋体"/>
          <w:bCs/>
          <w:color w:val="auto"/>
          <w:highlight w:val="none"/>
        </w:rPr>
        <w:tab/>
      </w:r>
      <w:r>
        <w:rPr>
          <w:rFonts w:hint="eastAsia" w:ascii="宋体"/>
          <w:bCs/>
          <w:color w:val="auto"/>
          <w:highlight w:val="none"/>
        </w:rPr>
        <w:tab/>
      </w:r>
      <w:r>
        <w:rPr>
          <w:rFonts w:hint="eastAsia" w:ascii="宋体"/>
          <w:bCs/>
          <w:color w:val="auto"/>
          <w:highlight w:val="none"/>
        </w:rPr>
        <w:t xml:space="preserve"> 评标委员会将拒绝被确定为非实质性响应的投标，投标人不能通过修正或撤销不符之处而使其投标成为实质性响应的投标。</w:t>
      </w:r>
    </w:p>
    <w:p w14:paraId="1C6E47FF">
      <w:pPr>
        <w:widowControl/>
        <w:tabs>
          <w:tab w:val="left" w:pos="753"/>
        </w:tabs>
        <w:adjustRightInd w:val="0"/>
        <w:snapToGrid w:val="0"/>
        <w:spacing w:line="360" w:lineRule="auto"/>
        <w:ind w:left="752" w:hanging="751" w:hangingChars="358"/>
        <w:rPr>
          <w:rFonts w:ascii="宋体" w:hAnsi="宋体"/>
          <w:bCs/>
          <w:color w:val="auto"/>
          <w:highlight w:val="none"/>
        </w:rPr>
      </w:pPr>
      <w:r>
        <w:rPr>
          <w:rFonts w:ascii="宋体"/>
          <w:bCs/>
          <w:color w:val="auto"/>
          <w:highlight w:val="none"/>
        </w:rPr>
        <w:t>2</w:t>
      </w:r>
      <w:r>
        <w:rPr>
          <w:rFonts w:hint="eastAsia" w:ascii="宋体"/>
          <w:bCs/>
          <w:color w:val="auto"/>
          <w:highlight w:val="none"/>
        </w:rPr>
        <w:t>3</w:t>
      </w:r>
      <w:r>
        <w:rPr>
          <w:rFonts w:ascii="宋体"/>
          <w:bCs/>
          <w:color w:val="auto"/>
          <w:highlight w:val="none"/>
        </w:rPr>
        <w:t>.</w:t>
      </w:r>
      <w:r>
        <w:rPr>
          <w:rFonts w:hint="eastAsia" w:ascii="宋体"/>
          <w:bCs/>
          <w:color w:val="auto"/>
          <w:highlight w:val="none"/>
        </w:rPr>
        <w:t xml:space="preserve">5 </w:t>
      </w:r>
      <w:r>
        <w:rPr>
          <w:rFonts w:hint="eastAsia" w:ascii="宋体"/>
          <w:bCs/>
          <w:color w:val="auto"/>
          <w:highlight w:val="none"/>
        </w:rPr>
        <w:tab/>
      </w:r>
      <w:r>
        <w:rPr>
          <w:rFonts w:hint="eastAsia" w:ascii="宋体" w:hAnsi="宋体"/>
          <w:bCs/>
          <w:color w:val="auto"/>
          <w:highlight w:val="none"/>
        </w:rPr>
        <w:t>如果发现下列情况之一的，其投标将被拒绝而作无效投标处理：</w:t>
      </w:r>
    </w:p>
    <w:p w14:paraId="6F137086">
      <w:pPr>
        <w:numPr>
          <w:ilvl w:val="0"/>
          <w:numId w:val="27"/>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资格审查结果为不合格的；</w:t>
      </w:r>
    </w:p>
    <w:p w14:paraId="7BB76F49">
      <w:pPr>
        <w:numPr>
          <w:ilvl w:val="0"/>
          <w:numId w:val="27"/>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投标人未提交投标保证金或投标保证金金额不足或无效的；</w:t>
      </w:r>
    </w:p>
    <w:p w14:paraId="65A5B702">
      <w:pPr>
        <w:numPr>
          <w:ilvl w:val="0"/>
          <w:numId w:val="27"/>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投标函</w:t>
      </w:r>
      <w:r>
        <w:rPr>
          <w:rFonts w:ascii="宋体" w:hAnsi="宋体"/>
          <w:bCs/>
          <w:color w:val="auto"/>
          <w:highlight w:val="none"/>
        </w:rPr>
        <w:t>未加盖</w:t>
      </w:r>
      <w:r>
        <w:rPr>
          <w:rFonts w:hint="eastAsia" w:ascii="宋体" w:hAnsi="宋体"/>
          <w:bCs/>
          <w:color w:val="auto"/>
          <w:highlight w:val="none"/>
        </w:rPr>
        <w:t>投标人</w:t>
      </w:r>
      <w:r>
        <w:rPr>
          <w:rFonts w:ascii="宋体" w:hAnsi="宋体"/>
          <w:bCs/>
          <w:color w:val="auto"/>
          <w:highlight w:val="none"/>
        </w:rPr>
        <w:t>公章</w:t>
      </w:r>
      <w:r>
        <w:rPr>
          <w:rFonts w:hint="eastAsia" w:ascii="宋体" w:hAnsi="宋体"/>
          <w:bCs/>
          <w:color w:val="auto"/>
          <w:highlight w:val="none"/>
        </w:rPr>
        <w:t>或</w:t>
      </w:r>
      <w:r>
        <w:rPr>
          <w:rFonts w:ascii="宋体" w:hAnsi="宋体"/>
          <w:bCs/>
          <w:color w:val="auto"/>
          <w:highlight w:val="none"/>
        </w:rPr>
        <w:t>未有</w:t>
      </w:r>
      <w:r>
        <w:rPr>
          <w:rFonts w:hint="eastAsia" w:ascii="宋体" w:hAnsi="宋体"/>
          <w:bCs/>
          <w:color w:val="auto"/>
          <w:highlight w:val="none"/>
        </w:rPr>
        <w:t>法定代表人（负责人）</w:t>
      </w:r>
      <w:r>
        <w:rPr>
          <w:rFonts w:ascii="宋体" w:hAnsi="宋体"/>
          <w:bCs/>
          <w:color w:val="auto"/>
          <w:highlight w:val="none"/>
        </w:rPr>
        <w:t>或者被授权人签名的；</w:t>
      </w:r>
    </w:p>
    <w:p w14:paraId="309F1E51">
      <w:pPr>
        <w:numPr>
          <w:ilvl w:val="0"/>
          <w:numId w:val="27"/>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未按招标文件规定格式填写或者字迹模糊不清的；</w:t>
      </w:r>
    </w:p>
    <w:p w14:paraId="0D048C3F">
      <w:pPr>
        <w:numPr>
          <w:ilvl w:val="0"/>
          <w:numId w:val="27"/>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投标报价超出最高投标报价（预算价）上限的；</w:t>
      </w:r>
    </w:p>
    <w:p w14:paraId="648D33B1">
      <w:pPr>
        <w:numPr>
          <w:ilvl w:val="0"/>
          <w:numId w:val="27"/>
        </w:numPr>
        <w:adjustRightInd w:val="0"/>
        <w:snapToGrid w:val="0"/>
        <w:spacing w:line="360" w:lineRule="auto"/>
        <w:ind w:left="1077" w:hanging="357"/>
        <w:rPr>
          <w:rFonts w:ascii="宋体" w:hAnsi="宋体"/>
          <w:bCs/>
          <w:color w:val="auto"/>
          <w:highlight w:val="none"/>
        </w:rPr>
      </w:pPr>
      <w:r>
        <w:rPr>
          <w:rFonts w:hint="eastAsia" w:ascii="宋体" w:hAnsi="宋体"/>
          <w:bCs/>
          <w:color w:val="auto"/>
          <w:highlight w:val="none"/>
        </w:rPr>
        <w:t xml:space="preserve">投标文件载明的招标项目完工期（服务期）超过招标文件规定的期限，或服务期不满足招标文件规定要求的； </w:t>
      </w:r>
    </w:p>
    <w:p w14:paraId="6DC8D8BD">
      <w:pPr>
        <w:numPr>
          <w:ilvl w:val="0"/>
          <w:numId w:val="27"/>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投标有效期不足的；</w:t>
      </w:r>
    </w:p>
    <w:p w14:paraId="5B5BD9AF">
      <w:pPr>
        <w:numPr>
          <w:ilvl w:val="0"/>
          <w:numId w:val="27"/>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投标文件附有采购人或代理采购机构不能接受的条件的；</w:t>
      </w:r>
    </w:p>
    <w:p w14:paraId="6979E784">
      <w:pPr>
        <w:numPr>
          <w:ilvl w:val="0"/>
          <w:numId w:val="27"/>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招标文件规定的其他实质性要求的；</w:t>
      </w:r>
    </w:p>
    <w:p w14:paraId="3041DA87">
      <w:pPr>
        <w:numPr>
          <w:ilvl w:val="0"/>
          <w:numId w:val="27"/>
        </w:numPr>
        <w:adjustRightInd w:val="0"/>
        <w:snapToGrid w:val="0"/>
        <w:spacing w:line="360" w:lineRule="auto"/>
        <w:ind w:left="1077" w:hanging="357"/>
        <w:rPr>
          <w:rFonts w:ascii="宋体" w:hAnsi="宋体"/>
          <w:color w:val="auto"/>
          <w:highlight w:val="none"/>
        </w:rPr>
      </w:pPr>
      <w:r>
        <w:rPr>
          <w:rFonts w:hint="eastAsia" w:ascii="宋体" w:hAnsi="宋体"/>
          <w:color w:val="auto"/>
          <w:highlight w:val="none"/>
        </w:rPr>
        <w:t>法律、法规规定的其他废标条款。</w:t>
      </w:r>
    </w:p>
    <w:p w14:paraId="7CDC2A51">
      <w:pPr>
        <w:pStyle w:val="5"/>
        <w:numPr>
          <w:ilvl w:val="4"/>
          <w:numId w:val="23"/>
        </w:numPr>
        <w:tabs>
          <w:tab w:val="left" w:pos="720"/>
        </w:tabs>
        <w:spacing w:before="240" w:after="120"/>
        <w:ind w:left="2432" w:hanging="2432"/>
        <w:rPr>
          <w:color w:val="auto"/>
          <w:highlight w:val="none"/>
        </w:rPr>
      </w:pPr>
      <w:bookmarkStart w:id="1157" w:name="_Toc342060371"/>
      <w:bookmarkStart w:id="1158" w:name="_Toc332206705"/>
      <w:bookmarkStart w:id="1159" w:name="_Toc331684035"/>
      <w:bookmarkStart w:id="1160" w:name="_Toc339019886"/>
      <w:bookmarkStart w:id="1161" w:name="_Toc339020230"/>
      <w:bookmarkStart w:id="1162" w:name="_Toc365967070"/>
      <w:bookmarkStart w:id="1163" w:name="_Toc350438746"/>
      <w:bookmarkStart w:id="1164" w:name="_Toc342296757"/>
      <w:bookmarkStart w:id="1165" w:name="_Toc374454597"/>
      <w:bookmarkStart w:id="1166" w:name="_Toc339020092"/>
      <w:bookmarkStart w:id="1167" w:name="_Toc333935343"/>
      <w:bookmarkStart w:id="1168" w:name="_Toc337632355"/>
      <w:bookmarkStart w:id="1169" w:name="_Toc349143586"/>
      <w:bookmarkStart w:id="1170" w:name="_Toc339020012"/>
      <w:bookmarkStart w:id="1171" w:name="_Toc366072525"/>
      <w:bookmarkStart w:id="1172" w:name="_Toc333238630"/>
      <w:bookmarkStart w:id="1173" w:name="_Toc339362297"/>
      <w:bookmarkStart w:id="1174" w:name="_Toc336681932"/>
      <w:bookmarkStart w:id="1175" w:name="_Toc333237785"/>
      <w:bookmarkStart w:id="1176" w:name="_Toc340507439"/>
      <w:bookmarkStart w:id="1177" w:name="_Toc333237674"/>
      <w:bookmarkStart w:id="1178" w:name="_Toc341348335"/>
      <w:bookmarkStart w:id="1179" w:name="_Toc332270343"/>
      <w:bookmarkStart w:id="1180" w:name="_Toc330459982"/>
      <w:bookmarkStart w:id="1181" w:name="_Toc340677067"/>
      <w:bookmarkStart w:id="1182" w:name="_Toc331512895"/>
      <w:bookmarkStart w:id="1183" w:name="_Toc339441084"/>
      <w:bookmarkStart w:id="1184" w:name="_Toc345513864"/>
      <w:bookmarkStart w:id="1185" w:name="_Toc340672866"/>
      <w:bookmarkStart w:id="1186" w:name="_Toc336681577"/>
      <w:bookmarkStart w:id="1187" w:name="_Toc349127623"/>
      <w:bookmarkStart w:id="1188" w:name="_Toc333935684"/>
      <w:bookmarkStart w:id="1189" w:name="_Toc350756447"/>
      <w:bookmarkStart w:id="1190" w:name="_Toc18872"/>
      <w:bookmarkStart w:id="1191" w:name="_Toc365985176"/>
      <w:r>
        <w:rPr>
          <w:rFonts w:hint="eastAsia"/>
          <w:color w:val="auto"/>
          <w:highlight w:val="none"/>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14:paraId="14A0372D">
      <w:pPr>
        <w:tabs>
          <w:tab w:val="left" w:pos="753"/>
        </w:tabs>
        <w:adjustRightInd w:val="0"/>
        <w:snapToGrid w:val="0"/>
        <w:spacing w:line="360" w:lineRule="auto"/>
        <w:ind w:left="751" w:leftChars="1" w:hanging="749" w:hangingChars="357"/>
        <w:rPr>
          <w:rFonts w:ascii="宋体" w:hAnsi="宋体"/>
          <w:bCs/>
          <w:color w:val="auto"/>
          <w:highlight w:val="none"/>
        </w:rPr>
      </w:pPr>
      <w:r>
        <w:rPr>
          <w:rFonts w:hint="eastAsia" w:ascii="宋体" w:hAnsi="宋体"/>
          <w:bCs/>
          <w:color w:val="auto"/>
          <w:highlight w:val="none"/>
        </w:rPr>
        <w:t xml:space="preserve">24.1 </w:t>
      </w:r>
      <w:r>
        <w:rPr>
          <w:rFonts w:hint="eastAsia" w:ascii="宋体" w:hAnsi="宋体"/>
          <w:bCs/>
          <w:color w:val="auto"/>
          <w:highlight w:val="none"/>
        </w:rPr>
        <w:tab/>
      </w:r>
      <w:r>
        <w:rPr>
          <w:rFonts w:hint="eastAsia" w:ascii="宋体" w:hAnsi="宋体"/>
          <w:bCs/>
          <w:color w:val="auto"/>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9D515B">
      <w:pPr>
        <w:spacing w:line="360" w:lineRule="auto"/>
        <w:ind w:left="1233" w:hanging="1232" w:hangingChars="587"/>
        <w:jc w:val="left"/>
        <w:rPr>
          <w:rFonts w:ascii="宋体" w:hAnsi="宋体"/>
          <w:bCs/>
          <w:color w:val="auto"/>
          <w:highlight w:val="none"/>
        </w:rPr>
      </w:pPr>
      <w:r>
        <w:rPr>
          <w:rFonts w:hint="eastAsia" w:ascii="宋体" w:hAnsi="宋体"/>
          <w:bCs/>
          <w:color w:val="auto"/>
          <w:highlight w:val="none"/>
        </w:rPr>
        <w:t xml:space="preserve">24.2  </w:t>
      </w:r>
      <w:r>
        <w:rPr>
          <w:rFonts w:ascii="宋体" w:hAnsi="宋体"/>
          <w:bCs/>
          <w:color w:val="auto"/>
          <w:highlight w:val="none"/>
        </w:rPr>
        <w:t>（1）</w:t>
      </w:r>
      <w:r>
        <w:rPr>
          <w:rFonts w:hint="eastAsia" w:ascii="宋体" w:hAnsi="宋体"/>
          <w:bCs/>
          <w:color w:val="auto"/>
          <w:highlight w:val="none"/>
        </w:rPr>
        <w:t>投标文件中开标一览表(报价表)内容与投标文件中相应内容不一致的，以开标一览表(报价表)为准;</w:t>
      </w:r>
    </w:p>
    <w:p w14:paraId="0DB4F3F5">
      <w:pPr>
        <w:spacing w:line="360" w:lineRule="auto"/>
        <w:ind w:firstLine="707" w:firstLineChars="337"/>
        <w:jc w:val="left"/>
        <w:rPr>
          <w:rFonts w:ascii="宋体" w:hAnsi="宋体"/>
          <w:bCs/>
          <w:color w:val="auto"/>
          <w:highlight w:val="none"/>
        </w:rPr>
      </w:pPr>
      <w:r>
        <w:rPr>
          <w:rFonts w:ascii="宋体" w:hAnsi="宋体"/>
          <w:bCs/>
          <w:color w:val="auto"/>
          <w:highlight w:val="none"/>
        </w:rPr>
        <w:t>（2）</w:t>
      </w:r>
      <w:r>
        <w:rPr>
          <w:rFonts w:hint="eastAsia" w:ascii="宋体" w:hAnsi="宋体"/>
          <w:bCs/>
          <w:color w:val="auto"/>
          <w:highlight w:val="none"/>
        </w:rPr>
        <w:t>大写金额和小写金额不一致的，以大写金额为准;</w:t>
      </w:r>
    </w:p>
    <w:p w14:paraId="3EC6278F">
      <w:pPr>
        <w:spacing w:line="360" w:lineRule="auto"/>
        <w:ind w:firstLine="735" w:firstLineChars="350"/>
        <w:jc w:val="left"/>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单价金额小数点或者百分比有明显错位的，以开标一览表的总价为准，并修改单价;</w:t>
      </w:r>
    </w:p>
    <w:p w14:paraId="0B04AB43">
      <w:pPr>
        <w:spacing w:line="360" w:lineRule="auto"/>
        <w:ind w:firstLine="707" w:firstLineChars="337"/>
        <w:jc w:val="left"/>
        <w:rPr>
          <w:rFonts w:ascii="宋体" w:hAnsi="宋体"/>
          <w:bCs/>
          <w:color w:val="auto"/>
          <w:highlight w:val="none"/>
        </w:rPr>
      </w:pPr>
      <w:r>
        <w:rPr>
          <w:rFonts w:ascii="宋体" w:hAnsi="宋体"/>
          <w:bCs/>
          <w:color w:val="auto"/>
          <w:highlight w:val="none"/>
        </w:rPr>
        <w:t>（4）</w:t>
      </w:r>
      <w:r>
        <w:rPr>
          <w:rFonts w:hint="eastAsia" w:ascii="宋体" w:hAnsi="宋体"/>
          <w:bCs/>
          <w:color w:val="auto"/>
          <w:highlight w:val="none"/>
        </w:rPr>
        <w:t>总价金额与按单价汇总金额不一致的，以单价金额计算结果为准。</w:t>
      </w:r>
    </w:p>
    <w:p w14:paraId="3825395A">
      <w:pPr>
        <w:tabs>
          <w:tab w:val="left" w:pos="753"/>
        </w:tabs>
        <w:adjustRightInd w:val="0"/>
        <w:snapToGrid w:val="0"/>
        <w:spacing w:line="360" w:lineRule="auto"/>
        <w:ind w:left="1276" w:leftChars="351" w:hanging="539" w:hangingChars="257"/>
        <w:rPr>
          <w:rFonts w:ascii="宋体" w:hAnsi="宋体"/>
          <w:bCs/>
          <w:color w:val="auto"/>
          <w:highlight w:val="none"/>
        </w:rPr>
      </w:pPr>
      <w:r>
        <w:rPr>
          <w:rFonts w:ascii="宋体" w:hAnsi="宋体"/>
          <w:bCs/>
          <w:color w:val="auto"/>
          <w:highlight w:val="none"/>
        </w:rPr>
        <w:t>（5）</w:t>
      </w:r>
      <w:r>
        <w:rPr>
          <w:rFonts w:hint="eastAsia" w:ascii="宋体" w:hAnsi="宋体"/>
          <w:bCs/>
          <w:color w:val="auto"/>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308ED9AF">
      <w:pPr>
        <w:pStyle w:val="5"/>
        <w:numPr>
          <w:ilvl w:val="4"/>
          <w:numId w:val="23"/>
        </w:numPr>
        <w:tabs>
          <w:tab w:val="left" w:pos="720"/>
        </w:tabs>
        <w:spacing w:before="240" w:after="120"/>
        <w:ind w:left="2432" w:hanging="2432"/>
        <w:rPr>
          <w:color w:val="auto"/>
          <w:highlight w:val="none"/>
        </w:rPr>
      </w:pPr>
      <w:bookmarkStart w:id="1192" w:name="_Toc332270344"/>
      <w:bookmarkStart w:id="1193" w:name="_Toc333237675"/>
      <w:bookmarkStart w:id="1194" w:name="_Toc340677068"/>
      <w:bookmarkStart w:id="1195" w:name="_Toc342060372"/>
      <w:bookmarkStart w:id="1196" w:name="_Toc333935685"/>
      <w:bookmarkStart w:id="1197" w:name="_Toc331684036"/>
      <w:bookmarkStart w:id="1198" w:name="_Toc365967071"/>
      <w:bookmarkStart w:id="1199" w:name="_Toc337632356"/>
      <w:bookmarkStart w:id="1200" w:name="_Toc497224224"/>
      <w:bookmarkStart w:id="1201" w:name="_Toc374454598"/>
      <w:bookmarkStart w:id="1202" w:name="_Toc332206706"/>
      <w:bookmarkStart w:id="1203" w:name="_Toc350756448"/>
      <w:bookmarkStart w:id="1204" w:name="_Toc331512896"/>
      <w:bookmarkStart w:id="1205" w:name="_Toc349127624"/>
      <w:bookmarkStart w:id="1206" w:name="_Toc342296758"/>
      <w:bookmarkStart w:id="1207" w:name="_Toc339441085"/>
      <w:bookmarkStart w:id="1208" w:name="_Toc333935344"/>
      <w:bookmarkStart w:id="1209" w:name="_Toc340672867"/>
      <w:bookmarkStart w:id="1210" w:name="_Toc333238631"/>
      <w:bookmarkStart w:id="1211" w:name="_Toc336681933"/>
      <w:bookmarkStart w:id="1212" w:name="_Toc349143587"/>
      <w:bookmarkStart w:id="1213" w:name="_Toc333237786"/>
      <w:bookmarkStart w:id="1214" w:name="_Toc339020231"/>
      <w:bookmarkStart w:id="1215" w:name="_Toc339362298"/>
      <w:bookmarkStart w:id="1216" w:name="_Toc345513865"/>
      <w:bookmarkStart w:id="1217" w:name="_Toc336681578"/>
      <w:bookmarkStart w:id="1218" w:name="_Toc339020013"/>
      <w:bookmarkStart w:id="1219" w:name="_Toc365985177"/>
      <w:bookmarkStart w:id="1220" w:name="_Toc339019887"/>
      <w:bookmarkStart w:id="1221" w:name="_Toc340507440"/>
      <w:bookmarkStart w:id="1222" w:name="_Toc339020093"/>
      <w:bookmarkStart w:id="1223" w:name="_Toc366072526"/>
      <w:bookmarkStart w:id="1224" w:name="_Toc503785426"/>
      <w:bookmarkStart w:id="1225" w:name="_Toc350438747"/>
      <w:bookmarkStart w:id="1226" w:name="_Toc6064"/>
      <w:bookmarkStart w:id="1227" w:name="_Toc330459983"/>
      <w:bookmarkStart w:id="1228" w:name="_Toc341348336"/>
      <w:r>
        <w:rPr>
          <w:rFonts w:hint="eastAsia"/>
          <w:color w:val="auto"/>
          <w:highlight w:val="none"/>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14:paraId="2663B340">
      <w:pPr>
        <w:widowControl/>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5.</w:t>
      </w:r>
      <w:r>
        <w:rPr>
          <w:rFonts w:ascii="宋体"/>
          <w:bCs/>
          <w:color w:val="auto"/>
          <w:highlight w:val="none"/>
        </w:rPr>
        <w:t>1</w:t>
      </w:r>
      <w:r>
        <w:rPr>
          <w:rFonts w:hint="eastAsia" w:ascii="宋体"/>
          <w:bCs/>
          <w:color w:val="auto"/>
          <w:highlight w:val="none"/>
        </w:rPr>
        <w:tab/>
      </w:r>
      <w:r>
        <w:rPr>
          <w:rFonts w:hint="eastAsia" w:ascii="宋体"/>
          <w:bCs/>
          <w:color w:val="auto"/>
          <w:highlight w:val="none"/>
        </w:rPr>
        <w:t>为了有助于对投标文件进行审查、评估和比较，评标委员会有权向投标人质疑，请投标人澄清其投标内容。投标人有责任按照代理采购机构通知的时间、地点指派专人进行答疑和澄清。</w:t>
      </w:r>
    </w:p>
    <w:p w14:paraId="0022841B">
      <w:pPr>
        <w:widowControl/>
        <w:tabs>
          <w:tab w:val="left" w:pos="753"/>
        </w:tabs>
        <w:adjustRightInd w:val="0"/>
        <w:snapToGrid w:val="0"/>
        <w:spacing w:line="360" w:lineRule="auto"/>
        <w:ind w:left="752" w:hanging="751" w:hangingChars="358"/>
        <w:rPr>
          <w:rFonts w:ascii="宋体"/>
          <w:color w:val="auto"/>
          <w:highlight w:val="none"/>
        </w:rPr>
      </w:pPr>
      <w:r>
        <w:rPr>
          <w:rFonts w:ascii="宋体"/>
          <w:color w:val="auto"/>
          <w:highlight w:val="none"/>
        </w:rPr>
        <w:t>2</w:t>
      </w:r>
      <w:r>
        <w:rPr>
          <w:rFonts w:hint="eastAsia" w:ascii="宋体"/>
          <w:color w:val="auto"/>
          <w:highlight w:val="none"/>
        </w:rPr>
        <w:t>5</w:t>
      </w:r>
      <w:r>
        <w:rPr>
          <w:rFonts w:ascii="宋体"/>
          <w:color w:val="auto"/>
          <w:highlight w:val="none"/>
        </w:rPr>
        <w:t>.2</w:t>
      </w:r>
      <w:r>
        <w:rPr>
          <w:rFonts w:hint="eastAsia" w:ascii="宋体"/>
          <w:color w:val="auto"/>
          <w:highlight w:val="none"/>
        </w:rPr>
        <w:t xml:space="preserve"> </w:t>
      </w:r>
      <w:r>
        <w:rPr>
          <w:rFonts w:hint="eastAsia" w:ascii="宋体"/>
          <w:color w:val="auto"/>
          <w:highlight w:val="none"/>
        </w:rPr>
        <w:tab/>
      </w:r>
      <w:r>
        <w:rPr>
          <w:rFonts w:hint="eastAsia" w:ascii="宋体"/>
          <w:color w:val="auto"/>
          <w:highlight w:val="none"/>
        </w:rPr>
        <w:t>重要澄清的答复应是书面的，但不得对投标内容进行实质性修改。</w:t>
      </w:r>
    </w:p>
    <w:p w14:paraId="7249F6A7">
      <w:pPr>
        <w:widowControl/>
        <w:tabs>
          <w:tab w:val="left" w:pos="753"/>
        </w:tabs>
        <w:adjustRightInd w:val="0"/>
        <w:snapToGrid w:val="0"/>
        <w:spacing w:line="360" w:lineRule="auto"/>
        <w:ind w:left="752" w:hanging="751" w:hangingChars="358"/>
        <w:rPr>
          <w:color w:val="auto"/>
          <w:highlight w:val="none"/>
        </w:rPr>
      </w:pPr>
      <w:r>
        <w:rPr>
          <w:rFonts w:hint="eastAsia" w:ascii="宋体" w:hAnsi="宋体"/>
          <w:color w:val="auto"/>
          <w:highlight w:val="none"/>
        </w:rPr>
        <w:t>25.3</w:t>
      </w:r>
      <w:r>
        <w:rPr>
          <w:rFonts w:hint="eastAsia"/>
          <w:color w:val="auto"/>
          <w:highlight w:val="none"/>
        </w:rPr>
        <w:tab/>
      </w:r>
      <w:r>
        <w:rPr>
          <w:rFonts w:hint="eastAsia" w:cs="Arial Unicode MS"/>
          <w:color w:val="auto"/>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3C51BF">
      <w:pPr>
        <w:pStyle w:val="5"/>
        <w:numPr>
          <w:ilvl w:val="4"/>
          <w:numId w:val="23"/>
        </w:numPr>
        <w:tabs>
          <w:tab w:val="left" w:pos="720"/>
        </w:tabs>
        <w:spacing w:before="240" w:after="120"/>
        <w:ind w:left="2432" w:hanging="2432"/>
        <w:rPr>
          <w:color w:val="auto"/>
          <w:highlight w:val="none"/>
        </w:rPr>
      </w:pPr>
      <w:bookmarkStart w:id="1229" w:name="_Toc350756449"/>
      <w:bookmarkStart w:id="1230" w:name="_Toc339362299"/>
      <w:bookmarkStart w:id="1231" w:name="_Toc340677069"/>
      <w:bookmarkStart w:id="1232" w:name="_Toc340672868"/>
      <w:bookmarkStart w:id="1233" w:name="_Toc374454599"/>
      <w:bookmarkStart w:id="1234" w:name="_Toc340507441"/>
      <w:bookmarkStart w:id="1235" w:name="_Toc365985178"/>
      <w:bookmarkStart w:id="1236" w:name="_Toc333935686"/>
      <w:bookmarkStart w:id="1237" w:name="_Toc331684037"/>
      <w:bookmarkStart w:id="1238" w:name="_Toc339441086"/>
      <w:bookmarkStart w:id="1239" w:name="_Toc336681934"/>
      <w:bookmarkStart w:id="1240" w:name="_Toc345513866"/>
      <w:bookmarkStart w:id="1241" w:name="_Toc366072527"/>
      <w:bookmarkStart w:id="1242" w:name="_Toc337632357"/>
      <w:bookmarkStart w:id="1243" w:name="_Toc365967072"/>
      <w:bookmarkStart w:id="1244" w:name="_Toc349143588"/>
      <w:bookmarkStart w:id="1245" w:name="_Toc339020014"/>
      <w:bookmarkStart w:id="1246" w:name="_Toc330459984"/>
      <w:bookmarkStart w:id="1247" w:name="_Toc29474"/>
      <w:bookmarkStart w:id="1248" w:name="_Toc349127625"/>
      <w:bookmarkStart w:id="1249" w:name="_Toc333237787"/>
      <w:bookmarkStart w:id="1250" w:name="_Toc339019888"/>
      <w:bookmarkStart w:id="1251" w:name="_Toc341348337"/>
      <w:bookmarkStart w:id="1252" w:name="_Toc339020094"/>
      <w:bookmarkStart w:id="1253" w:name="_Toc333237676"/>
      <w:bookmarkStart w:id="1254" w:name="_Toc342296759"/>
      <w:bookmarkStart w:id="1255" w:name="_Toc332270345"/>
      <w:bookmarkStart w:id="1256" w:name="_Toc350438748"/>
      <w:bookmarkStart w:id="1257" w:name="_Toc339020232"/>
      <w:bookmarkStart w:id="1258" w:name="_Toc331512897"/>
      <w:bookmarkStart w:id="1259" w:name="_Toc333935345"/>
      <w:bookmarkStart w:id="1260" w:name="_Toc332206707"/>
      <w:bookmarkStart w:id="1261" w:name="_Toc342060373"/>
      <w:bookmarkStart w:id="1262" w:name="_Toc333238632"/>
      <w:bookmarkStart w:id="1263" w:name="_Toc336681579"/>
      <w:r>
        <w:rPr>
          <w:rFonts w:hint="eastAsia"/>
          <w:color w:val="auto"/>
          <w:highlight w:val="none"/>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14:paraId="72BF2F0C">
      <w:pPr>
        <w:tabs>
          <w:tab w:val="left" w:pos="753"/>
        </w:tabs>
        <w:adjustRightInd w:val="0"/>
        <w:snapToGrid w:val="0"/>
        <w:spacing w:line="360" w:lineRule="auto"/>
        <w:ind w:left="752" w:hanging="751" w:hangingChars="358"/>
        <w:rPr>
          <w:rFonts w:ascii="宋体"/>
          <w:bCs/>
          <w:color w:val="auto"/>
          <w:highlight w:val="none"/>
        </w:rPr>
      </w:pPr>
      <w:r>
        <w:rPr>
          <w:rFonts w:ascii="宋体"/>
          <w:bCs/>
          <w:color w:val="auto"/>
          <w:highlight w:val="none"/>
        </w:rPr>
        <w:t>2</w:t>
      </w:r>
      <w:r>
        <w:rPr>
          <w:rFonts w:hint="eastAsia" w:ascii="宋体"/>
          <w:bCs/>
          <w:color w:val="auto"/>
          <w:highlight w:val="none"/>
        </w:rPr>
        <w:t>6</w:t>
      </w:r>
      <w:r>
        <w:rPr>
          <w:rFonts w:ascii="宋体"/>
          <w:bCs/>
          <w:color w:val="auto"/>
          <w:highlight w:val="none"/>
        </w:rPr>
        <w:t>.1</w:t>
      </w:r>
      <w:r>
        <w:rPr>
          <w:rFonts w:hint="eastAsia" w:ascii="宋体"/>
          <w:bCs/>
          <w:color w:val="auto"/>
          <w:highlight w:val="none"/>
        </w:rPr>
        <w:t xml:space="preserve"> </w:t>
      </w:r>
      <w:r>
        <w:rPr>
          <w:rFonts w:hint="eastAsia" w:ascii="宋体"/>
          <w:bCs/>
          <w:color w:val="auto"/>
          <w:highlight w:val="none"/>
        </w:rPr>
        <w:tab/>
      </w:r>
      <w:r>
        <w:rPr>
          <w:rFonts w:hint="eastAsia" w:ascii="宋体"/>
          <w:bCs/>
          <w:color w:val="auto"/>
          <w:highlight w:val="none"/>
        </w:rPr>
        <w:t>依据有关法律法规，确定评标标准和方法，维护招标采购当事人的合法权益。</w:t>
      </w:r>
    </w:p>
    <w:p w14:paraId="79DB8960">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26.2</w:t>
      </w:r>
      <w:r>
        <w:rPr>
          <w:rFonts w:hint="eastAsia" w:ascii="宋体"/>
          <w:bCs/>
          <w:color w:val="auto"/>
          <w:highlight w:val="none"/>
        </w:rPr>
        <w:tab/>
      </w:r>
      <w:r>
        <w:rPr>
          <w:rFonts w:hint="eastAsia" w:ascii="宋体"/>
          <w:bCs/>
          <w:color w:val="auto"/>
          <w:highlight w:val="none"/>
        </w:rPr>
        <w:t>坚持公平、公正、科学和择优原则。</w:t>
      </w:r>
    </w:p>
    <w:p w14:paraId="59C40BFA">
      <w:pPr>
        <w:tabs>
          <w:tab w:val="left" w:pos="753"/>
        </w:tabs>
        <w:adjustRightInd w:val="0"/>
        <w:snapToGrid w:val="0"/>
        <w:spacing w:line="360" w:lineRule="auto"/>
        <w:ind w:left="752" w:hanging="751" w:hangingChars="358"/>
        <w:rPr>
          <w:rFonts w:ascii="宋体"/>
          <w:bCs/>
          <w:color w:val="auto"/>
          <w:highlight w:val="none"/>
        </w:rPr>
      </w:pPr>
      <w:r>
        <w:rPr>
          <w:rFonts w:hint="eastAsia" w:ascii="宋体"/>
          <w:bCs/>
          <w:color w:val="auto"/>
          <w:highlight w:val="none"/>
        </w:rPr>
        <w:t>26.3</w:t>
      </w:r>
      <w:r>
        <w:rPr>
          <w:rFonts w:hint="eastAsia" w:ascii="宋体"/>
          <w:bCs/>
          <w:color w:val="auto"/>
          <w:highlight w:val="none"/>
        </w:rPr>
        <w:tab/>
      </w:r>
      <w:r>
        <w:rPr>
          <w:rFonts w:hint="eastAsia" w:ascii="宋体"/>
          <w:bCs/>
          <w:color w:val="auto"/>
          <w:highlight w:val="none"/>
        </w:rPr>
        <w:t>实行科学评估、集体决策。</w:t>
      </w:r>
    </w:p>
    <w:p w14:paraId="41C68FEA">
      <w:pPr>
        <w:pStyle w:val="5"/>
        <w:numPr>
          <w:ilvl w:val="4"/>
          <w:numId w:val="23"/>
        </w:numPr>
        <w:tabs>
          <w:tab w:val="left" w:pos="720"/>
        </w:tabs>
        <w:spacing w:before="240" w:after="120"/>
        <w:ind w:left="2432" w:hanging="2432"/>
        <w:rPr>
          <w:color w:val="auto"/>
          <w:highlight w:val="none"/>
        </w:rPr>
      </w:pPr>
      <w:bookmarkStart w:id="1264" w:name="_Toc333238633"/>
      <w:bookmarkStart w:id="1265" w:name="_Toc365967073"/>
      <w:bookmarkStart w:id="1266" w:name="_Toc340677070"/>
      <w:bookmarkStart w:id="1267" w:name="_Toc342060374"/>
      <w:bookmarkStart w:id="1268" w:name="_Toc331512898"/>
      <w:bookmarkStart w:id="1269" w:name="_Toc340507442"/>
      <w:bookmarkStart w:id="1270" w:name="_Toc332206708"/>
      <w:bookmarkStart w:id="1271" w:name="_Toc365985179"/>
      <w:bookmarkStart w:id="1272" w:name="_Toc366072528"/>
      <w:bookmarkStart w:id="1273" w:name="_Toc336681580"/>
      <w:bookmarkStart w:id="1274" w:name="_Toc339020015"/>
      <w:bookmarkStart w:id="1275" w:name="_Toc339019889"/>
      <w:bookmarkStart w:id="1276" w:name="_Toc350438749"/>
      <w:bookmarkStart w:id="1277" w:name="_Toc349143589"/>
      <w:bookmarkStart w:id="1278" w:name="_Toc341348338"/>
      <w:bookmarkStart w:id="1279" w:name="_Toc342296760"/>
      <w:bookmarkStart w:id="1280" w:name="_Toc337632358"/>
      <w:bookmarkStart w:id="1281" w:name="_Toc336681935"/>
      <w:bookmarkStart w:id="1282" w:name="_Toc374454600"/>
      <w:bookmarkStart w:id="1283" w:name="_Toc339020233"/>
      <w:bookmarkStart w:id="1284" w:name="_Toc339441087"/>
      <w:bookmarkStart w:id="1285" w:name="_Toc331684038"/>
      <w:bookmarkStart w:id="1286" w:name="_Toc21549"/>
      <w:bookmarkStart w:id="1287" w:name="_Toc333935687"/>
      <w:bookmarkStart w:id="1288" w:name="_Toc345513867"/>
      <w:bookmarkStart w:id="1289" w:name="_Toc339020095"/>
      <w:bookmarkStart w:id="1290" w:name="_Toc349127626"/>
      <w:bookmarkStart w:id="1291" w:name="_Toc330459985"/>
      <w:bookmarkStart w:id="1292" w:name="_Toc332270346"/>
      <w:bookmarkStart w:id="1293" w:name="_Toc333237677"/>
      <w:bookmarkStart w:id="1294" w:name="_Toc333935346"/>
      <w:bookmarkStart w:id="1295" w:name="_Toc339362300"/>
      <w:bookmarkStart w:id="1296" w:name="_Toc350756450"/>
      <w:bookmarkStart w:id="1297" w:name="_Toc340672869"/>
      <w:bookmarkStart w:id="1298" w:name="_Toc333237788"/>
      <w:r>
        <w:rPr>
          <w:rFonts w:hint="eastAsia"/>
          <w:color w:val="auto"/>
          <w:highlight w:val="none"/>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998FA9">
      <w:pPr>
        <w:pStyle w:val="23"/>
        <w:tabs>
          <w:tab w:val="left" w:pos="753"/>
        </w:tabs>
        <w:adjustRightInd w:val="0"/>
        <w:snapToGrid w:val="0"/>
        <w:spacing w:line="360" w:lineRule="auto"/>
        <w:ind w:left="751" w:leftChars="1" w:hanging="749" w:hangingChars="357"/>
        <w:rPr>
          <w:rFonts w:hAnsi="宋体"/>
          <w:bCs/>
          <w:color w:val="auto"/>
          <w:highlight w:val="none"/>
        </w:rPr>
      </w:pPr>
      <w:r>
        <w:rPr>
          <w:rFonts w:hint="eastAsia" w:hAnsi="宋体"/>
          <w:bCs/>
          <w:color w:val="auto"/>
          <w:highlight w:val="none"/>
        </w:rPr>
        <w:t>27.1</w:t>
      </w:r>
      <w:r>
        <w:rPr>
          <w:rFonts w:hint="eastAsia" w:hAnsi="宋体"/>
          <w:bCs/>
          <w:color w:val="auto"/>
          <w:highlight w:val="none"/>
        </w:rPr>
        <w:tab/>
      </w:r>
      <w:r>
        <w:rPr>
          <w:rFonts w:hint="eastAsia" w:hAnsi="宋体"/>
          <w:bCs/>
          <w:color w:val="auto"/>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695497E">
      <w:pPr>
        <w:pStyle w:val="23"/>
        <w:widowControl/>
        <w:tabs>
          <w:tab w:val="left" w:pos="753"/>
        </w:tabs>
        <w:adjustRightInd w:val="0"/>
        <w:snapToGrid w:val="0"/>
        <w:spacing w:line="360" w:lineRule="auto"/>
        <w:ind w:left="752" w:hanging="751" w:hangingChars="358"/>
        <w:rPr>
          <w:rFonts w:hAnsi="宋体"/>
          <w:color w:val="auto"/>
          <w:highlight w:val="none"/>
        </w:rPr>
      </w:pPr>
      <w:r>
        <w:rPr>
          <w:rFonts w:hint="eastAsia" w:hAnsi="宋体"/>
          <w:bCs/>
          <w:color w:val="auto"/>
          <w:highlight w:val="none"/>
        </w:rPr>
        <w:t>27</w:t>
      </w:r>
      <w:r>
        <w:rPr>
          <w:rFonts w:hAnsi="宋体"/>
          <w:bCs/>
          <w:color w:val="auto"/>
          <w:highlight w:val="none"/>
        </w:rPr>
        <w:t>.2</w:t>
      </w:r>
      <w:r>
        <w:rPr>
          <w:rFonts w:hint="eastAsia" w:hAnsi="宋体"/>
          <w:bCs/>
          <w:color w:val="auto"/>
          <w:highlight w:val="none"/>
        </w:rPr>
        <w:tab/>
      </w:r>
      <w:bookmarkStart w:id="1299" w:name="_Toc500953375"/>
      <w:bookmarkStart w:id="1300" w:name="_Toc497707712"/>
      <w:bookmarkStart w:id="1301" w:name="_Toc500861023"/>
      <w:r>
        <w:rPr>
          <w:rFonts w:hint="eastAsia" w:hAnsi="宋体"/>
          <w:bCs/>
          <w:color w:val="auto"/>
          <w:highlight w:val="none"/>
        </w:rPr>
        <w:t>采用计分法（综合评价法）来确定各投标人的排名。其操作程序为：</w:t>
      </w:r>
      <w:r>
        <w:rPr>
          <w:rFonts w:hint="eastAsia" w:hAnsi="宋体"/>
          <w:b/>
          <w:color w:val="auto"/>
          <w:highlight w:val="none"/>
        </w:rPr>
        <w:t>详见H评标细则。</w:t>
      </w:r>
    </w:p>
    <w:p w14:paraId="29C1A2F3">
      <w:pPr>
        <w:pStyle w:val="5"/>
        <w:numPr>
          <w:ilvl w:val="4"/>
          <w:numId w:val="23"/>
        </w:numPr>
        <w:tabs>
          <w:tab w:val="left" w:pos="720"/>
        </w:tabs>
        <w:spacing w:before="240" w:after="120"/>
        <w:ind w:left="2432" w:hanging="2432"/>
        <w:rPr>
          <w:color w:val="auto"/>
          <w:highlight w:val="none"/>
        </w:rPr>
      </w:pPr>
      <w:bookmarkStart w:id="1302" w:name="_Toc19607"/>
      <w:bookmarkStart w:id="1303" w:name="_Toc366072529"/>
      <w:bookmarkStart w:id="1304" w:name="_Toc327368025"/>
      <w:bookmarkStart w:id="1305" w:name="_Toc327367761"/>
      <w:bookmarkStart w:id="1306" w:name="_Toc332270347"/>
      <w:bookmarkStart w:id="1307" w:name="_Toc339019890"/>
      <w:bookmarkStart w:id="1308" w:name="_Toc333237789"/>
      <w:bookmarkStart w:id="1309" w:name="_Toc333237678"/>
      <w:bookmarkStart w:id="1310" w:name="_Toc345513902"/>
      <w:bookmarkStart w:id="1311" w:name="_Toc339362301"/>
      <w:bookmarkStart w:id="1312" w:name="_Toc342296761"/>
      <w:bookmarkStart w:id="1313" w:name="_Toc339020096"/>
      <w:bookmarkStart w:id="1314" w:name="_Toc340672870"/>
      <w:bookmarkStart w:id="1315" w:name="_Toc342060375"/>
      <w:bookmarkStart w:id="1316" w:name="_Toc337632359"/>
      <w:bookmarkStart w:id="1317" w:name="_Toc331684039"/>
      <w:bookmarkStart w:id="1318" w:name="_Toc339441088"/>
      <w:bookmarkStart w:id="1319" w:name="_Toc341348339"/>
      <w:bookmarkStart w:id="1320" w:name="_Toc340507443"/>
      <w:bookmarkStart w:id="1321" w:name="_Toc332206709"/>
      <w:bookmarkStart w:id="1322" w:name="_Toc339020234"/>
      <w:bookmarkStart w:id="1323" w:name="_Toc340677071"/>
      <w:bookmarkStart w:id="1324" w:name="_Toc330459986"/>
      <w:bookmarkStart w:id="1325" w:name="_Toc333935688"/>
      <w:bookmarkStart w:id="1326" w:name="_Toc339020016"/>
      <w:bookmarkStart w:id="1327" w:name="_Toc333238634"/>
      <w:bookmarkStart w:id="1328" w:name="_Toc331512899"/>
      <w:bookmarkStart w:id="1329" w:name="_Toc336681936"/>
      <w:bookmarkStart w:id="1330" w:name="_Toc333935347"/>
      <w:bookmarkStart w:id="1331" w:name="_Toc336681581"/>
      <w:r>
        <w:rPr>
          <w:rFonts w:hint="eastAsia"/>
          <w:color w:val="auto"/>
          <w:highlight w:val="none"/>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14:paraId="3010CD66">
      <w:pPr>
        <w:widowControl/>
        <w:tabs>
          <w:tab w:val="left" w:pos="753"/>
        </w:tabs>
        <w:adjustRightInd w:val="0"/>
        <w:snapToGrid w:val="0"/>
        <w:spacing w:line="360" w:lineRule="auto"/>
        <w:ind w:left="752" w:hanging="751" w:hangingChars="358"/>
        <w:rPr>
          <w:rFonts w:ascii="宋体" w:hAnsi="宋体"/>
          <w:bCs/>
          <w:color w:val="auto"/>
          <w:highlight w:val="none"/>
        </w:rPr>
      </w:pPr>
      <w:bookmarkStart w:id="1332" w:name="_Toc6397151"/>
      <w:bookmarkStart w:id="1333" w:name="_Toc500861027"/>
      <w:bookmarkStart w:id="1334" w:name="_Toc26066260"/>
      <w:bookmarkStart w:id="1335" w:name="_Toc6727972"/>
      <w:bookmarkStart w:id="1336" w:name="_Toc491658680"/>
      <w:r>
        <w:rPr>
          <w:rFonts w:hint="eastAsia" w:ascii="宋体" w:hAnsi="宋体"/>
          <w:bCs/>
          <w:color w:val="auto"/>
          <w:highlight w:val="none"/>
        </w:rPr>
        <w:t>28.1</w:t>
      </w:r>
      <w:r>
        <w:rPr>
          <w:rFonts w:hint="eastAsia" w:ascii="宋体" w:hAnsi="宋体"/>
          <w:bCs/>
          <w:color w:val="auto"/>
          <w:highlight w:val="none"/>
        </w:rPr>
        <w:tab/>
      </w:r>
      <w:r>
        <w:rPr>
          <w:rFonts w:hint="eastAsia" w:ascii="宋体" w:hAnsi="宋体"/>
          <w:bCs/>
          <w:color w:val="auto"/>
          <w:highlight w:val="none"/>
        </w:rPr>
        <w:t>评标是招标工作的重要环节，评标工作在评标委员会内独立进行。评标委员会将公正、平等地对待所有投标人。</w:t>
      </w:r>
    </w:p>
    <w:p w14:paraId="79B7E6D8">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 xml:space="preserve">28.2 </w:t>
      </w:r>
      <w:r>
        <w:rPr>
          <w:rFonts w:hint="eastAsia" w:ascii="宋体" w:hAnsi="宋体"/>
          <w:bCs/>
          <w:color w:val="auto"/>
          <w:highlight w:val="none"/>
        </w:rPr>
        <w:tab/>
      </w:r>
      <w:r>
        <w:rPr>
          <w:rFonts w:hint="eastAsia" w:ascii="宋体" w:hAnsi="宋体"/>
          <w:bCs/>
          <w:color w:val="auto"/>
          <w:highlight w:val="none"/>
        </w:rPr>
        <w:t>在开标、评标期间，投标人不得向评委询问评标情况，不得进行旨在影响评标结果的活动。</w:t>
      </w:r>
    </w:p>
    <w:p w14:paraId="77854380">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28.3</w:t>
      </w:r>
      <w:r>
        <w:rPr>
          <w:rFonts w:hint="eastAsia" w:ascii="宋体" w:hAnsi="宋体"/>
          <w:bCs/>
          <w:color w:val="auto"/>
          <w:highlight w:val="none"/>
        </w:rPr>
        <w:tab/>
      </w:r>
      <w:r>
        <w:rPr>
          <w:rFonts w:hint="eastAsia" w:ascii="宋体" w:hAnsi="宋体"/>
          <w:bCs/>
          <w:color w:val="auto"/>
          <w:highlight w:val="none"/>
        </w:rPr>
        <w:t>在招标工作结束后，评标委员会成员和参与评标的有关工作人员不得透露与评标有关的情况。</w:t>
      </w:r>
    </w:p>
    <w:p w14:paraId="3DA3BCC6">
      <w:pPr>
        <w:pStyle w:val="5"/>
        <w:numPr>
          <w:ilvl w:val="4"/>
          <w:numId w:val="23"/>
        </w:numPr>
        <w:tabs>
          <w:tab w:val="left" w:pos="720"/>
        </w:tabs>
        <w:spacing w:before="240" w:after="120"/>
        <w:ind w:left="2432" w:hanging="2432"/>
        <w:rPr>
          <w:color w:val="auto"/>
          <w:highlight w:val="none"/>
        </w:rPr>
      </w:pPr>
      <w:bookmarkStart w:id="1337" w:name="_Toc333238635"/>
      <w:bookmarkStart w:id="1338" w:name="_Toc342060376"/>
      <w:bookmarkStart w:id="1339" w:name="_Toc365967074"/>
      <w:bookmarkStart w:id="1340" w:name="_Toc339019891"/>
      <w:bookmarkStart w:id="1341" w:name="_Toc331684040"/>
      <w:bookmarkStart w:id="1342" w:name="_Toc333237790"/>
      <w:bookmarkStart w:id="1343" w:name="_Toc366072530"/>
      <w:bookmarkStart w:id="1344" w:name="_Toc330459987"/>
      <w:bookmarkStart w:id="1345" w:name="_Toc333935348"/>
      <w:bookmarkStart w:id="1346" w:name="_Toc339020097"/>
      <w:bookmarkStart w:id="1347" w:name="_Toc332206710"/>
      <w:bookmarkStart w:id="1348" w:name="_Toc336681937"/>
      <w:bookmarkStart w:id="1349" w:name="_Toc340507444"/>
      <w:bookmarkStart w:id="1350" w:name="_Toc333237679"/>
      <w:bookmarkStart w:id="1351" w:name="_Toc336681582"/>
      <w:bookmarkStart w:id="1352" w:name="_Toc332270348"/>
      <w:bookmarkStart w:id="1353" w:name="_Toc28584"/>
      <w:bookmarkStart w:id="1354" w:name="_Toc349143591"/>
      <w:bookmarkStart w:id="1355" w:name="_Toc345513903"/>
      <w:bookmarkStart w:id="1356" w:name="_Toc339362302"/>
      <w:bookmarkStart w:id="1357" w:name="_Toc374454602"/>
      <w:bookmarkStart w:id="1358" w:name="_Toc339441089"/>
      <w:bookmarkStart w:id="1359" w:name="_Toc337632360"/>
      <w:bookmarkStart w:id="1360" w:name="_Toc339020017"/>
      <w:bookmarkStart w:id="1361" w:name="_Toc350756452"/>
      <w:bookmarkStart w:id="1362" w:name="_Toc349127628"/>
      <w:bookmarkStart w:id="1363" w:name="_Toc333935689"/>
      <w:bookmarkStart w:id="1364" w:name="_Toc340677072"/>
      <w:bookmarkStart w:id="1365" w:name="_Toc365985180"/>
      <w:bookmarkStart w:id="1366" w:name="_Toc350438751"/>
      <w:bookmarkStart w:id="1367" w:name="_Toc339020235"/>
      <w:bookmarkStart w:id="1368" w:name="_Toc331512900"/>
      <w:bookmarkStart w:id="1369" w:name="_Toc341348340"/>
      <w:bookmarkStart w:id="1370" w:name="_Toc340672871"/>
      <w:bookmarkStart w:id="1371" w:name="_Toc342296762"/>
      <w:r>
        <w:rPr>
          <w:rFonts w:hint="eastAsia"/>
          <w:color w:val="auto"/>
          <w:highlight w:val="none"/>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36E2C842">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评标委员会经评审认为所有投标都不符合招标文件要求的，或所有投标报价均超过预算价且采购人无法支付的，有权否决所有投标。</w:t>
      </w:r>
    </w:p>
    <w:p w14:paraId="666AAC0B">
      <w:pPr>
        <w:widowControl/>
        <w:tabs>
          <w:tab w:val="left" w:pos="753"/>
        </w:tabs>
        <w:adjustRightInd w:val="0"/>
        <w:snapToGrid w:val="0"/>
        <w:spacing w:line="360" w:lineRule="auto"/>
        <w:ind w:left="752" w:hanging="751" w:hangingChars="358"/>
        <w:rPr>
          <w:rFonts w:ascii="宋体" w:hAnsi="宋体"/>
          <w:bCs/>
          <w:color w:val="auto"/>
          <w:highlight w:val="none"/>
        </w:rPr>
      </w:pPr>
      <w:r>
        <w:rPr>
          <w:rFonts w:hint="eastAsia" w:ascii="宋体" w:hAnsi="宋体"/>
          <w:bCs/>
          <w:color w:val="auto"/>
          <w:highlight w:val="none"/>
        </w:rPr>
        <w:t>29.2</w:t>
      </w:r>
      <w:r>
        <w:rPr>
          <w:rFonts w:hint="eastAsia" w:ascii="宋体" w:hAnsi="宋体"/>
          <w:bCs/>
          <w:color w:val="auto"/>
          <w:highlight w:val="none"/>
        </w:rPr>
        <w:tab/>
      </w:r>
      <w:r>
        <w:rPr>
          <w:rFonts w:hint="eastAsia" w:ascii="宋体" w:hAnsi="宋体"/>
          <w:bCs/>
          <w:color w:val="auto"/>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FD780C7">
      <w:pPr>
        <w:pStyle w:val="5"/>
        <w:numPr>
          <w:ilvl w:val="4"/>
          <w:numId w:val="23"/>
        </w:numPr>
        <w:tabs>
          <w:tab w:val="left" w:pos="720"/>
        </w:tabs>
        <w:spacing w:before="240" w:after="120"/>
        <w:ind w:left="2432" w:hanging="2432"/>
        <w:rPr>
          <w:color w:val="auto"/>
          <w:highlight w:val="none"/>
        </w:rPr>
      </w:pPr>
      <w:bookmarkStart w:id="1372" w:name="_Toc366072531"/>
      <w:bookmarkStart w:id="1373" w:name="_Toc374454603"/>
      <w:bookmarkStart w:id="1374" w:name="_Toc1207"/>
      <w:r>
        <w:rPr>
          <w:rFonts w:hint="eastAsia"/>
          <w:color w:val="auto"/>
          <w:highlight w:val="none"/>
        </w:rPr>
        <w:t>发布中标结果公告和发放中标通知书</w:t>
      </w:r>
      <w:bookmarkEnd w:id="1372"/>
      <w:bookmarkEnd w:id="1373"/>
      <w:bookmarkEnd w:id="1374"/>
    </w:p>
    <w:p w14:paraId="6C764E90">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375" w:name="_Toc366072532"/>
      <w:r>
        <w:rPr>
          <w:rFonts w:hint="eastAsia" w:ascii="宋体" w:hAnsi="宋体"/>
          <w:color w:val="auto"/>
          <w:szCs w:val="21"/>
          <w:highlight w:val="none"/>
        </w:rPr>
        <w:t>30.1   采购人或其授权的评标委员会应按照评标报告中推荐的中标候选投标人排名顺序确定中标投标人。</w:t>
      </w:r>
    </w:p>
    <w:p w14:paraId="57C66922">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30.2   中标投标人确认后，中标结果将于指定媒体上公告(</w:t>
      </w:r>
      <w:r>
        <w:rPr>
          <w:rFonts w:hint="eastAsia" w:ascii="黑体" w:eastAsia="黑体"/>
          <w:bCs/>
          <w:color w:val="auto"/>
          <w:highlight w:val="none"/>
        </w:rPr>
        <w:t>详见第三部份《投标人须知〈投标人须知前附表〉》</w:t>
      </w:r>
      <w:r>
        <w:rPr>
          <w:rFonts w:hint="eastAsia" w:ascii="宋体" w:hAnsi="宋体"/>
          <w:color w:val="auto"/>
          <w:highlight w:val="none"/>
        </w:rPr>
        <w:t>)</w:t>
      </w:r>
      <w:r>
        <w:rPr>
          <w:rFonts w:hint="eastAsia" w:ascii="宋体" w:hAnsi="宋体"/>
          <w:color w:val="auto"/>
          <w:szCs w:val="21"/>
          <w:highlight w:val="none"/>
        </w:rPr>
        <w:t>。发布中标结果公告的同时，代理采购机构向中标投标人发出中标通知书。</w:t>
      </w:r>
    </w:p>
    <w:p w14:paraId="5A0BC828">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30.3   未中标投标人，代理采购机构不再以其它方式另行通知。</w:t>
      </w:r>
    </w:p>
    <w:p w14:paraId="7536696E">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30.4   中标通知书发出后，采购人改变中标结果，或者中标投标人放弃中标，应当承担相应的法律责任。</w:t>
      </w:r>
    </w:p>
    <w:p w14:paraId="5CB04860">
      <w:pPr>
        <w:pStyle w:val="5"/>
        <w:numPr>
          <w:ilvl w:val="4"/>
          <w:numId w:val="23"/>
        </w:numPr>
        <w:tabs>
          <w:tab w:val="left" w:pos="720"/>
        </w:tabs>
        <w:spacing w:before="240" w:after="120"/>
        <w:ind w:left="2432" w:hanging="2432"/>
        <w:rPr>
          <w:color w:val="auto"/>
          <w:highlight w:val="none"/>
        </w:rPr>
      </w:pPr>
      <w:bookmarkStart w:id="1376" w:name="_Toc374454604"/>
      <w:bookmarkStart w:id="1377" w:name="_Toc8500"/>
      <w:r>
        <w:rPr>
          <w:rFonts w:hint="eastAsia"/>
          <w:color w:val="auto"/>
          <w:highlight w:val="none"/>
        </w:rPr>
        <w:t>投标人对中标结果的质疑、投诉</w:t>
      </w:r>
      <w:bookmarkEnd w:id="1375"/>
      <w:bookmarkEnd w:id="1376"/>
      <w:bookmarkEnd w:id="1377"/>
    </w:p>
    <w:p w14:paraId="365DE6AE">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bookmarkStart w:id="1378" w:name="_Toc342296765"/>
      <w:bookmarkStart w:id="1379" w:name="_Toc333238638"/>
      <w:bookmarkStart w:id="1380" w:name="_Toc349143594"/>
      <w:bookmarkStart w:id="1381" w:name="_Toc336681940"/>
      <w:bookmarkStart w:id="1382" w:name="_Toc365967077"/>
      <w:bookmarkStart w:id="1383" w:name="_Toc340672874"/>
      <w:bookmarkStart w:id="1384" w:name="_Toc339019894"/>
      <w:bookmarkStart w:id="1385" w:name="_Toc339020020"/>
      <w:bookmarkStart w:id="1386" w:name="_Toc365985183"/>
      <w:bookmarkStart w:id="1387" w:name="_Toc339020238"/>
      <w:bookmarkStart w:id="1388" w:name="_Toc339020100"/>
      <w:bookmarkStart w:id="1389" w:name="_Toc332270351"/>
      <w:bookmarkStart w:id="1390" w:name="_Toc340507447"/>
      <w:bookmarkStart w:id="1391" w:name="_Toc333935692"/>
      <w:bookmarkStart w:id="1392" w:name="_Toc333935351"/>
      <w:bookmarkStart w:id="1393" w:name="_Toc332206713"/>
      <w:bookmarkStart w:id="1394" w:name="_Toc340677075"/>
      <w:bookmarkStart w:id="1395" w:name="_Toc336681585"/>
      <w:bookmarkStart w:id="1396" w:name="_Toc331512903"/>
      <w:bookmarkStart w:id="1397" w:name="_Toc342060379"/>
      <w:bookmarkStart w:id="1398" w:name="_Toc333237793"/>
      <w:bookmarkStart w:id="1399" w:name="_Toc331684043"/>
      <w:bookmarkStart w:id="1400" w:name="_Toc341348343"/>
      <w:bookmarkStart w:id="1401" w:name="_Toc339362305"/>
      <w:bookmarkStart w:id="1402" w:name="_Toc350438754"/>
      <w:bookmarkStart w:id="1403" w:name="_Toc330459990"/>
      <w:bookmarkStart w:id="1404" w:name="_Toc350756455"/>
      <w:bookmarkStart w:id="1405" w:name="_Toc349127631"/>
      <w:bookmarkStart w:id="1406" w:name="_Toc333237682"/>
      <w:bookmarkStart w:id="1407" w:name="_Toc345513906"/>
      <w:bookmarkStart w:id="1408" w:name="_Toc339441092"/>
      <w:bookmarkStart w:id="1409" w:name="_Toc337632363"/>
      <w:r>
        <w:rPr>
          <w:rFonts w:hint="eastAsia" w:ascii="宋体" w:hAnsi="宋体"/>
          <w:color w:val="auto"/>
          <w:szCs w:val="21"/>
          <w:highlight w:val="none"/>
        </w:rPr>
        <w:t>31.1</w:t>
      </w:r>
      <w:r>
        <w:rPr>
          <w:rFonts w:hint="eastAsia" w:ascii="宋体" w:hAnsi="宋体"/>
          <w:color w:val="auto"/>
          <w:szCs w:val="21"/>
          <w:highlight w:val="none"/>
        </w:rPr>
        <w:tab/>
      </w:r>
      <w:r>
        <w:rPr>
          <w:rFonts w:hint="eastAsia" w:ascii="宋体" w:hAnsi="宋体"/>
          <w:color w:val="auto"/>
          <w:szCs w:val="21"/>
          <w:highlight w:val="none"/>
        </w:rPr>
        <w:t>投标人对中标公告有异议的，应当在中标结果公告发布之日起七个工作日内，以书面形式向采购人或代理采购机构提出质疑。</w:t>
      </w:r>
    </w:p>
    <w:p w14:paraId="53B380A8">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31.2   采购人或代理采购机构应当在收到投标投标人书面质疑后七个工作日内，对质疑内容作出答复。</w:t>
      </w:r>
    </w:p>
    <w:p w14:paraId="7D04E106">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98D68CA">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31.4   财政部门应当在收到投诉后三十个工作日内，对投诉事项作出处理决定。</w:t>
      </w:r>
    </w:p>
    <w:p w14:paraId="4BD3C78E">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31.5   投标人须对质疑或投诉内容的真实性承担责任。</w:t>
      </w:r>
    </w:p>
    <w:p w14:paraId="57433563">
      <w:pPr>
        <w:widowControl/>
        <w:tabs>
          <w:tab w:val="left" w:pos="753"/>
        </w:tabs>
        <w:adjustRightInd w:val="0"/>
        <w:snapToGrid w:val="0"/>
        <w:spacing w:line="360" w:lineRule="auto"/>
        <w:ind w:left="751" w:leftChars="1" w:hanging="749" w:hangingChars="357"/>
        <w:rPr>
          <w:rFonts w:ascii="宋体" w:hAnsi="宋体"/>
          <w:color w:val="auto"/>
          <w:szCs w:val="21"/>
          <w:highlight w:val="none"/>
        </w:rPr>
      </w:pPr>
      <w:r>
        <w:rPr>
          <w:rFonts w:hint="eastAsia" w:ascii="宋体" w:hAnsi="宋体"/>
          <w:color w:val="auto"/>
          <w:szCs w:val="21"/>
          <w:highlight w:val="none"/>
        </w:rPr>
        <w:t>31.6   质疑函应当署名。质疑投标人为自然人的，应当由本人签字；质疑投标人为法人或其他组织的，应由法定代表人（负责人）或者主要负责人签字并盖公章。</w:t>
      </w:r>
    </w:p>
    <w:p w14:paraId="38800CF6">
      <w:pPr>
        <w:pStyle w:val="3"/>
        <w:numPr>
          <w:ilvl w:val="0"/>
          <w:numId w:val="0"/>
        </w:numPr>
        <w:rPr>
          <w:color w:val="auto"/>
          <w:sz w:val="24"/>
          <w:highlight w:val="none"/>
        </w:rPr>
      </w:pPr>
      <w:bookmarkStart w:id="1410" w:name="_Toc374454605"/>
      <w:bookmarkStart w:id="1411" w:name="_Toc366072533"/>
      <w:r>
        <w:rPr>
          <w:color w:val="auto"/>
          <w:sz w:val="24"/>
          <w:highlight w:val="none"/>
        </w:rPr>
        <w:br w:type="page"/>
      </w:r>
      <w:bookmarkStart w:id="1412" w:name="_Toc30070"/>
      <w:r>
        <w:rPr>
          <w:rFonts w:hint="eastAsia"/>
          <w:color w:val="auto"/>
          <w:sz w:val="24"/>
          <w:highlight w:val="none"/>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46BDF1C7">
      <w:pPr>
        <w:pStyle w:val="5"/>
        <w:numPr>
          <w:ilvl w:val="4"/>
          <w:numId w:val="23"/>
        </w:numPr>
        <w:tabs>
          <w:tab w:val="left" w:pos="720"/>
        </w:tabs>
        <w:spacing w:before="240" w:after="120"/>
        <w:ind w:left="2432" w:hanging="2432"/>
        <w:rPr>
          <w:color w:val="auto"/>
          <w:highlight w:val="none"/>
        </w:rPr>
      </w:pPr>
      <w:bookmarkStart w:id="1413" w:name="_Toc345513907"/>
      <w:bookmarkStart w:id="1414" w:name="_Toc339362306"/>
      <w:bookmarkStart w:id="1415" w:name="_Toc480020276"/>
      <w:bookmarkStart w:id="1416" w:name="_Toc341348344"/>
      <w:bookmarkStart w:id="1417" w:name="_Toc339020021"/>
      <w:bookmarkStart w:id="1418" w:name="_Toc349143595"/>
      <w:bookmarkStart w:id="1419" w:name="_Toc337632364"/>
      <w:bookmarkStart w:id="1420" w:name="_Toc468606048"/>
      <w:bookmarkStart w:id="1421" w:name="_Toc339441093"/>
      <w:bookmarkStart w:id="1422" w:name="_Toc467236759"/>
      <w:bookmarkStart w:id="1423" w:name="_Toc330459991"/>
      <w:bookmarkStart w:id="1424" w:name="_Toc339020101"/>
      <w:bookmarkStart w:id="1425" w:name="_Toc342296766"/>
      <w:bookmarkStart w:id="1426" w:name="_Toc333237794"/>
      <w:bookmarkStart w:id="1427" w:name="_Toc365985184"/>
      <w:bookmarkStart w:id="1428" w:name="_Toc339019895"/>
      <w:bookmarkStart w:id="1429" w:name="_Toc500861016"/>
      <w:bookmarkStart w:id="1430" w:name="_Toc333935352"/>
      <w:bookmarkStart w:id="1431" w:name="_Toc336681941"/>
      <w:bookmarkStart w:id="1432" w:name="_Toc468157555"/>
      <w:bookmarkStart w:id="1433" w:name="_Toc479991601"/>
      <w:bookmarkStart w:id="1434" w:name="_Toc331512904"/>
      <w:bookmarkStart w:id="1435" w:name="_Toc332270352"/>
      <w:bookmarkStart w:id="1436" w:name="_Toc331684044"/>
      <w:bookmarkStart w:id="1437" w:name="_Toc349127632"/>
      <w:bookmarkStart w:id="1438" w:name="_Toc350438755"/>
      <w:bookmarkStart w:id="1439" w:name="_Toc350756456"/>
      <w:bookmarkStart w:id="1440" w:name="_Toc333935693"/>
      <w:bookmarkStart w:id="1441" w:name="_Toc333237683"/>
      <w:bookmarkStart w:id="1442" w:name="_Toc480010727"/>
      <w:bookmarkStart w:id="1443" w:name="_Toc332206714"/>
      <w:bookmarkStart w:id="1444" w:name="_Toc333238639"/>
      <w:bookmarkStart w:id="1445" w:name="_Toc342060380"/>
      <w:bookmarkStart w:id="1446" w:name="_Toc366072534"/>
      <w:bookmarkStart w:id="1447" w:name="_Toc467987842"/>
      <w:bookmarkStart w:id="1448" w:name="_Toc336681586"/>
      <w:bookmarkStart w:id="1449" w:name="_Toc374454606"/>
      <w:bookmarkStart w:id="1450" w:name="_Toc491658670"/>
      <w:bookmarkStart w:id="1451" w:name="_Toc340507448"/>
      <w:bookmarkStart w:id="1452" w:name="_Toc1395"/>
      <w:bookmarkStart w:id="1453" w:name="_Toc340672875"/>
      <w:bookmarkStart w:id="1454" w:name="_Toc480021072"/>
      <w:bookmarkStart w:id="1455" w:name="_Toc340677076"/>
      <w:bookmarkStart w:id="1456" w:name="_Toc339020239"/>
      <w:bookmarkStart w:id="1457" w:name="_Toc365967078"/>
      <w:bookmarkStart w:id="1458" w:name="_Toc458262633"/>
      <w:bookmarkStart w:id="1459" w:name="_Toc454701400"/>
      <w:r>
        <w:rPr>
          <w:rFonts w:hint="eastAsia"/>
          <w:color w:val="auto"/>
          <w:highlight w:val="none"/>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14:paraId="13F45CBF">
      <w:pPr>
        <w:tabs>
          <w:tab w:val="left" w:pos="753"/>
        </w:tabs>
        <w:adjustRightInd w:val="0"/>
        <w:snapToGrid w:val="0"/>
        <w:spacing w:line="360" w:lineRule="auto"/>
        <w:ind w:left="752" w:hanging="751" w:hangingChars="358"/>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2</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 xml:space="preserve"> 按第30条规定，采购人将把合同授予此次招标的中标投标人。</w:t>
      </w:r>
    </w:p>
    <w:bookmarkEnd w:id="1458"/>
    <w:bookmarkEnd w:id="1459"/>
    <w:p w14:paraId="5916AE29">
      <w:pPr>
        <w:pStyle w:val="5"/>
        <w:numPr>
          <w:ilvl w:val="4"/>
          <w:numId w:val="23"/>
        </w:numPr>
        <w:tabs>
          <w:tab w:val="left" w:pos="720"/>
        </w:tabs>
        <w:spacing w:before="240" w:after="120"/>
        <w:ind w:left="2432" w:hanging="2432"/>
        <w:rPr>
          <w:color w:val="auto"/>
          <w:highlight w:val="none"/>
        </w:rPr>
      </w:pPr>
      <w:bookmarkStart w:id="1460" w:name="_Toc331512905"/>
      <w:bookmarkStart w:id="1461" w:name="_Toc349127633"/>
      <w:bookmarkStart w:id="1462" w:name="_Toc345513908"/>
      <w:bookmarkStart w:id="1463" w:name="_Toc342060381"/>
      <w:bookmarkStart w:id="1464" w:name="_Toc339362307"/>
      <w:bookmarkStart w:id="1465" w:name="_Toc336681942"/>
      <w:bookmarkStart w:id="1466" w:name="_Toc333935694"/>
      <w:bookmarkStart w:id="1467" w:name="_Toc350438756"/>
      <w:bookmarkStart w:id="1468" w:name="_Toc468606052"/>
      <w:bookmarkStart w:id="1469" w:name="_Toc340672876"/>
      <w:bookmarkStart w:id="1470" w:name="_Toc339020102"/>
      <w:bookmarkStart w:id="1471" w:name="_Toc339020022"/>
      <w:bookmarkStart w:id="1472" w:name="_Toc350756457"/>
      <w:bookmarkStart w:id="1473" w:name="_Toc467236763"/>
      <w:bookmarkStart w:id="1474" w:name="_Toc340507449"/>
      <w:bookmarkStart w:id="1475" w:name="_Toc339019896"/>
      <w:bookmarkStart w:id="1476" w:name="_Toc341348345"/>
      <w:bookmarkStart w:id="1477" w:name="_Toc349143596"/>
      <w:bookmarkStart w:id="1478" w:name="_Toc454701402"/>
      <w:bookmarkStart w:id="1479" w:name="_Toc342296767"/>
      <w:bookmarkStart w:id="1480" w:name="_Toc333237684"/>
      <w:bookmarkStart w:id="1481" w:name="_Toc339020240"/>
      <w:bookmarkStart w:id="1482" w:name="_Toc340677077"/>
      <w:bookmarkStart w:id="1483" w:name="_Toc333237795"/>
      <w:bookmarkStart w:id="1484" w:name="_Toc480020280"/>
      <w:bookmarkStart w:id="1485" w:name="_Toc333935353"/>
      <w:bookmarkStart w:id="1486" w:name="_Toc332270353"/>
      <w:bookmarkStart w:id="1487" w:name="_Toc480021076"/>
      <w:bookmarkStart w:id="1488" w:name="_Toc339441094"/>
      <w:bookmarkStart w:id="1489" w:name="_Toc365967079"/>
      <w:bookmarkStart w:id="1490" w:name="_Toc331684045"/>
      <w:bookmarkStart w:id="1491" w:name="_Toc500861020"/>
      <w:bookmarkStart w:id="1492" w:name="_Toc374454607"/>
      <w:bookmarkStart w:id="1493" w:name="_Toc491658674"/>
      <w:bookmarkStart w:id="1494" w:name="_Toc468157559"/>
      <w:bookmarkStart w:id="1495" w:name="_Toc479991605"/>
      <w:bookmarkStart w:id="1496" w:name="_Toc337632365"/>
      <w:bookmarkStart w:id="1497" w:name="_Toc365985185"/>
      <w:bookmarkStart w:id="1498" w:name="_Toc366072535"/>
      <w:bookmarkStart w:id="1499" w:name="_Toc336681587"/>
      <w:bookmarkStart w:id="1500" w:name="_Toc333238640"/>
      <w:bookmarkStart w:id="1501" w:name="_Toc332206715"/>
      <w:bookmarkStart w:id="1502" w:name="_Toc458262635"/>
      <w:bookmarkStart w:id="1503" w:name="_Toc467987846"/>
      <w:bookmarkStart w:id="1504" w:name="_Toc330459992"/>
      <w:bookmarkStart w:id="1505" w:name="_Toc480010731"/>
      <w:bookmarkStart w:id="1506" w:name="_Toc20835"/>
      <w:r>
        <w:rPr>
          <w:rFonts w:hint="eastAsia"/>
          <w:color w:val="auto"/>
          <w:highlight w:val="none"/>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71219262">
      <w:pPr>
        <w:widowControl/>
        <w:tabs>
          <w:tab w:val="left" w:pos="753"/>
        </w:tabs>
        <w:adjustRightInd w:val="0"/>
        <w:snapToGrid w:val="0"/>
        <w:spacing w:line="360" w:lineRule="auto"/>
        <w:ind w:left="753" w:hanging="753"/>
        <w:rPr>
          <w:rFonts w:ascii="宋体" w:hAnsi="宋体"/>
          <w:bCs/>
          <w:color w:val="auto"/>
          <w:highlight w:val="none"/>
        </w:rPr>
      </w:pPr>
      <w:bookmarkStart w:id="1507" w:name="_Toc367095382"/>
      <w:bookmarkStart w:id="1508" w:name="_Toc383069738"/>
      <w:bookmarkStart w:id="1509" w:name="_Toc377129068"/>
      <w:bookmarkStart w:id="1510" w:name="_Toc373401413"/>
      <w:bookmarkStart w:id="1511" w:name="_Toc366681897"/>
      <w:bookmarkStart w:id="1512" w:name="_Toc370983962"/>
      <w:bookmarkStart w:id="1513" w:name="_Toc374093632"/>
      <w:bookmarkStart w:id="1514" w:name="_Toc379896705"/>
      <w:bookmarkStart w:id="1515" w:name="_Toc378261823"/>
      <w:bookmarkStart w:id="1516" w:name="_Toc369700990"/>
      <w:bookmarkStart w:id="1517" w:name="_Toc374454608"/>
      <w:bookmarkStart w:id="1518" w:name="_Toc372209289"/>
      <w:bookmarkStart w:id="1519" w:name="_Toc366072536"/>
      <w:bookmarkStart w:id="1520" w:name="_Toc370309169"/>
      <w:bookmarkStart w:id="1521" w:name="_Toc332270354"/>
      <w:bookmarkStart w:id="1522" w:name="_Toc339020023"/>
      <w:bookmarkStart w:id="1523" w:name="_Toc333238641"/>
      <w:bookmarkStart w:id="1524" w:name="_Toc345513909"/>
      <w:bookmarkStart w:id="1525" w:name="_Toc349143597"/>
      <w:bookmarkStart w:id="1526" w:name="_Toc340672877"/>
      <w:bookmarkStart w:id="1527" w:name="_Toc337632366"/>
      <w:bookmarkStart w:id="1528" w:name="_Toc341348346"/>
      <w:bookmarkStart w:id="1529" w:name="_Toc330459993"/>
      <w:bookmarkStart w:id="1530" w:name="_Toc349127634"/>
      <w:bookmarkStart w:id="1531" w:name="_Toc333237796"/>
      <w:bookmarkStart w:id="1532" w:name="_Toc339441095"/>
      <w:bookmarkStart w:id="1533" w:name="_Toc339020241"/>
      <w:bookmarkStart w:id="1534" w:name="_Toc331684046"/>
      <w:bookmarkStart w:id="1535" w:name="_Toc333935354"/>
      <w:bookmarkStart w:id="1536" w:name="_Toc365967080"/>
      <w:bookmarkStart w:id="1537" w:name="_Toc336681588"/>
      <w:bookmarkStart w:id="1538" w:name="_Toc350756458"/>
      <w:bookmarkStart w:id="1539" w:name="_Toc342296768"/>
      <w:bookmarkStart w:id="1540" w:name="_Toc336681943"/>
      <w:bookmarkStart w:id="1541" w:name="_Toc340677078"/>
      <w:bookmarkStart w:id="1542" w:name="_Toc339362308"/>
      <w:bookmarkStart w:id="1543" w:name="_Toc332206716"/>
      <w:bookmarkStart w:id="1544" w:name="_Toc350438757"/>
      <w:bookmarkStart w:id="1545" w:name="_Toc339020103"/>
      <w:bookmarkStart w:id="1546" w:name="_Toc333935695"/>
      <w:bookmarkStart w:id="1547" w:name="_Toc365985186"/>
      <w:bookmarkStart w:id="1548" w:name="_Toc333237685"/>
      <w:bookmarkStart w:id="1549" w:name="_Toc331512906"/>
      <w:bookmarkStart w:id="1550" w:name="_Toc340507450"/>
      <w:bookmarkStart w:id="1551" w:name="_Toc339019897"/>
      <w:bookmarkStart w:id="1552" w:name="_Toc342060382"/>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.1</w:t>
      </w:r>
      <w:r>
        <w:rPr>
          <w:rFonts w:hint="eastAsia" w:ascii="宋体" w:hAnsi="宋体"/>
          <w:bCs/>
          <w:color w:val="auto"/>
          <w:highlight w:val="none"/>
        </w:rPr>
        <w:tab/>
      </w:r>
      <w:r>
        <w:rPr>
          <w:rFonts w:hint="eastAsia" w:ascii="宋体" w:hAnsi="宋体"/>
          <w:bCs/>
          <w:color w:val="auto"/>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2C4D1D17">
      <w:pPr>
        <w:widowControl/>
        <w:tabs>
          <w:tab w:val="left" w:pos="753"/>
        </w:tabs>
        <w:adjustRightInd w:val="0"/>
        <w:snapToGrid w:val="0"/>
        <w:spacing w:line="360" w:lineRule="auto"/>
        <w:ind w:left="753" w:hanging="753"/>
        <w:rPr>
          <w:rFonts w:ascii="宋体" w:hAnsi="宋体"/>
          <w:bCs/>
          <w:color w:val="auto"/>
          <w:highlight w:val="none"/>
        </w:rPr>
      </w:pPr>
      <w:r>
        <w:rPr>
          <w:rFonts w:ascii="宋体" w:hAnsi="宋体"/>
          <w:bCs/>
          <w:color w:val="auto"/>
          <w:highlight w:val="none"/>
        </w:rPr>
        <w:t>3</w:t>
      </w:r>
      <w:r>
        <w:rPr>
          <w:rFonts w:hint="eastAsia" w:ascii="宋体" w:hAnsi="宋体"/>
          <w:bCs/>
          <w:color w:val="auto"/>
          <w:highlight w:val="none"/>
        </w:rPr>
        <w:t>3</w:t>
      </w:r>
      <w:r>
        <w:rPr>
          <w:rFonts w:ascii="宋体" w:hAnsi="宋体"/>
          <w:bCs/>
          <w:color w:val="auto"/>
          <w:highlight w:val="none"/>
        </w:rPr>
        <w:t>.2</w:t>
      </w:r>
      <w:r>
        <w:rPr>
          <w:rFonts w:hint="eastAsia" w:ascii="宋体" w:hAnsi="宋体"/>
          <w:bCs/>
          <w:color w:val="auto"/>
          <w:highlight w:val="none"/>
        </w:rPr>
        <w:t xml:space="preserve"> </w:t>
      </w:r>
      <w:r>
        <w:rPr>
          <w:rFonts w:hint="eastAsia" w:ascii="宋体" w:hAnsi="宋体"/>
          <w:bCs/>
          <w:color w:val="auto"/>
          <w:highlight w:val="none"/>
        </w:rPr>
        <w:tab/>
      </w:r>
      <w:r>
        <w:rPr>
          <w:rFonts w:hint="eastAsia" w:ascii="宋体" w:hAnsi="宋体"/>
          <w:bCs/>
          <w:color w:val="auto"/>
          <w:highlight w:val="none"/>
        </w:rPr>
        <w:t>采购人应当自采购合同签订之日起七个工作日内，按照有关规定将采购合同副本报同级人民政府财政部门和代理采购机构备案。</w:t>
      </w:r>
    </w:p>
    <w:p w14:paraId="5E662A4C">
      <w:pPr>
        <w:widowControl/>
        <w:tabs>
          <w:tab w:val="left" w:pos="753"/>
        </w:tabs>
        <w:adjustRightInd w:val="0"/>
        <w:snapToGrid w:val="0"/>
        <w:spacing w:line="360" w:lineRule="auto"/>
        <w:ind w:left="753" w:hanging="753"/>
        <w:rPr>
          <w:rFonts w:ascii="宋体" w:hAnsi="宋体"/>
          <w:bCs/>
          <w:color w:val="auto"/>
          <w:highlight w:val="none"/>
        </w:rPr>
      </w:pPr>
      <w:r>
        <w:rPr>
          <w:rFonts w:hint="eastAsia" w:ascii="宋体" w:hAnsi="宋体" w:cs="Arial"/>
          <w:color w:val="auto"/>
          <w:szCs w:val="21"/>
          <w:highlight w:val="none"/>
        </w:rPr>
        <w:t xml:space="preserve">33.3   </w:t>
      </w:r>
      <w:r>
        <w:rPr>
          <w:rFonts w:ascii="宋体" w:hAnsi="宋体"/>
          <w:bCs/>
          <w:color w:val="auto"/>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auto"/>
          <w:highlight w:val="none"/>
        </w:rPr>
        <w:t>。</w:t>
      </w:r>
    </w:p>
    <w:p w14:paraId="5C43803A">
      <w:pPr>
        <w:widowControl/>
        <w:tabs>
          <w:tab w:val="left" w:pos="753"/>
        </w:tabs>
        <w:adjustRightInd w:val="0"/>
        <w:snapToGrid w:val="0"/>
        <w:spacing w:line="360" w:lineRule="auto"/>
        <w:ind w:left="753" w:hanging="753"/>
        <w:rPr>
          <w:rFonts w:ascii="宋体" w:hAnsi="宋体"/>
          <w:bCs/>
          <w:color w:val="auto"/>
          <w:highlight w:val="none"/>
        </w:rPr>
      </w:pPr>
    </w:p>
    <w:p w14:paraId="5D565022">
      <w:pPr>
        <w:widowControl/>
        <w:tabs>
          <w:tab w:val="left" w:pos="753"/>
        </w:tabs>
        <w:adjustRightInd w:val="0"/>
        <w:snapToGrid w:val="0"/>
        <w:spacing w:line="360" w:lineRule="auto"/>
        <w:ind w:left="753" w:hanging="753"/>
        <w:rPr>
          <w:rFonts w:ascii="宋体" w:hAnsi="宋体"/>
          <w:bCs/>
          <w:color w:val="auto"/>
          <w:highlight w:val="none"/>
        </w:rPr>
      </w:pPr>
    </w:p>
    <w:p w14:paraId="579940E4">
      <w:pPr>
        <w:widowControl/>
        <w:tabs>
          <w:tab w:val="left" w:pos="753"/>
        </w:tabs>
        <w:adjustRightInd w:val="0"/>
        <w:snapToGrid w:val="0"/>
        <w:spacing w:line="360" w:lineRule="auto"/>
        <w:ind w:left="753" w:hanging="753"/>
        <w:rPr>
          <w:rFonts w:ascii="宋体" w:hAnsi="宋体"/>
          <w:bCs/>
          <w:color w:val="auto"/>
          <w:highlight w:val="none"/>
        </w:rPr>
      </w:pPr>
    </w:p>
    <w:p w14:paraId="0F4DF8D1">
      <w:pPr>
        <w:widowControl/>
        <w:tabs>
          <w:tab w:val="left" w:pos="753"/>
        </w:tabs>
        <w:adjustRightInd w:val="0"/>
        <w:snapToGrid w:val="0"/>
        <w:spacing w:line="360" w:lineRule="auto"/>
        <w:ind w:left="753" w:hanging="753"/>
        <w:rPr>
          <w:rFonts w:ascii="宋体" w:hAnsi="宋体"/>
          <w:bCs/>
          <w:color w:val="auto"/>
          <w:highlight w:val="none"/>
        </w:rPr>
      </w:pPr>
    </w:p>
    <w:p w14:paraId="5E6DFE4C">
      <w:pPr>
        <w:widowControl/>
        <w:tabs>
          <w:tab w:val="left" w:pos="753"/>
        </w:tabs>
        <w:adjustRightInd w:val="0"/>
        <w:snapToGrid w:val="0"/>
        <w:spacing w:line="360" w:lineRule="auto"/>
        <w:ind w:left="753" w:hanging="753"/>
        <w:rPr>
          <w:rFonts w:ascii="宋体" w:hAnsi="宋体"/>
          <w:bCs/>
          <w:color w:val="auto"/>
          <w:highlight w:val="none"/>
        </w:rPr>
      </w:pPr>
    </w:p>
    <w:p w14:paraId="254094B6">
      <w:pPr>
        <w:widowControl/>
        <w:tabs>
          <w:tab w:val="left" w:pos="753"/>
        </w:tabs>
        <w:adjustRightInd w:val="0"/>
        <w:snapToGrid w:val="0"/>
        <w:spacing w:line="360" w:lineRule="auto"/>
        <w:ind w:left="753" w:hanging="753"/>
        <w:rPr>
          <w:rFonts w:ascii="宋体" w:hAnsi="宋体"/>
          <w:bCs/>
          <w:color w:val="auto"/>
          <w:highlight w:val="none"/>
        </w:rPr>
      </w:pPr>
    </w:p>
    <w:p w14:paraId="2B1BAB12">
      <w:pPr>
        <w:widowControl/>
        <w:tabs>
          <w:tab w:val="left" w:pos="753"/>
        </w:tabs>
        <w:adjustRightInd w:val="0"/>
        <w:snapToGrid w:val="0"/>
        <w:spacing w:line="360" w:lineRule="auto"/>
        <w:ind w:left="753" w:hanging="753"/>
        <w:rPr>
          <w:rFonts w:ascii="宋体" w:hAnsi="宋体"/>
          <w:bCs/>
          <w:color w:val="auto"/>
          <w:highlight w:val="none"/>
        </w:rPr>
      </w:pPr>
    </w:p>
    <w:p w14:paraId="341CF717">
      <w:pPr>
        <w:widowControl/>
        <w:tabs>
          <w:tab w:val="left" w:pos="753"/>
        </w:tabs>
        <w:adjustRightInd w:val="0"/>
        <w:snapToGrid w:val="0"/>
        <w:spacing w:line="360" w:lineRule="auto"/>
        <w:ind w:left="753" w:hanging="753"/>
        <w:rPr>
          <w:rFonts w:ascii="宋体" w:hAnsi="宋体"/>
          <w:bCs/>
          <w:color w:val="auto"/>
          <w:highlight w:val="none"/>
        </w:rPr>
      </w:pPr>
    </w:p>
    <w:p w14:paraId="4DF391CA">
      <w:pPr>
        <w:widowControl/>
        <w:tabs>
          <w:tab w:val="left" w:pos="753"/>
        </w:tabs>
        <w:adjustRightInd w:val="0"/>
        <w:snapToGrid w:val="0"/>
        <w:spacing w:line="360" w:lineRule="auto"/>
        <w:ind w:left="753" w:hanging="753"/>
        <w:rPr>
          <w:rFonts w:ascii="宋体" w:hAnsi="宋体"/>
          <w:bCs/>
          <w:color w:val="auto"/>
          <w:highlight w:val="none"/>
        </w:rPr>
      </w:pPr>
    </w:p>
    <w:p w14:paraId="5ABF8D40">
      <w:pPr>
        <w:widowControl/>
        <w:tabs>
          <w:tab w:val="left" w:pos="753"/>
        </w:tabs>
        <w:adjustRightInd w:val="0"/>
        <w:snapToGrid w:val="0"/>
        <w:spacing w:line="360" w:lineRule="auto"/>
        <w:ind w:left="753" w:hanging="753"/>
        <w:rPr>
          <w:rFonts w:ascii="宋体" w:hAnsi="宋体"/>
          <w:bCs/>
          <w:color w:val="auto"/>
          <w:highlight w:val="none"/>
        </w:rPr>
      </w:pPr>
    </w:p>
    <w:p w14:paraId="6391BE99">
      <w:pPr>
        <w:widowControl/>
        <w:tabs>
          <w:tab w:val="left" w:pos="753"/>
        </w:tabs>
        <w:adjustRightInd w:val="0"/>
        <w:snapToGrid w:val="0"/>
        <w:spacing w:line="360" w:lineRule="auto"/>
        <w:ind w:left="753" w:hanging="753"/>
        <w:rPr>
          <w:rFonts w:ascii="宋体" w:hAnsi="宋体"/>
          <w:bCs/>
          <w:color w:val="auto"/>
          <w:highlight w:val="none"/>
        </w:rPr>
      </w:pPr>
    </w:p>
    <w:p w14:paraId="6B99EC7F">
      <w:pPr>
        <w:widowControl/>
        <w:tabs>
          <w:tab w:val="left" w:pos="753"/>
        </w:tabs>
        <w:adjustRightInd w:val="0"/>
        <w:snapToGrid w:val="0"/>
        <w:spacing w:line="360" w:lineRule="auto"/>
        <w:ind w:left="753" w:hanging="753"/>
        <w:rPr>
          <w:rFonts w:ascii="宋体" w:hAnsi="宋体"/>
          <w:bCs/>
          <w:color w:val="auto"/>
          <w:highlight w:val="none"/>
        </w:rPr>
      </w:pPr>
    </w:p>
    <w:p w14:paraId="1DB53226">
      <w:pPr>
        <w:widowControl/>
        <w:tabs>
          <w:tab w:val="left" w:pos="753"/>
        </w:tabs>
        <w:adjustRightInd w:val="0"/>
        <w:snapToGrid w:val="0"/>
        <w:spacing w:line="360" w:lineRule="auto"/>
        <w:ind w:left="753" w:hanging="753"/>
        <w:rPr>
          <w:rFonts w:ascii="宋体" w:hAnsi="宋体"/>
          <w:bCs/>
          <w:color w:val="auto"/>
          <w:highlight w:val="none"/>
        </w:rPr>
      </w:pPr>
    </w:p>
    <w:p w14:paraId="6194636F">
      <w:pPr>
        <w:widowControl/>
        <w:tabs>
          <w:tab w:val="left" w:pos="753"/>
        </w:tabs>
        <w:adjustRightInd w:val="0"/>
        <w:snapToGrid w:val="0"/>
        <w:spacing w:line="360" w:lineRule="auto"/>
        <w:ind w:left="753" w:hanging="753"/>
        <w:rPr>
          <w:rFonts w:ascii="宋体" w:hAnsi="宋体"/>
          <w:bCs/>
          <w:color w:val="auto"/>
          <w:highlight w:val="none"/>
        </w:rPr>
      </w:pPr>
    </w:p>
    <w:p w14:paraId="3E4B77EE">
      <w:pPr>
        <w:widowControl/>
        <w:tabs>
          <w:tab w:val="left" w:pos="753"/>
        </w:tabs>
        <w:adjustRightInd w:val="0"/>
        <w:snapToGrid w:val="0"/>
        <w:spacing w:line="360" w:lineRule="auto"/>
        <w:ind w:left="753" w:hanging="753"/>
        <w:rPr>
          <w:rFonts w:ascii="宋体" w:hAnsi="宋体"/>
          <w:bCs/>
          <w:color w:val="auto"/>
          <w:highlight w:val="none"/>
        </w:rPr>
      </w:pPr>
    </w:p>
    <w:p w14:paraId="31931B4F">
      <w:pPr>
        <w:widowControl/>
        <w:tabs>
          <w:tab w:val="left" w:pos="753"/>
        </w:tabs>
        <w:adjustRightInd w:val="0"/>
        <w:snapToGrid w:val="0"/>
        <w:spacing w:line="360" w:lineRule="auto"/>
        <w:ind w:left="753" w:hanging="753"/>
        <w:rPr>
          <w:rFonts w:ascii="宋体" w:hAnsi="宋体"/>
          <w:bCs/>
          <w:color w:val="auto"/>
          <w:highlight w:val="none"/>
        </w:rPr>
      </w:pPr>
    </w:p>
    <w:p w14:paraId="5ABBE92F">
      <w:pPr>
        <w:widowControl/>
        <w:tabs>
          <w:tab w:val="left" w:pos="753"/>
        </w:tabs>
        <w:adjustRightInd w:val="0"/>
        <w:snapToGrid w:val="0"/>
        <w:spacing w:line="360" w:lineRule="auto"/>
        <w:ind w:left="753" w:hanging="753"/>
        <w:rPr>
          <w:rFonts w:ascii="宋体" w:hAnsi="宋体"/>
          <w:bCs/>
          <w:color w:val="auto"/>
          <w:highlight w:val="none"/>
        </w:rPr>
      </w:pPr>
    </w:p>
    <w:p w14:paraId="33D3106D">
      <w:pPr>
        <w:widowControl/>
        <w:tabs>
          <w:tab w:val="left" w:pos="753"/>
        </w:tabs>
        <w:adjustRightInd w:val="0"/>
        <w:snapToGrid w:val="0"/>
        <w:spacing w:line="360" w:lineRule="auto"/>
        <w:ind w:left="753" w:hanging="753"/>
        <w:rPr>
          <w:rFonts w:ascii="宋体" w:hAnsi="宋体"/>
          <w:bCs/>
          <w:color w:val="auto"/>
          <w:highlight w:val="none"/>
        </w:rPr>
      </w:pPr>
    </w:p>
    <w:p w14:paraId="0B099C1E">
      <w:pPr>
        <w:widowControl/>
        <w:tabs>
          <w:tab w:val="left" w:pos="753"/>
        </w:tabs>
        <w:adjustRightInd w:val="0"/>
        <w:snapToGrid w:val="0"/>
        <w:spacing w:line="360" w:lineRule="auto"/>
        <w:ind w:left="753" w:hanging="753"/>
        <w:rPr>
          <w:rFonts w:ascii="宋体" w:hAnsi="宋体"/>
          <w:bCs/>
          <w:color w:val="auto"/>
          <w:highlight w:val="none"/>
        </w:rPr>
      </w:pPr>
    </w:p>
    <w:p w14:paraId="3A27F9A3">
      <w:pPr>
        <w:widowControl/>
        <w:tabs>
          <w:tab w:val="left" w:pos="753"/>
        </w:tabs>
        <w:adjustRightInd w:val="0"/>
        <w:snapToGrid w:val="0"/>
        <w:spacing w:line="360" w:lineRule="auto"/>
        <w:ind w:left="753" w:hanging="753"/>
        <w:rPr>
          <w:rFonts w:ascii="宋体" w:hAnsi="宋体"/>
          <w:bCs/>
          <w:color w:val="auto"/>
          <w:highlight w:val="none"/>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14:paraId="1EA55075">
      <w:pPr>
        <w:pStyle w:val="3"/>
        <w:numPr>
          <w:ilvl w:val="0"/>
          <w:numId w:val="0"/>
        </w:numPr>
        <w:rPr>
          <w:color w:val="auto"/>
          <w:sz w:val="24"/>
          <w:highlight w:val="none"/>
        </w:rPr>
      </w:pPr>
      <w:bookmarkStart w:id="1553" w:name="_Toc430771059"/>
      <w:bookmarkStart w:id="1554" w:name="_Toc432682726"/>
      <w:bookmarkStart w:id="1555" w:name="_Toc21324"/>
      <w:bookmarkStart w:id="1556" w:name="_Toc467987849"/>
      <w:bookmarkStart w:id="1557" w:name="_Toc480020283"/>
      <w:bookmarkStart w:id="1558" w:name="_Toc467236766"/>
      <w:bookmarkStart w:id="1559" w:name="_Toc480010734"/>
      <w:bookmarkStart w:id="1560" w:name="_Toc468157562"/>
      <w:bookmarkStart w:id="1561" w:name="_Toc468606055"/>
      <w:bookmarkStart w:id="1562" w:name="_Toc480021079"/>
      <w:bookmarkStart w:id="1563" w:name="_Toc500861024"/>
      <w:bookmarkStart w:id="1564" w:name="_Toc491658677"/>
      <w:bookmarkStart w:id="1565" w:name="_Toc479991608"/>
      <w:r>
        <w:rPr>
          <w:color w:val="auto"/>
          <w:sz w:val="24"/>
          <w:highlight w:val="none"/>
        </w:rPr>
        <w:t>G</w:t>
      </w:r>
      <w:r>
        <w:rPr>
          <w:rFonts w:hint="eastAsia"/>
          <w:color w:val="auto"/>
          <w:sz w:val="24"/>
          <w:highlight w:val="none"/>
        </w:rPr>
        <w:t>、政府采购政策</w:t>
      </w:r>
      <w:bookmarkEnd w:id="1553"/>
      <w:bookmarkEnd w:id="1554"/>
      <w:bookmarkEnd w:id="1555"/>
    </w:p>
    <w:p w14:paraId="1E7D9CB3">
      <w:pPr>
        <w:spacing w:line="360" w:lineRule="auto"/>
        <w:ind w:left="735" w:hanging="735" w:hangingChars="350"/>
        <w:rPr>
          <w:rFonts w:hint="eastAsia" w:ascii="宋体" w:hAnsi="宋体" w:eastAsia="宋体" w:cs="宋体"/>
          <w:color w:val="auto"/>
          <w:highlight w:val="none"/>
        </w:rPr>
      </w:pPr>
      <w:bookmarkStart w:id="1566" w:name="_Toc430771060"/>
      <w:bookmarkStart w:id="1567" w:name="_Toc430185803"/>
      <w:r>
        <w:rPr>
          <w:rFonts w:hint="eastAsia" w:ascii="宋体" w:hAnsi="宋体" w:eastAsia="宋体" w:cs="宋体"/>
          <w:color w:val="auto"/>
          <w:highlight w:val="none"/>
        </w:rPr>
        <w:t>3</w:t>
      </w:r>
      <w:r>
        <w:rPr>
          <w:rFonts w:hint="eastAsia" w:ascii="宋体" w:hAnsi="宋体" w:cs="宋体"/>
          <w:color w:val="auto"/>
          <w:highlight w:val="none"/>
          <w:lang w:val="en-US" w:eastAsia="zh-CN"/>
        </w:rPr>
        <w:t>4</w:t>
      </w:r>
      <w:r>
        <w:rPr>
          <w:rFonts w:hint="eastAsia" w:ascii="宋体" w:hAnsi="宋体" w:eastAsia="宋体" w:cs="宋体"/>
          <w:color w:val="auto"/>
          <w:highlight w:val="none"/>
        </w:rPr>
        <w:t xml:space="preserve">     </w:t>
      </w:r>
      <w:bookmarkStart w:id="1568"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1566"/>
      <w:bookmarkEnd w:id="1567"/>
      <w:bookmarkEnd w:id="1568"/>
    </w:p>
    <w:p w14:paraId="61BD0489">
      <w:pPr>
        <w:spacing w:line="360" w:lineRule="auto"/>
        <w:ind w:left="735" w:hanging="735" w:hangingChars="350"/>
        <w:rPr>
          <w:rFonts w:hint="eastAsia" w:ascii="宋体" w:hAnsi="宋体" w:eastAsia="宋体" w:cs="宋体"/>
          <w:color w:val="auto"/>
          <w:highlight w:val="none"/>
        </w:rPr>
      </w:pPr>
      <w:bookmarkStart w:id="1569" w:name="_Toc430185804"/>
      <w:bookmarkStart w:id="1570" w:name="_Toc430771061"/>
      <w:r>
        <w:rPr>
          <w:rFonts w:hint="eastAsia" w:ascii="宋体" w:hAnsi="宋体" w:eastAsia="宋体" w:cs="宋体"/>
          <w:color w:val="auto"/>
          <w:highlight w:val="none"/>
        </w:rPr>
        <w:t>3</w:t>
      </w:r>
      <w:r>
        <w:rPr>
          <w:rFonts w:hint="eastAsia" w:ascii="宋体" w:hAnsi="宋体" w:cs="宋体"/>
          <w:color w:val="auto"/>
          <w:highlight w:val="none"/>
          <w:lang w:val="en-US" w:eastAsia="zh-CN"/>
        </w:rPr>
        <w:t>5</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14:paraId="035D9EA4">
      <w:pPr>
        <w:spacing w:line="360" w:lineRule="auto"/>
        <w:ind w:left="735" w:hanging="735" w:hangingChars="350"/>
        <w:rPr>
          <w:rFonts w:hint="eastAsia" w:ascii="宋体" w:hAnsi="宋体" w:eastAsia="宋体" w:cs="宋体"/>
          <w:color w:val="auto"/>
          <w:highlight w:val="none"/>
        </w:rPr>
      </w:pPr>
      <w:bookmarkStart w:id="1571" w:name="_Toc430771062"/>
      <w:bookmarkStart w:id="1572" w:name="_Toc430185805"/>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1571"/>
      <w:bookmarkEnd w:id="1572"/>
    </w:p>
    <w:p w14:paraId="58E141EE">
      <w:pPr>
        <w:spacing w:line="360" w:lineRule="auto"/>
        <w:ind w:left="735" w:hanging="735" w:hangingChars="350"/>
        <w:rPr>
          <w:rFonts w:hint="eastAsia" w:ascii="宋体" w:hAnsi="宋体" w:eastAsia="宋体" w:cs="宋体"/>
          <w:color w:val="auto"/>
          <w:highlight w:val="none"/>
        </w:rPr>
      </w:pPr>
      <w:bookmarkStart w:id="1573" w:name="_Toc430771063"/>
      <w:bookmarkStart w:id="1574" w:name="_Toc430185806"/>
      <w:r>
        <w:rPr>
          <w:rFonts w:hint="eastAsia" w:ascii="宋体" w:hAnsi="宋体" w:eastAsia="宋体" w:cs="宋体"/>
          <w:color w:val="auto"/>
          <w:highlight w:val="none"/>
        </w:rPr>
        <w:t>3</w:t>
      </w:r>
      <w:r>
        <w:rPr>
          <w:rFonts w:hint="eastAsia" w:ascii="宋体" w:hAnsi="宋体" w:cs="宋体"/>
          <w:color w:val="auto"/>
          <w:highlight w:val="none"/>
          <w:lang w:val="en-US" w:eastAsia="zh-CN"/>
        </w:rPr>
        <w:t>7</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1573"/>
      <w:bookmarkEnd w:id="1574"/>
    </w:p>
    <w:p w14:paraId="459E117C">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C349950">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.2   参加政府采购活动的中小企业投标时需提供《中小企业声明函》。否则不予认可。</w:t>
      </w:r>
    </w:p>
    <w:p w14:paraId="40FA7665">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6298986C">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7</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9633D5B">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7</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14:paraId="5C87E137">
      <w:pPr>
        <w:spacing w:line="360" w:lineRule="auto"/>
        <w:ind w:left="735" w:hanging="735" w:hangingChars="350"/>
        <w:rPr>
          <w:rFonts w:hint="eastAsia" w:ascii="宋体" w:hAnsi="宋体" w:eastAsia="宋体" w:cs="宋体"/>
          <w:bCs/>
          <w:color w:val="auto"/>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A4A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E3EF833">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A5B01C4">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DAAF8B6">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1A3C4957">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14:paraId="5F21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8FDD43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CCF9B8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A0C43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58E34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14:paraId="0105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24E8BE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E8E3DF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0659B3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F7FB96D">
            <w:pPr>
              <w:rPr>
                <w:rFonts w:hint="eastAsia" w:ascii="宋体" w:hAnsi="宋体" w:eastAsia="宋体" w:cs="宋体"/>
                <w:color w:val="auto"/>
                <w:szCs w:val="21"/>
                <w:highlight w:val="none"/>
              </w:rPr>
            </w:pPr>
          </w:p>
        </w:tc>
      </w:tr>
      <w:tr w14:paraId="4E89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8435DD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28324E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36A4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1C7065F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14:paraId="0902A8EB">
      <w:pPr>
        <w:rPr>
          <w:rFonts w:ascii="宋体"/>
          <w:color w:val="auto"/>
          <w:szCs w:val="21"/>
          <w:highlight w:val="none"/>
        </w:rPr>
      </w:pPr>
    </w:p>
    <w:p w14:paraId="1F98CFDF">
      <w:pPr>
        <w:rPr>
          <w:rFonts w:ascii="宋体"/>
          <w:color w:val="auto"/>
          <w:szCs w:val="21"/>
          <w:highlight w:val="none"/>
        </w:rPr>
      </w:pPr>
    </w:p>
    <w:p w14:paraId="1B72E7E8">
      <w:pPr>
        <w:rPr>
          <w:rFonts w:ascii="宋体"/>
          <w:color w:val="auto"/>
          <w:szCs w:val="21"/>
          <w:highlight w:val="none"/>
        </w:rPr>
      </w:pPr>
    </w:p>
    <w:p w14:paraId="35D49789">
      <w:pPr>
        <w:rPr>
          <w:rFonts w:ascii="宋体"/>
          <w:color w:val="auto"/>
          <w:szCs w:val="21"/>
          <w:highlight w:val="none"/>
        </w:rPr>
      </w:pPr>
    </w:p>
    <w:p w14:paraId="24656DFB">
      <w:pPr>
        <w:rPr>
          <w:rFonts w:ascii="宋体"/>
          <w:color w:val="auto"/>
          <w:szCs w:val="21"/>
          <w:highlight w:val="none"/>
        </w:rPr>
      </w:pPr>
    </w:p>
    <w:p w14:paraId="414CB01E">
      <w:pPr>
        <w:rPr>
          <w:rFonts w:ascii="宋体"/>
          <w:color w:val="auto"/>
          <w:szCs w:val="21"/>
          <w:highlight w:val="none"/>
        </w:rPr>
      </w:pPr>
    </w:p>
    <w:p w14:paraId="0187C40F">
      <w:pPr>
        <w:rPr>
          <w:rFonts w:ascii="宋体"/>
          <w:color w:val="auto"/>
          <w:szCs w:val="21"/>
          <w:highlight w:val="none"/>
        </w:rPr>
      </w:pPr>
    </w:p>
    <w:p w14:paraId="12BE5773">
      <w:pPr>
        <w:rPr>
          <w:rFonts w:ascii="宋体"/>
          <w:color w:val="auto"/>
          <w:szCs w:val="21"/>
          <w:highlight w:val="none"/>
        </w:rPr>
      </w:pPr>
    </w:p>
    <w:p w14:paraId="441F18D8">
      <w:pPr>
        <w:rPr>
          <w:rFonts w:ascii="宋体"/>
          <w:color w:val="auto"/>
          <w:szCs w:val="21"/>
          <w:highlight w:val="none"/>
        </w:rPr>
      </w:pPr>
    </w:p>
    <w:p w14:paraId="68B835FF">
      <w:pPr>
        <w:rPr>
          <w:rFonts w:ascii="宋体"/>
          <w:color w:val="auto"/>
          <w:szCs w:val="21"/>
          <w:highlight w:val="none"/>
        </w:rPr>
      </w:pPr>
    </w:p>
    <w:p w14:paraId="66A7D8D1">
      <w:pPr>
        <w:rPr>
          <w:rFonts w:ascii="宋体"/>
          <w:color w:val="auto"/>
          <w:szCs w:val="21"/>
          <w:highlight w:val="none"/>
        </w:rPr>
      </w:pPr>
    </w:p>
    <w:p w14:paraId="61073D12">
      <w:pPr>
        <w:rPr>
          <w:rFonts w:ascii="宋体"/>
          <w:color w:val="auto"/>
          <w:szCs w:val="21"/>
          <w:highlight w:val="none"/>
        </w:rPr>
      </w:pPr>
    </w:p>
    <w:p w14:paraId="070209A1">
      <w:pPr>
        <w:rPr>
          <w:rFonts w:ascii="宋体"/>
          <w:color w:val="auto"/>
          <w:szCs w:val="21"/>
          <w:highlight w:val="none"/>
        </w:rPr>
      </w:pPr>
    </w:p>
    <w:p w14:paraId="15269C27">
      <w:pPr>
        <w:rPr>
          <w:rFonts w:ascii="宋体"/>
          <w:color w:val="auto"/>
          <w:szCs w:val="21"/>
          <w:highlight w:val="none"/>
        </w:rPr>
      </w:pPr>
    </w:p>
    <w:p w14:paraId="0EDDFEBE">
      <w:pPr>
        <w:rPr>
          <w:rFonts w:ascii="宋体"/>
          <w:color w:val="auto"/>
          <w:szCs w:val="21"/>
          <w:highlight w:val="none"/>
        </w:rPr>
      </w:pPr>
    </w:p>
    <w:p w14:paraId="7CC88175">
      <w:pPr>
        <w:rPr>
          <w:rFonts w:ascii="宋体"/>
          <w:color w:val="auto"/>
          <w:szCs w:val="21"/>
          <w:highlight w:val="none"/>
        </w:rPr>
      </w:pPr>
    </w:p>
    <w:p w14:paraId="79C41F88">
      <w:pPr>
        <w:rPr>
          <w:rFonts w:ascii="宋体"/>
          <w:color w:val="auto"/>
          <w:szCs w:val="21"/>
          <w:highlight w:val="none"/>
        </w:rPr>
      </w:pPr>
    </w:p>
    <w:p w14:paraId="5432217B">
      <w:pPr>
        <w:rPr>
          <w:rFonts w:ascii="宋体"/>
          <w:color w:val="auto"/>
          <w:szCs w:val="21"/>
          <w:highlight w:val="none"/>
        </w:rPr>
      </w:pPr>
    </w:p>
    <w:p w14:paraId="333421EF">
      <w:pPr>
        <w:rPr>
          <w:rFonts w:ascii="宋体"/>
          <w:color w:val="auto"/>
          <w:szCs w:val="21"/>
          <w:highlight w:val="none"/>
        </w:rPr>
      </w:pPr>
    </w:p>
    <w:p w14:paraId="106D8C15">
      <w:pPr>
        <w:rPr>
          <w:rFonts w:ascii="宋体"/>
          <w:color w:val="auto"/>
          <w:szCs w:val="21"/>
          <w:highlight w:val="none"/>
        </w:rPr>
      </w:pPr>
    </w:p>
    <w:p w14:paraId="509F075F">
      <w:pPr>
        <w:rPr>
          <w:rFonts w:ascii="宋体"/>
          <w:color w:val="auto"/>
          <w:szCs w:val="21"/>
          <w:highlight w:val="none"/>
        </w:rPr>
      </w:pPr>
    </w:p>
    <w:p w14:paraId="41EBA65B">
      <w:pPr>
        <w:rPr>
          <w:rFonts w:ascii="宋体"/>
          <w:color w:val="auto"/>
          <w:szCs w:val="21"/>
          <w:highlight w:val="none"/>
        </w:rPr>
      </w:pPr>
    </w:p>
    <w:p w14:paraId="573C9C3E">
      <w:pPr>
        <w:rPr>
          <w:rFonts w:ascii="宋体"/>
          <w:color w:val="auto"/>
          <w:szCs w:val="21"/>
          <w:highlight w:val="none"/>
        </w:rPr>
      </w:pPr>
    </w:p>
    <w:p w14:paraId="48AE7E74">
      <w:pPr>
        <w:rPr>
          <w:rFonts w:ascii="宋体"/>
          <w:color w:val="auto"/>
          <w:szCs w:val="21"/>
          <w:highlight w:val="none"/>
        </w:rPr>
      </w:pPr>
    </w:p>
    <w:p w14:paraId="1596D28D">
      <w:pPr>
        <w:pStyle w:val="3"/>
        <w:numPr>
          <w:ilvl w:val="0"/>
          <w:numId w:val="0"/>
        </w:numPr>
        <w:rPr>
          <w:color w:val="auto"/>
          <w:sz w:val="24"/>
          <w:highlight w:val="none"/>
        </w:rPr>
      </w:pPr>
      <w:bookmarkStart w:id="1575" w:name="_Toc20500"/>
      <w:r>
        <w:rPr>
          <w:rFonts w:hint="eastAsia"/>
          <w:color w:val="auto"/>
          <w:sz w:val="24"/>
          <w:highlight w:val="none"/>
        </w:rPr>
        <w:t>H、评标细则</w:t>
      </w:r>
      <w:bookmarkEnd w:id="1575"/>
    </w:p>
    <w:p w14:paraId="70281BC6">
      <w:pPr>
        <w:pStyle w:val="23"/>
        <w:widowControl/>
        <w:tabs>
          <w:tab w:val="left" w:pos="753"/>
        </w:tabs>
        <w:adjustRightInd w:val="0"/>
        <w:snapToGrid w:val="0"/>
        <w:spacing w:line="360" w:lineRule="auto"/>
        <w:ind w:left="752" w:hanging="751" w:hangingChars="358"/>
        <w:rPr>
          <w:rFonts w:hAnsi="宋体"/>
          <w:bCs/>
          <w:color w:val="auto"/>
          <w:highlight w:val="none"/>
        </w:rPr>
      </w:pPr>
      <w:r>
        <w:rPr>
          <w:rFonts w:hint="eastAsia" w:hAnsi="宋体"/>
          <w:bCs/>
          <w:color w:val="auto"/>
          <w:highlight w:val="none"/>
        </w:rPr>
        <w:t>采用计分法（综合评价法）来确定各投标人的排名。其操作程序为：</w:t>
      </w:r>
    </w:p>
    <w:p w14:paraId="7C8BF8A1">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根据招标文件和评标原则，按下表（评价指标和权重表）所列评价指标和各评价指标的权重进行评标。</w:t>
      </w:r>
    </w:p>
    <w:p w14:paraId="248FB47A">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color w:val="auto"/>
          <w:sz w:val="21"/>
          <w:highlight w:val="none"/>
        </w:rPr>
        <w:t>经济价格得分评审办法：以满足招标文件要求且投标报价最低的投标报价为评标基准价，其价格分为满分。</w:t>
      </w:r>
      <w:r>
        <w:rPr>
          <w:rFonts w:hint="eastAsia" w:ascii="宋体" w:hAnsi="宋体" w:eastAsia="宋体"/>
          <w:bCs/>
          <w:color w:val="auto"/>
          <w:sz w:val="21"/>
          <w:highlight w:val="none"/>
        </w:rPr>
        <w:t>经济价格标得分＝(评标基准价/投标报价)×价格指标权重×100。</w:t>
      </w:r>
    </w:p>
    <w:p w14:paraId="6A7082B3">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由评委独立地根据各项指标的评价标准，结合每个投标人的实际情况，分别就投标报价以外的各项指标对每个投标人独立打分。</w:t>
      </w:r>
    </w:p>
    <w:p w14:paraId="46BBCFF0">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技术部分和商务部分得分结果为全部评委评价指标评分的算术平均值。</w:t>
      </w:r>
    </w:p>
    <w:p w14:paraId="248DDAE9">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将所有评价指标所得实际评价分数相加，即为该投标人的综合得分。</w:t>
      </w:r>
    </w:p>
    <w:p w14:paraId="7654C221">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auto"/>
          <w:sz w:val="21"/>
          <w:highlight w:val="none"/>
        </w:rPr>
      </w:pPr>
      <w:r>
        <w:rPr>
          <w:rFonts w:hint="eastAsia" w:ascii="宋体" w:hAnsi="宋体" w:eastAsia="宋体"/>
          <w:bCs/>
          <w:color w:val="auto"/>
          <w:sz w:val="21"/>
          <w:highlight w:val="none"/>
        </w:rPr>
        <w:t>评标委员会将推荐综合得分最高的投标人为该项目的中标候选人。</w:t>
      </w:r>
    </w:p>
    <w:p w14:paraId="4F5E4E22">
      <w:pPr>
        <w:widowControl/>
        <w:tabs>
          <w:tab w:val="left" w:pos="502"/>
        </w:tabs>
        <w:adjustRightInd w:val="0"/>
        <w:snapToGrid w:val="0"/>
        <w:spacing w:line="360" w:lineRule="auto"/>
        <w:ind w:left="105" w:leftChars="50" w:firstLine="209" w:firstLineChars="99"/>
        <w:rPr>
          <w:rFonts w:hint="eastAsia" w:ascii="宋体" w:hAnsi="宋体" w:cs="Tahoma"/>
          <w:b/>
          <w:bCs/>
          <w:color w:val="auto"/>
          <w:highlight w:val="none"/>
          <w:lang w:val="en-US" w:eastAsia="zh-CN"/>
        </w:rPr>
      </w:pPr>
    </w:p>
    <w:p w14:paraId="3D2D5464">
      <w:pPr>
        <w:snapToGrid w:val="0"/>
        <w:spacing w:line="360" w:lineRule="auto"/>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01包组：</w:t>
      </w:r>
      <w:r>
        <w:rPr>
          <w:rFonts w:hint="eastAsia" w:ascii="宋体" w:hAnsi="宋体" w:eastAsia="宋体" w:cs="宋体"/>
          <w:b/>
          <w:bCs w:val="0"/>
          <w:i w:val="0"/>
          <w:iCs w:val="0"/>
          <w:color w:val="auto"/>
          <w:kern w:val="0"/>
          <w:sz w:val="21"/>
          <w:szCs w:val="21"/>
          <w:highlight w:val="none"/>
          <w:u w:val="none"/>
          <w:lang w:val="en-US" w:eastAsia="zh-CN" w:bidi="ar"/>
        </w:rPr>
        <w:t>猪肉、牛肉、羊肉、粉皮类等</w:t>
      </w:r>
      <w:r>
        <w:rPr>
          <w:rFonts w:hint="eastAsia"/>
          <w:b/>
          <w:bCs w:val="0"/>
          <w:color w:val="auto"/>
          <w:highlight w:val="none"/>
          <w:lang w:eastAsia="zh-CN"/>
        </w:rPr>
        <w:t>配送服务</w:t>
      </w:r>
    </w:p>
    <w:p w14:paraId="03695BF0">
      <w:pPr>
        <w:rPr>
          <w:color w:val="auto"/>
          <w:highlight w:val="none"/>
        </w:rPr>
      </w:pPr>
      <w:r>
        <w:rPr>
          <w:rFonts w:hint="eastAsia"/>
          <w:color w:val="auto"/>
          <w:highlight w:val="none"/>
        </w:rPr>
        <w:t>评价指标及权重：</w:t>
      </w:r>
    </w:p>
    <w:p w14:paraId="4D4E3C79">
      <w:pPr>
        <w:rPr>
          <w:color w:val="auto"/>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14:paraId="71ADF14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192BF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B1CAA">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66A3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89F6D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14:paraId="12A9F5F9">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6534B4">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E1BDC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D4F92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8F33F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14:paraId="4C869EB3">
      <w:pPr>
        <w:rPr>
          <w:color w:val="auto"/>
          <w:highlight w:val="none"/>
        </w:rPr>
      </w:pPr>
    </w:p>
    <w:p w14:paraId="52E0023C">
      <w:pPr>
        <w:rPr>
          <w:color w:val="auto"/>
          <w:highlight w:val="none"/>
        </w:rPr>
      </w:pPr>
      <w:r>
        <w:rPr>
          <w:rFonts w:hint="eastAsia"/>
          <w:color w:val="auto"/>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7CC42489">
        <w:tblPrEx>
          <w:tblCellMar>
            <w:top w:w="0" w:type="dxa"/>
            <w:left w:w="0" w:type="dxa"/>
            <w:bottom w:w="0" w:type="dxa"/>
            <w:right w:w="0" w:type="dxa"/>
          </w:tblCellMar>
        </w:tblPrEx>
        <w:trPr>
          <w:cantSplit/>
          <w:trHeight w:val="460" w:hRule="atLeast"/>
          <w:tblHeader/>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64A07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2EBF2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458B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F53A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62EBA1AF">
        <w:tblPrEx>
          <w:tblCellMar>
            <w:top w:w="0" w:type="dxa"/>
            <w:left w:w="0" w:type="dxa"/>
            <w:bottom w:w="0" w:type="dxa"/>
            <w:right w:w="0" w:type="dxa"/>
          </w:tblCellMar>
        </w:tblPrEx>
        <w:trPr>
          <w:cantSplit/>
          <w:trHeight w:val="2114"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4749F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4B06E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BADD3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95597A7">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从配送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方案的全面性，可实施性，配送物流保障性，供应时效响应性等进行对比评价：</w:t>
            </w:r>
          </w:p>
          <w:p w14:paraId="62E9913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方案全面，可实施性强，配送物流有保障，供应时效性高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分；</w:t>
            </w:r>
          </w:p>
          <w:p w14:paraId="4B3F12E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强，配送物流有保障，供应时效性</w:t>
            </w:r>
            <w:r>
              <w:rPr>
                <w:rFonts w:hint="eastAsia" w:ascii="宋体" w:hAnsi="宋体" w:eastAsia="宋体" w:cs="宋体"/>
                <w:color w:val="auto"/>
                <w:sz w:val="21"/>
                <w:szCs w:val="21"/>
                <w:highlight w:val="none"/>
                <w:shd w:val="clear" w:color="auto" w:fill="FFFFFF"/>
                <w:lang w:val="en-US" w:eastAsia="zh-CN"/>
              </w:rPr>
              <w:t>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分；</w:t>
            </w:r>
          </w:p>
          <w:p w14:paraId="60371BF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全面，可实施性不强，配送物流有保障，供应时效性一般</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基本</w:t>
            </w:r>
            <w:r>
              <w:rPr>
                <w:rFonts w:hint="eastAsia" w:ascii="宋体" w:hAnsi="宋体" w:eastAsia="宋体" w:cs="宋体"/>
                <w:color w:val="auto"/>
                <w:sz w:val="21"/>
                <w:szCs w:val="21"/>
                <w:highlight w:val="none"/>
                <w:lang w:val="en-US" w:eastAsia="zh-CN"/>
              </w:rPr>
              <w:t>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分；</w:t>
            </w:r>
          </w:p>
          <w:p w14:paraId="15D5D35A">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方案不够全面，可实施性不强，配送物流有保障，供应时效性</w:t>
            </w:r>
            <w:r>
              <w:rPr>
                <w:rFonts w:hint="eastAsia" w:ascii="宋体" w:hAnsi="宋体" w:eastAsia="宋体" w:cs="宋体"/>
                <w:color w:val="auto"/>
                <w:sz w:val="21"/>
                <w:szCs w:val="21"/>
                <w:highlight w:val="none"/>
                <w:shd w:val="clear" w:color="auto" w:fill="FFFFFF"/>
                <w:lang w:val="en-US" w:eastAsia="zh-CN"/>
              </w:rPr>
              <w:t>不符合要求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不能满足采购需求的，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分；</w:t>
            </w:r>
          </w:p>
          <w:p w14:paraId="72ABEBE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46E797A1">
        <w:tblPrEx>
          <w:shd w:val="clear" w:color="auto" w:fill="FFFFFF"/>
          <w:tblCellMar>
            <w:top w:w="0" w:type="dxa"/>
            <w:left w:w="0" w:type="dxa"/>
            <w:bottom w:w="0" w:type="dxa"/>
            <w:right w:w="0" w:type="dxa"/>
          </w:tblCellMar>
        </w:tblPrEx>
        <w:trPr>
          <w:cantSplit/>
          <w:trHeight w:val="2156"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8FD0A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A4EA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F908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A65535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对投标文件中的质量保障及食品安全措施进行评分（根据投标货物的来源、加工、包装、保存、运输各环节的质量保证及食品安全措施进行评价）：</w:t>
            </w:r>
          </w:p>
          <w:p w14:paraId="650620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方案合理完整，内容有针对性，</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4454C85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方案较合理、较完整，内容有一定的针对性，</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4AF3F179">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04D3ECF">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方案简单，内容没有针对性，</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7147E69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2E269F3A">
        <w:tblPrEx>
          <w:tblCellMar>
            <w:top w:w="0" w:type="dxa"/>
            <w:left w:w="0" w:type="dxa"/>
            <w:bottom w:w="0" w:type="dxa"/>
            <w:right w:w="0" w:type="dxa"/>
          </w:tblCellMar>
        </w:tblPrEx>
        <w:trPr>
          <w:cantSplit/>
          <w:trHeight w:val="1722" w:hRule="atLeast"/>
          <w:jc w:val="cent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6234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E336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C00D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33587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14:paraId="36CF01E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kern w:val="2"/>
                <w:sz w:val="21"/>
                <w:szCs w:val="21"/>
                <w:highlight w:val="none"/>
                <w:lang w:val="en-US" w:eastAsia="zh-CN" w:bidi="ar-SA"/>
              </w:rPr>
              <w:t xml:space="preserve">得10分； </w:t>
            </w:r>
          </w:p>
          <w:p w14:paraId="5CEB1A8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 xml:space="preserve">分； </w:t>
            </w:r>
          </w:p>
          <w:p w14:paraId="4D6C86D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3.对产品出现质量问题的退换承诺不具体，可行性低，</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 </w:t>
            </w:r>
          </w:p>
          <w:p w14:paraId="58CA6AA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4.对产品出现质量问题的退换承诺不可行，</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kern w:val="2"/>
                <w:sz w:val="21"/>
                <w:szCs w:val="21"/>
                <w:highlight w:val="none"/>
                <w:lang w:val="en-US" w:eastAsia="zh-CN" w:bidi="ar-SA"/>
              </w:rPr>
              <w:t xml:space="preserve">得1分； </w:t>
            </w:r>
          </w:p>
          <w:p w14:paraId="0716F55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14:paraId="1B9835EB">
        <w:tblPrEx>
          <w:tblCellMar>
            <w:top w:w="0" w:type="dxa"/>
            <w:left w:w="0" w:type="dxa"/>
            <w:bottom w:w="0" w:type="dxa"/>
            <w:right w:w="0" w:type="dxa"/>
          </w:tblCellMar>
        </w:tblPrEx>
        <w:trPr>
          <w:cantSplit/>
          <w:trHeight w:val="419" w:hRule="atLeast"/>
          <w:jc w:val="center"/>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F299B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F9F53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AF258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5CC8A7E8">
      <w:pPr>
        <w:rPr>
          <w:color w:val="auto"/>
          <w:highlight w:val="none"/>
        </w:rPr>
      </w:pPr>
    </w:p>
    <w:p w14:paraId="6C43248B">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072A8635">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A4D1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A63C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05F4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E431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4DC41196">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C58AA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33BB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4184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841ACB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投标人提供</w:t>
            </w:r>
            <w:r>
              <w:rPr>
                <w:rFonts w:hint="eastAsia" w:ascii="宋体" w:hAnsi="宋体" w:eastAsia="宋体" w:cs="宋体"/>
                <w:color w:val="auto"/>
                <w:highlight w:val="none"/>
                <w:lang w:val="en-US" w:eastAsia="zh-CN"/>
              </w:rPr>
              <w:t>近三年</w:t>
            </w:r>
            <w:r>
              <w:rPr>
                <w:rFonts w:hint="eastAsia" w:ascii="宋体" w:hAnsi="宋体" w:eastAsia="宋体" w:cs="宋体"/>
                <w:color w:val="auto"/>
                <w:highlight w:val="none"/>
              </w:rPr>
              <w:t>（以合同签订时间为准）的同类项目业绩，每个得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 xml:space="preserve">分； </w:t>
            </w:r>
          </w:p>
          <w:p w14:paraId="41FD6AE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注：提供项目的合同关键页复印件加盖投标人公章，不提供不得分。</w:t>
            </w:r>
          </w:p>
          <w:p w14:paraId="1BB537A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2.提供上述</w:t>
            </w:r>
            <w:r>
              <w:rPr>
                <w:rFonts w:hint="eastAsia" w:ascii="宋体" w:hAnsi="宋体" w:eastAsia="宋体" w:cs="宋体"/>
                <w:color w:val="auto"/>
                <w:highlight w:val="none"/>
              </w:rPr>
              <w:t>同类</w:t>
            </w:r>
            <w:r>
              <w:rPr>
                <w:rFonts w:hint="eastAsia" w:ascii="宋体" w:hAnsi="宋体" w:eastAsia="宋体" w:cs="宋体"/>
                <w:color w:val="auto"/>
                <w:sz w:val="21"/>
                <w:szCs w:val="21"/>
                <w:highlight w:val="none"/>
                <w:lang w:val="en-US" w:eastAsia="zh-CN"/>
              </w:rPr>
              <w:t>项目的</w:t>
            </w:r>
            <w:r>
              <w:rPr>
                <w:rFonts w:hint="eastAsia" w:ascii="宋体" w:hAnsi="宋体" w:eastAsia="宋体" w:cs="宋体"/>
                <w:color w:val="auto"/>
                <w:sz w:val="21"/>
                <w:szCs w:val="21"/>
                <w:highlight w:val="none"/>
              </w:rPr>
              <w:t>服务单位好评（即“满意或好评”等正面评价），每提供一份有效的证明材料，得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highlight w:val="none"/>
              </w:rPr>
              <w:t>最高得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sz w:val="21"/>
                <w:szCs w:val="21"/>
                <w:highlight w:val="none"/>
              </w:rPr>
              <w:t>。</w:t>
            </w:r>
          </w:p>
          <w:p w14:paraId="3F9E10B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4DBDBCD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18A1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F111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B21B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507A550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投标人能提供食品安全责任险保障： </w:t>
            </w:r>
          </w:p>
          <w:p w14:paraId="41BEFC3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万元或以上，得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4D19C43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佰万元（含）-</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万元（不含），得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B1825E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佰万元（不含）以下</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14:paraId="7858933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其他不得分。</w:t>
            </w:r>
          </w:p>
          <w:p w14:paraId="0D49267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注：提供有效保单复印件加盖投标人公章，不提供不得分。</w:t>
            </w:r>
          </w:p>
        </w:tc>
      </w:tr>
      <w:tr w14:paraId="720EAFD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8AEF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6464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拟投入项目团队人员</w:t>
            </w:r>
            <w:r>
              <w:rPr>
                <w:rFonts w:hint="eastAsia" w:ascii="宋体" w:hAnsi="宋体" w:eastAsia="宋体" w:cs="宋体"/>
                <w:color w:val="auto"/>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4B2CE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6644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专门的</w:t>
            </w:r>
            <w:r>
              <w:rPr>
                <w:rFonts w:hint="eastAsia" w:ascii="宋体" w:hAnsi="宋体" w:eastAsia="宋体" w:cs="宋体"/>
                <w:color w:val="auto"/>
                <w:sz w:val="21"/>
                <w:szCs w:val="21"/>
                <w:highlight w:val="none"/>
                <w:lang w:val="en-US" w:eastAsia="zh-CN"/>
              </w:rPr>
              <w:t>食品安全管理人员</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人得5</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25AECB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配备人员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提供广东省食品安全管理人员考试合格证明证书复印件加盖投标人公章</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0B8BE23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12841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909B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BA18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DB790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投标人针对本项目投入的</w:t>
            </w:r>
            <w:r>
              <w:rPr>
                <w:rFonts w:hint="eastAsia" w:ascii="宋体" w:hAnsi="宋体" w:cs="宋体"/>
                <w:color w:val="auto"/>
                <w:sz w:val="21"/>
                <w:szCs w:val="21"/>
                <w:highlight w:val="none"/>
                <w:lang w:val="en-US" w:eastAsia="zh-CN"/>
              </w:rPr>
              <w:t>冷藏</w:t>
            </w:r>
            <w:r>
              <w:rPr>
                <w:rFonts w:hint="eastAsia" w:ascii="宋体" w:hAnsi="宋体" w:eastAsia="宋体" w:cs="宋体"/>
                <w:color w:val="auto"/>
                <w:sz w:val="21"/>
                <w:szCs w:val="21"/>
                <w:highlight w:val="none"/>
              </w:rPr>
              <w:t>配送车辆，每配备1台</w:t>
            </w:r>
            <w:r>
              <w:rPr>
                <w:rFonts w:hint="eastAsia" w:ascii="宋体" w:hAnsi="宋体" w:cs="宋体"/>
                <w:color w:val="auto"/>
                <w:sz w:val="21"/>
                <w:szCs w:val="21"/>
                <w:highlight w:val="none"/>
                <w:lang w:val="en-US" w:eastAsia="zh-CN"/>
              </w:rPr>
              <w:t>冷藏</w:t>
            </w:r>
            <w:r>
              <w:rPr>
                <w:rFonts w:hint="eastAsia" w:ascii="宋体" w:hAnsi="宋体" w:eastAsia="宋体" w:cs="宋体"/>
                <w:color w:val="auto"/>
                <w:sz w:val="21"/>
                <w:szCs w:val="21"/>
                <w:highlight w:val="none"/>
              </w:rPr>
              <w:t>配送车辆的得</w:t>
            </w:r>
            <w:r>
              <w:rPr>
                <w:rFonts w:hint="eastAsia" w:ascii="宋体" w:hAnsi="宋体" w:eastAsia="宋体" w:cs="宋体"/>
                <w:color w:val="auto"/>
                <w:sz w:val="21"/>
                <w:szCs w:val="21"/>
                <w:highlight w:val="none"/>
                <w:lang w:val="en-US" w:eastAsia="zh-CN"/>
              </w:rPr>
              <w:t>3分，本项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A059F4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注：投标人自有</w:t>
            </w:r>
            <w:r>
              <w:rPr>
                <w:rFonts w:hint="eastAsia" w:ascii="宋体" w:hAnsi="宋体" w:eastAsia="宋体" w:cs="宋体"/>
                <w:color w:val="auto"/>
                <w:sz w:val="21"/>
                <w:szCs w:val="21"/>
                <w:highlight w:val="none"/>
                <w:lang w:val="en-US" w:eastAsia="zh-CN"/>
              </w:rPr>
              <w:t>车辆的</w:t>
            </w:r>
            <w:r>
              <w:rPr>
                <w:rFonts w:hint="eastAsia" w:ascii="宋体" w:hAnsi="宋体" w:eastAsia="宋体" w:cs="宋体"/>
                <w:color w:val="auto"/>
                <w:sz w:val="21"/>
                <w:szCs w:val="21"/>
                <w:highlight w:val="none"/>
              </w:rPr>
              <w:t>，需提供购车发票</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w:t>
            </w:r>
            <w:r>
              <w:rPr>
                <w:rFonts w:hint="eastAsia" w:ascii="宋体" w:hAnsi="宋体" w:eastAsia="宋体" w:cs="宋体"/>
                <w:color w:val="auto"/>
                <w:sz w:val="21"/>
                <w:szCs w:val="21"/>
                <w:highlight w:val="none"/>
                <w:lang w:val="en-US" w:eastAsia="zh-CN"/>
              </w:rPr>
              <w:t>投标人租赁车辆的</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以投标人或法定代表人签署的</w:t>
            </w:r>
            <w:r>
              <w:rPr>
                <w:rFonts w:hint="eastAsia" w:ascii="宋体" w:hAnsi="宋体" w:eastAsia="宋体" w:cs="宋体"/>
                <w:color w:val="auto"/>
                <w:sz w:val="21"/>
                <w:szCs w:val="21"/>
                <w:highlight w:val="none"/>
              </w:rPr>
              <w:t>车辆租赁合同</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车辆照片加盖投标人公章。不提供不得分。</w:t>
            </w:r>
          </w:p>
        </w:tc>
      </w:tr>
      <w:tr w14:paraId="19F9202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571CB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359F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AAB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2EDE1F">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冷冻/冷藏库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4BE86A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及冷冻/冷藏库照片并加盖投标人公章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3856909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668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B9A1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4ACF8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52872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配送场地</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36A7BE1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及配送场地照片并加盖投标人公章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206CB5D1">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8770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6D8E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353A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C7884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投标人具</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食品检测室，得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AB2009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注：须提供食品检测室场所</w:t>
            </w:r>
            <w:r>
              <w:rPr>
                <w:rFonts w:hint="eastAsia" w:ascii="宋体" w:hAnsi="宋体" w:eastAsia="宋体" w:cs="宋体"/>
                <w:color w:val="auto"/>
                <w:sz w:val="21"/>
                <w:szCs w:val="21"/>
                <w:highlight w:val="none"/>
                <w:lang w:val="en-US" w:eastAsia="zh-CN"/>
              </w:rPr>
              <w:t>照片</w:t>
            </w:r>
            <w:r>
              <w:rPr>
                <w:rFonts w:hint="eastAsia" w:ascii="宋体" w:hAnsi="宋体" w:eastAsia="宋体" w:cs="宋体"/>
                <w:color w:val="auto"/>
                <w:sz w:val="21"/>
                <w:szCs w:val="21"/>
                <w:highlight w:val="none"/>
              </w:rPr>
              <w:t>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不提供不得分； </w:t>
            </w:r>
          </w:p>
          <w:p w14:paraId="4F70738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投标人具有检测仪器，</w:t>
            </w:r>
            <w:r>
              <w:rPr>
                <w:rFonts w:hint="eastAsia" w:ascii="宋体" w:hAnsi="宋体" w:eastAsia="宋体" w:cs="宋体"/>
                <w:b w:val="0"/>
                <w:bCs w:val="0"/>
                <w:color w:val="auto"/>
                <w:kern w:val="0"/>
                <w:sz w:val="21"/>
                <w:szCs w:val="21"/>
                <w:highlight w:val="none"/>
              </w:rPr>
              <w:t>每台得</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分，最高</w:t>
            </w:r>
            <w:r>
              <w:rPr>
                <w:rFonts w:hint="eastAsia" w:ascii="宋体" w:hAnsi="宋体" w:eastAsia="宋体" w:cs="宋体"/>
                <w:b w:val="0"/>
                <w:bCs w:val="0"/>
                <w:color w:val="auto"/>
                <w:kern w:val="0"/>
                <w:sz w:val="21"/>
                <w:szCs w:val="21"/>
                <w:highlight w:val="none"/>
                <w:lang w:val="en-US" w:eastAsia="zh-CN"/>
              </w:rPr>
              <w:t>得4</w:t>
            </w:r>
            <w:r>
              <w:rPr>
                <w:rFonts w:hint="eastAsia" w:ascii="宋体" w:hAnsi="宋体" w:eastAsia="宋体" w:cs="宋体"/>
                <w:b w:val="0"/>
                <w:bCs w:val="0"/>
                <w:color w:val="auto"/>
                <w:kern w:val="0"/>
                <w:sz w:val="21"/>
                <w:szCs w:val="21"/>
                <w:highlight w:val="none"/>
              </w:rPr>
              <w:t>分</w:t>
            </w:r>
            <w:r>
              <w:rPr>
                <w:rFonts w:hint="eastAsia" w:ascii="宋体" w:hAnsi="宋体" w:eastAsia="宋体" w:cs="宋体"/>
                <w:color w:val="auto"/>
                <w:sz w:val="21"/>
                <w:szCs w:val="21"/>
                <w:highlight w:val="none"/>
                <w:lang w:val="en-US" w:eastAsia="zh-CN"/>
              </w:rPr>
              <w:t>；</w:t>
            </w:r>
          </w:p>
          <w:p w14:paraId="6A85D6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注：提供上述检测仪器的</w:t>
            </w:r>
            <w:r>
              <w:rPr>
                <w:rFonts w:hint="eastAsia" w:ascii="宋体" w:hAnsi="宋体" w:eastAsia="宋体" w:cs="宋体"/>
                <w:color w:val="auto"/>
                <w:sz w:val="21"/>
                <w:szCs w:val="21"/>
                <w:highlight w:val="none"/>
                <w:lang w:val="en-US" w:eastAsia="zh-CN"/>
              </w:rPr>
              <w:t>图片</w:t>
            </w:r>
            <w:r>
              <w:rPr>
                <w:rFonts w:hint="eastAsia" w:ascii="宋体" w:hAnsi="宋体" w:eastAsia="宋体" w:cs="宋体"/>
                <w:color w:val="auto"/>
                <w:sz w:val="21"/>
                <w:szCs w:val="21"/>
                <w:highlight w:val="none"/>
              </w:rPr>
              <w:t>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3F5B7A8B">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78E7E6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8DBD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B246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14:paraId="71763753">
      <w:pPr>
        <w:rPr>
          <w:rFonts w:ascii="宋体"/>
          <w:color w:val="auto"/>
          <w:szCs w:val="21"/>
          <w:highlight w:val="none"/>
        </w:rPr>
      </w:pPr>
      <w:r>
        <w:rPr>
          <w:rFonts w:hint="eastAsia"/>
          <w:color w:val="auto"/>
          <w:highlight w:val="none"/>
        </w:rPr>
        <w:t>注：对照每项评价指标要求，投标文件完全不满足要求的，不得分。</w:t>
      </w:r>
    </w:p>
    <w:p w14:paraId="4705D127">
      <w:pPr>
        <w:widowControl/>
        <w:tabs>
          <w:tab w:val="left" w:pos="502"/>
        </w:tabs>
        <w:adjustRightInd w:val="0"/>
        <w:snapToGrid w:val="0"/>
        <w:spacing w:line="360" w:lineRule="auto"/>
        <w:rPr>
          <w:rFonts w:hint="eastAsia" w:ascii="宋体" w:hAnsi="宋体" w:cs="Tahoma"/>
          <w:b/>
          <w:bCs/>
          <w:color w:val="auto"/>
          <w:highlight w:val="none"/>
          <w:lang w:val="en-US" w:eastAsia="zh-CN"/>
        </w:rPr>
      </w:pPr>
    </w:p>
    <w:p w14:paraId="18775190">
      <w:pPr>
        <w:rPr>
          <w:rFonts w:hint="eastAsia" w:ascii="宋体" w:hAnsi="宋体" w:cs="Tahoma"/>
          <w:b/>
          <w:bCs/>
          <w:color w:val="auto"/>
          <w:highlight w:val="none"/>
          <w:lang w:val="en-US" w:eastAsia="zh-CN"/>
        </w:rPr>
      </w:pPr>
      <w:r>
        <w:rPr>
          <w:rFonts w:hint="eastAsia" w:ascii="宋体" w:hAnsi="宋体" w:cs="Tahoma"/>
          <w:b/>
          <w:bCs/>
          <w:color w:val="auto"/>
          <w:highlight w:val="none"/>
          <w:lang w:val="en-US" w:eastAsia="zh-CN"/>
        </w:rPr>
        <w:br w:type="page"/>
      </w:r>
    </w:p>
    <w:p w14:paraId="6575682F">
      <w:pPr>
        <w:widowControl/>
        <w:tabs>
          <w:tab w:val="left" w:pos="502"/>
        </w:tabs>
        <w:adjustRightInd w:val="0"/>
        <w:snapToGrid w:val="0"/>
        <w:spacing w:line="360" w:lineRule="auto"/>
        <w:rPr>
          <w:rFonts w:hint="default" w:ascii="宋体" w:hAnsi="宋体" w:eastAsia="宋体" w:cs="Tahoma"/>
          <w:b/>
          <w:bCs/>
          <w:color w:val="auto"/>
          <w:highlight w:val="none"/>
          <w:lang w:val="en-US" w:eastAsia="zh-CN"/>
        </w:rPr>
      </w:pPr>
      <w:r>
        <w:rPr>
          <w:rFonts w:hint="eastAsia" w:ascii="宋体" w:hAnsi="宋体" w:cs="Tahoma"/>
          <w:b/>
          <w:bCs/>
          <w:color w:val="auto"/>
          <w:highlight w:val="none"/>
          <w:lang w:val="en-US" w:eastAsia="zh-CN"/>
        </w:rPr>
        <w:t>02包组：菜类、豆制品、瓜果等</w:t>
      </w:r>
      <w:r>
        <w:rPr>
          <w:rFonts w:hint="eastAsia"/>
          <w:b/>
          <w:bCs/>
          <w:color w:val="auto"/>
          <w:highlight w:val="none"/>
          <w:lang w:eastAsia="zh-CN"/>
        </w:rPr>
        <w:t>配送服务</w:t>
      </w:r>
    </w:p>
    <w:p w14:paraId="13707273">
      <w:pPr>
        <w:rPr>
          <w:color w:val="auto"/>
          <w:highlight w:val="none"/>
        </w:rPr>
      </w:pPr>
      <w:r>
        <w:rPr>
          <w:rFonts w:hint="eastAsia"/>
          <w:color w:val="auto"/>
          <w:highlight w:val="none"/>
        </w:rPr>
        <w:t>评价指标及权重：</w:t>
      </w:r>
    </w:p>
    <w:p w14:paraId="6366D385">
      <w:pPr>
        <w:rPr>
          <w:color w:val="auto"/>
          <w:highlight w:val="none"/>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14:paraId="6D7000C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20504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030DD2">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B03F5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93424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14:paraId="5676AAEC">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96967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7E605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065BF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E8744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14:paraId="1B6D2BF1">
      <w:pPr>
        <w:rPr>
          <w:color w:val="auto"/>
          <w:highlight w:val="none"/>
        </w:rPr>
      </w:pPr>
    </w:p>
    <w:p w14:paraId="63B8426E">
      <w:pPr>
        <w:rPr>
          <w:color w:val="auto"/>
          <w:highlight w:val="none"/>
        </w:rPr>
      </w:pPr>
      <w:r>
        <w:rPr>
          <w:rFonts w:hint="eastAsia"/>
          <w:color w:val="auto"/>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1CA8D44B">
        <w:tblPrEx>
          <w:tblCellMar>
            <w:top w:w="0" w:type="dxa"/>
            <w:left w:w="0" w:type="dxa"/>
            <w:bottom w:w="0" w:type="dxa"/>
            <w:right w:w="0" w:type="dxa"/>
          </w:tblCellMar>
        </w:tblPrEx>
        <w:trPr>
          <w:cantSplit/>
          <w:trHeight w:val="460" w:hRule="atLeast"/>
          <w:tblHeader/>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F8E95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AB6E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D4EED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99EFC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184AA560">
        <w:tblPrEx>
          <w:tblCellMar>
            <w:top w:w="0" w:type="dxa"/>
            <w:left w:w="0" w:type="dxa"/>
            <w:bottom w:w="0" w:type="dxa"/>
            <w:right w:w="0" w:type="dxa"/>
          </w:tblCellMar>
        </w:tblPrEx>
        <w:trPr>
          <w:cantSplit/>
          <w:trHeight w:val="2114"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00F39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A2D6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配送服务方案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EB9A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7A7765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从配送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方案的全面性，可实施性，配送物流保障性，供应时效响应性等进行对比评价：</w:t>
            </w:r>
          </w:p>
          <w:p w14:paraId="272D6DCD">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方案全面，可实施性强，配送物流有保障，供应时效性高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分；</w:t>
            </w:r>
          </w:p>
          <w:p w14:paraId="6D57379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强，配送物流有保障，供应时效性</w:t>
            </w:r>
            <w:r>
              <w:rPr>
                <w:rFonts w:hint="eastAsia" w:ascii="宋体" w:hAnsi="宋体" w:eastAsia="宋体" w:cs="宋体"/>
                <w:color w:val="auto"/>
                <w:sz w:val="21"/>
                <w:szCs w:val="21"/>
                <w:highlight w:val="none"/>
                <w:shd w:val="clear" w:color="auto" w:fill="FFFFFF"/>
                <w:lang w:val="en-US" w:eastAsia="zh-CN"/>
              </w:rPr>
              <w:t>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分；</w:t>
            </w:r>
          </w:p>
          <w:p w14:paraId="79467DD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全面，可实施性不强，配送物流有保障，供应时效性一般</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基本</w:t>
            </w:r>
            <w:r>
              <w:rPr>
                <w:rFonts w:hint="eastAsia" w:ascii="宋体" w:hAnsi="宋体" w:eastAsia="宋体" w:cs="宋体"/>
                <w:color w:val="auto"/>
                <w:sz w:val="21"/>
                <w:szCs w:val="21"/>
                <w:highlight w:val="none"/>
                <w:lang w:val="en-US" w:eastAsia="zh-CN"/>
              </w:rPr>
              <w:t>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分；</w:t>
            </w:r>
          </w:p>
          <w:p w14:paraId="0CF4696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方案不够全面，可实施性不强，配送物流有保障，供应时效性</w:t>
            </w:r>
            <w:r>
              <w:rPr>
                <w:rFonts w:hint="eastAsia" w:ascii="宋体" w:hAnsi="宋体" w:eastAsia="宋体" w:cs="宋体"/>
                <w:color w:val="auto"/>
                <w:sz w:val="21"/>
                <w:szCs w:val="21"/>
                <w:highlight w:val="none"/>
                <w:shd w:val="clear" w:color="auto" w:fill="FFFFFF"/>
                <w:lang w:val="en-US" w:eastAsia="zh-CN"/>
              </w:rPr>
              <w:t>不符合要求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不能满足采购需求的，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分；</w:t>
            </w:r>
          </w:p>
          <w:p w14:paraId="768C1FB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12D5C212">
        <w:tblPrEx>
          <w:shd w:val="clear" w:color="auto" w:fill="FFFFFF"/>
          <w:tblCellMar>
            <w:top w:w="0" w:type="dxa"/>
            <w:left w:w="0" w:type="dxa"/>
            <w:bottom w:w="0" w:type="dxa"/>
            <w:right w:w="0" w:type="dxa"/>
          </w:tblCellMar>
        </w:tblPrEx>
        <w:trPr>
          <w:cantSplit/>
          <w:trHeight w:val="2156"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6FA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102C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质量保障及食品安全措施</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EB229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095ADC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对投标文件中的质量保障及食品安全措施进行评分（根据投标货物的来源、加工、包装、保存、运输各环节的质量保证及食品安全措施进行评价）：</w:t>
            </w:r>
          </w:p>
          <w:p w14:paraId="4F9E71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方案合理完整，内容有针对性，</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6F33BA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方案较合理、较完整，内容有一定的针对性，</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1D660E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231CF8B0">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方案简单，内容没有针对性，</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2EF895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2B2A7B27">
        <w:tblPrEx>
          <w:tblCellMar>
            <w:top w:w="0" w:type="dxa"/>
            <w:left w:w="0" w:type="dxa"/>
            <w:bottom w:w="0" w:type="dxa"/>
            <w:right w:w="0" w:type="dxa"/>
          </w:tblCellMar>
        </w:tblPrEx>
        <w:trPr>
          <w:cantSplit/>
          <w:trHeight w:val="1722"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0B271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569C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出现产品质量问题退换货方案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A73D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EF34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14:paraId="33F38B3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kern w:val="2"/>
                <w:sz w:val="21"/>
                <w:szCs w:val="21"/>
                <w:highlight w:val="none"/>
                <w:lang w:val="en-US" w:eastAsia="zh-CN" w:bidi="ar-SA"/>
              </w:rPr>
              <w:t xml:space="preserve">得10分； </w:t>
            </w:r>
          </w:p>
          <w:p w14:paraId="7160B29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 xml:space="preserve">分； </w:t>
            </w:r>
          </w:p>
          <w:p w14:paraId="7751270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3.对产品出现质量问题的退换承诺不具体，可行性低，</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 </w:t>
            </w:r>
          </w:p>
          <w:p w14:paraId="3950F90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4.对产品出现质量问题的退换承诺不可行，</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kern w:val="2"/>
                <w:sz w:val="21"/>
                <w:szCs w:val="21"/>
                <w:highlight w:val="none"/>
                <w:lang w:val="en-US" w:eastAsia="zh-CN" w:bidi="ar-SA"/>
              </w:rPr>
              <w:t xml:space="preserve">得1分； </w:t>
            </w:r>
          </w:p>
          <w:p w14:paraId="7811FF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14:paraId="77178580">
        <w:tblPrEx>
          <w:tblCellMar>
            <w:top w:w="0" w:type="dxa"/>
            <w:left w:w="0" w:type="dxa"/>
            <w:bottom w:w="0" w:type="dxa"/>
            <w:right w:w="0" w:type="dxa"/>
          </w:tblCellMar>
        </w:tblPrEx>
        <w:trPr>
          <w:cantSplit/>
          <w:trHeight w:val="419" w:hRule="atLeast"/>
          <w:jc w:val="center"/>
        </w:trPr>
        <w:tc>
          <w:tcPr>
            <w:tcW w:w="223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51AF9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D52C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388AE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2ABD643E">
      <w:pPr>
        <w:rPr>
          <w:color w:val="auto"/>
          <w:highlight w:val="none"/>
        </w:rPr>
      </w:pPr>
    </w:p>
    <w:p w14:paraId="1089A9AF">
      <w:pPr>
        <w:rPr>
          <w:color w:val="auto"/>
          <w:highlight w:val="none"/>
        </w:rPr>
      </w:pPr>
    </w:p>
    <w:p w14:paraId="723E6BC2">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7D8035EF">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8727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8DB8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C74A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C108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5AE447E8">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A351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04CC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1CFAF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12EE77B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投标人提供</w:t>
            </w:r>
            <w:r>
              <w:rPr>
                <w:rFonts w:hint="eastAsia" w:ascii="宋体" w:hAnsi="宋体" w:eastAsia="宋体" w:cs="宋体"/>
                <w:color w:val="auto"/>
                <w:highlight w:val="none"/>
                <w:lang w:val="en-US" w:eastAsia="zh-CN"/>
              </w:rPr>
              <w:t>近三年</w:t>
            </w:r>
            <w:r>
              <w:rPr>
                <w:rFonts w:hint="eastAsia" w:ascii="宋体" w:hAnsi="宋体" w:eastAsia="宋体" w:cs="宋体"/>
                <w:color w:val="auto"/>
                <w:highlight w:val="none"/>
              </w:rPr>
              <w:t>（以合同签订时间为准）的同类项目业绩，每个得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 xml:space="preserve">分； </w:t>
            </w:r>
          </w:p>
          <w:p w14:paraId="070AEBB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注：提供项目的合同关键页复印件加盖投标人公章，不提供不得分。</w:t>
            </w:r>
          </w:p>
          <w:p w14:paraId="0ACE06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2.提供上述</w:t>
            </w:r>
            <w:r>
              <w:rPr>
                <w:rFonts w:hint="eastAsia" w:ascii="宋体" w:hAnsi="宋体" w:eastAsia="宋体" w:cs="宋体"/>
                <w:color w:val="auto"/>
                <w:highlight w:val="none"/>
              </w:rPr>
              <w:t>同类</w:t>
            </w:r>
            <w:r>
              <w:rPr>
                <w:rFonts w:hint="eastAsia" w:ascii="宋体" w:hAnsi="宋体" w:eastAsia="宋体" w:cs="宋体"/>
                <w:color w:val="auto"/>
                <w:sz w:val="21"/>
                <w:szCs w:val="21"/>
                <w:highlight w:val="none"/>
                <w:lang w:val="en-US" w:eastAsia="zh-CN"/>
              </w:rPr>
              <w:t>项目的</w:t>
            </w:r>
            <w:r>
              <w:rPr>
                <w:rFonts w:hint="eastAsia" w:ascii="宋体" w:hAnsi="宋体" w:eastAsia="宋体" w:cs="宋体"/>
                <w:color w:val="auto"/>
                <w:sz w:val="21"/>
                <w:szCs w:val="21"/>
                <w:highlight w:val="none"/>
              </w:rPr>
              <w:t>服务单位好评（即“满意或好评”等正面评价），每提供一份有效的证明材料，得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highlight w:val="none"/>
              </w:rPr>
              <w:t>最高得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sz w:val="21"/>
                <w:szCs w:val="21"/>
                <w:highlight w:val="none"/>
              </w:rPr>
              <w:t>。</w:t>
            </w:r>
          </w:p>
          <w:p w14:paraId="2E3BB97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0924CE0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2087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AAB0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42D8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4FF1121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投标人能提供食品安全责任险保障： </w:t>
            </w:r>
          </w:p>
          <w:p w14:paraId="27D0BE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万元或以上，得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6EB9850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佰万元（含）-</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万元（不含），得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13086E6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佰万元（不含）以下</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14:paraId="7F8FFF2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其他不得分。</w:t>
            </w:r>
          </w:p>
          <w:p w14:paraId="74F34AC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注：提供有效保单复印件加盖投标人公章，不提供不得分。</w:t>
            </w:r>
          </w:p>
        </w:tc>
      </w:tr>
      <w:tr w14:paraId="498F5B7B">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1221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8715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拟投入项目团队人员</w:t>
            </w:r>
            <w:r>
              <w:rPr>
                <w:rFonts w:hint="eastAsia" w:ascii="宋体" w:hAnsi="宋体" w:eastAsia="宋体" w:cs="宋体"/>
                <w:color w:val="auto"/>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E293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021A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专门的</w:t>
            </w:r>
            <w:r>
              <w:rPr>
                <w:rFonts w:hint="eastAsia" w:ascii="宋体" w:hAnsi="宋体" w:eastAsia="宋体" w:cs="宋体"/>
                <w:color w:val="auto"/>
                <w:sz w:val="21"/>
                <w:szCs w:val="21"/>
                <w:highlight w:val="none"/>
                <w:lang w:val="en-US" w:eastAsia="zh-CN"/>
              </w:rPr>
              <w:t>食品安全管理人员</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人得5</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61629E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配备人员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提供广东省食品安全管理人员考试合格证明证书复印件加盖投标人公章</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51F60385">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C3F4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5A61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FB9F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B883C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投标人针对本项目投入的配送车辆，每配备1台配送车辆的得</w:t>
            </w:r>
            <w:r>
              <w:rPr>
                <w:rFonts w:hint="eastAsia" w:ascii="宋体" w:hAnsi="宋体" w:eastAsia="宋体" w:cs="宋体"/>
                <w:color w:val="auto"/>
                <w:sz w:val="21"/>
                <w:szCs w:val="21"/>
                <w:highlight w:val="none"/>
                <w:lang w:val="en-US" w:eastAsia="zh-CN"/>
              </w:rPr>
              <w:t>3分，本项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319810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注：投标人自有</w:t>
            </w:r>
            <w:r>
              <w:rPr>
                <w:rFonts w:hint="eastAsia" w:ascii="宋体" w:hAnsi="宋体" w:eastAsia="宋体" w:cs="宋体"/>
                <w:color w:val="auto"/>
                <w:sz w:val="21"/>
                <w:szCs w:val="21"/>
                <w:highlight w:val="none"/>
                <w:lang w:val="en-US" w:eastAsia="zh-CN"/>
              </w:rPr>
              <w:t>车辆的</w:t>
            </w:r>
            <w:r>
              <w:rPr>
                <w:rFonts w:hint="eastAsia" w:ascii="宋体" w:hAnsi="宋体" w:eastAsia="宋体" w:cs="宋体"/>
                <w:color w:val="auto"/>
                <w:sz w:val="21"/>
                <w:szCs w:val="21"/>
                <w:highlight w:val="none"/>
              </w:rPr>
              <w:t>，需提供购车发票</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w:t>
            </w:r>
            <w:r>
              <w:rPr>
                <w:rFonts w:hint="eastAsia" w:ascii="宋体" w:hAnsi="宋体" w:eastAsia="宋体" w:cs="宋体"/>
                <w:color w:val="auto"/>
                <w:sz w:val="21"/>
                <w:szCs w:val="21"/>
                <w:highlight w:val="none"/>
                <w:lang w:val="en-US" w:eastAsia="zh-CN"/>
              </w:rPr>
              <w:t>投标人租赁车辆的</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以投标人或法定代表人签署的</w:t>
            </w:r>
            <w:r>
              <w:rPr>
                <w:rFonts w:hint="eastAsia" w:ascii="宋体" w:hAnsi="宋体" w:eastAsia="宋体" w:cs="宋体"/>
                <w:color w:val="auto"/>
                <w:sz w:val="21"/>
                <w:szCs w:val="21"/>
                <w:highlight w:val="none"/>
              </w:rPr>
              <w:t>车辆租赁合同</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车辆照片加盖投标人公章。不提供不得分。</w:t>
            </w:r>
          </w:p>
        </w:tc>
      </w:tr>
      <w:tr w14:paraId="14AEFFA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C0E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011D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1D9B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93F1">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冷冻/冷藏库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138B514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及冷冻/冷藏库照片并加盖投标人公章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438D2EE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5430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96E81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2524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8CD46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配送场地</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C2EF6F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及配送场地照片并加盖投标人公章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09AB3CA1">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07A5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0664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5BC8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DACCF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投标人具</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食品检测室，得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F0B301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注：须提供食品检测室场所</w:t>
            </w:r>
            <w:r>
              <w:rPr>
                <w:rFonts w:hint="eastAsia" w:ascii="宋体" w:hAnsi="宋体" w:eastAsia="宋体" w:cs="宋体"/>
                <w:color w:val="auto"/>
                <w:sz w:val="21"/>
                <w:szCs w:val="21"/>
                <w:highlight w:val="none"/>
                <w:lang w:val="en-US" w:eastAsia="zh-CN"/>
              </w:rPr>
              <w:t>照片</w:t>
            </w:r>
            <w:r>
              <w:rPr>
                <w:rFonts w:hint="eastAsia" w:ascii="宋体" w:hAnsi="宋体" w:eastAsia="宋体" w:cs="宋体"/>
                <w:color w:val="auto"/>
                <w:sz w:val="21"/>
                <w:szCs w:val="21"/>
                <w:highlight w:val="none"/>
              </w:rPr>
              <w:t>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不提供不得分； </w:t>
            </w:r>
          </w:p>
          <w:p w14:paraId="778A06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投标人具有检测仪器，</w:t>
            </w:r>
            <w:r>
              <w:rPr>
                <w:rFonts w:hint="eastAsia" w:ascii="宋体" w:hAnsi="宋体" w:eastAsia="宋体" w:cs="宋体"/>
                <w:b w:val="0"/>
                <w:bCs w:val="0"/>
                <w:color w:val="auto"/>
                <w:kern w:val="0"/>
                <w:sz w:val="21"/>
                <w:szCs w:val="21"/>
                <w:highlight w:val="none"/>
              </w:rPr>
              <w:t>每台得</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分，最高</w:t>
            </w:r>
            <w:r>
              <w:rPr>
                <w:rFonts w:hint="eastAsia" w:ascii="宋体" w:hAnsi="宋体" w:eastAsia="宋体" w:cs="宋体"/>
                <w:b w:val="0"/>
                <w:bCs w:val="0"/>
                <w:color w:val="auto"/>
                <w:kern w:val="0"/>
                <w:sz w:val="21"/>
                <w:szCs w:val="21"/>
                <w:highlight w:val="none"/>
                <w:lang w:val="en-US" w:eastAsia="zh-CN"/>
              </w:rPr>
              <w:t>得4</w:t>
            </w:r>
            <w:r>
              <w:rPr>
                <w:rFonts w:hint="eastAsia" w:ascii="宋体" w:hAnsi="宋体" w:eastAsia="宋体" w:cs="宋体"/>
                <w:b w:val="0"/>
                <w:bCs w:val="0"/>
                <w:color w:val="auto"/>
                <w:kern w:val="0"/>
                <w:sz w:val="21"/>
                <w:szCs w:val="21"/>
                <w:highlight w:val="none"/>
              </w:rPr>
              <w:t>分</w:t>
            </w:r>
            <w:r>
              <w:rPr>
                <w:rFonts w:hint="eastAsia" w:ascii="宋体" w:hAnsi="宋体" w:eastAsia="宋体" w:cs="宋体"/>
                <w:color w:val="auto"/>
                <w:sz w:val="21"/>
                <w:szCs w:val="21"/>
                <w:highlight w:val="none"/>
                <w:lang w:val="en-US" w:eastAsia="zh-CN"/>
              </w:rPr>
              <w:t>；</w:t>
            </w:r>
          </w:p>
          <w:p w14:paraId="4CBF294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注：提供上述检测仪器的</w:t>
            </w:r>
            <w:r>
              <w:rPr>
                <w:rFonts w:hint="eastAsia" w:ascii="宋体" w:hAnsi="宋体" w:eastAsia="宋体" w:cs="宋体"/>
                <w:color w:val="auto"/>
                <w:sz w:val="21"/>
                <w:szCs w:val="21"/>
                <w:highlight w:val="none"/>
                <w:lang w:val="en-US" w:eastAsia="zh-CN"/>
              </w:rPr>
              <w:t>图片</w:t>
            </w:r>
            <w:r>
              <w:rPr>
                <w:rFonts w:hint="eastAsia" w:ascii="宋体" w:hAnsi="宋体" w:eastAsia="宋体" w:cs="宋体"/>
                <w:color w:val="auto"/>
                <w:sz w:val="21"/>
                <w:szCs w:val="21"/>
                <w:highlight w:val="none"/>
              </w:rPr>
              <w:t>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2DF184C7">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758A7E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B95DE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2924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14:paraId="79C7800D">
      <w:pPr>
        <w:rPr>
          <w:rFonts w:ascii="宋体"/>
          <w:color w:val="auto"/>
          <w:szCs w:val="21"/>
          <w:highlight w:val="none"/>
        </w:rPr>
      </w:pPr>
      <w:r>
        <w:rPr>
          <w:rFonts w:hint="eastAsia"/>
          <w:color w:val="auto"/>
          <w:highlight w:val="none"/>
        </w:rPr>
        <w:t>注：对照每项评价指标要求，投标文件完全不满足要求的，不得分。</w:t>
      </w:r>
    </w:p>
    <w:p w14:paraId="6829CC62">
      <w:pPr>
        <w:widowControl/>
        <w:tabs>
          <w:tab w:val="left" w:pos="502"/>
        </w:tabs>
        <w:adjustRightInd w:val="0"/>
        <w:snapToGrid w:val="0"/>
        <w:spacing w:line="360" w:lineRule="auto"/>
        <w:rPr>
          <w:rFonts w:hint="eastAsia" w:ascii="宋体" w:hAnsi="宋体" w:cs="Tahoma"/>
          <w:b/>
          <w:bCs/>
          <w:color w:val="auto"/>
          <w:highlight w:val="none"/>
          <w:lang w:val="en-US" w:eastAsia="zh-CN"/>
        </w:rPr>
      </w:pPr>
    </w:p>
    <w:p w14:paraId="593CE3BA">
      <w:pPr>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br w:type="page"/>
      </w:r>
    </w:p>
    <w:p w14:paraId="79487533">
      <w:pPr>
        <w:snapToGrid w:val="0"/>
        <w:spacing w:line="360" w:lineRule="auto"/>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03包组：鸡、鹅、鸭 、鱼类等</w:t>
      </w:r>
      <w:r>
        <w:rPr>
          <w:rFonts w:hint="eastAsia"/>
          <w:b/>
          <w:bCs/>
          <w:color w:val="auto"/>
          <w:highlight w:val="none"/>
          <w:lang w:eastAsia="zh-CN"/>
        </w:rPr>
        <w:t>配送服务</w:t>
      </w:r>
    </w:p>
    <w:p w14:paraId="2DD148AD">
      <w:pPr>
        <w:rPr>
          <w:color w:val="auto"/>
          <w:highlight w:val="none"/>
        </w:rPr>
      </w:pPr>
      <w:r>
        <w:rPr>
          <w:rFonts w:hint="eastAsia"/>
          <w:color w:val="auto"/>
          <w:highlight w:val="none"/>
        </w:rPr>
        <w:t>评价指标及权重：</w:t>
      </w:r>
    </w:p>
    <w:p w14:paraId="360BDE42">
      <w:pPr>
        <w:rPr>
          <w:color w:val="auto"/>
          <w:highlight w:val="none"/>
        </w:rPr>
      </w:pPr>
    </w:p>
    <w:tbl>
      <w:tblPr>
        <w:tblStyle w:val="46"/>
        <w:tblW w:w="8874" w:type="dxa"/>
        <w:jc w:val="center"/>
        <w:tblLayout w:type="fixed"/>
        <w:tblCellMar>
          <w:top w:w="0" w:type="dxa"/>
          <w:left w:w="0" w:type="dxa"/>
          <w:bottom w:w="0" w:type="dxa"/>
          <w:right w:w="0" w:type="dxa"/>
        </w:tblCellMar>
      </w:tblPr>
      <w:tblGrid>
        <w:gridCol w:w="2570"/>
        <w:gridCol w:w="2261"/>
        <w:gridCol w:w="2138"/>
        <w:gridCol w:w="1905"/>
      </w:tblGrid>
      <w:tr w14:paraId="13FEDE7F">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D6AE0E">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评分项目</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77A540">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A62F8F">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2FC255">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14:paraId="32BFD0E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B6C47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分值</w:t>
            </w:r>
          </w:p>
        </w:tc>
        <w:tc>
          <w:tcPr>
            <w:tcW w:w="226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293BF1">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21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25C49C">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66E63B">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14:paraId="75025B09">
      <w:pPr>
        <w:rPr>
          <w:color w:val="auto"/>
          <w:highlight w:val="none"/>
        </w:rPr>
      </w:pPr>
    </w:p>
    <w:p w14:paraId="27816398">
      <w:pPr>
        <w:rPr>
          <w:color w:val="auto"/>
          <w:highlight w:val="none"/>
        </w:rPr>
      </w:pPr>
      <w:r>
        <w:rPr>
          <w:rFonts w:hint="eastAsia"/>
          <w:color w:val="auto"/>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6F139A57">
        <w:tblPrEx>
          <w:shd w:val="clear" w:color="auto" w:fill="FFFFFF"/>
          <w:tblCellMar>
            <w:top w:w="0" w:type="dxa"/>
            <w:left w:w="0" w:type="dxa"/>
            <w:bottom w:w="0" w:type="dxa"/>
            <w:right w:w="0" w:type="dxa"/>
          </w:tblCellMar>
        </w:tblPrEx>
        <w:trPr>
          <w:cantSplit/>
          <w:trHeight w:val="460" w:hRule="atLeast"/>
          <w:tblHeader/>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295C29">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9D82D8">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BD8D4D">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C675FFB">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5DB8363">
        <w:tblPrEx>
          <w:shd w:val="clear" w:color="auto" w:fill="FFFFFF"/>
          <w:tblCellMar>
            <w:top w:w="0" w:type="dxa"/>
            <w:left w:w="0" w:type="dxa"/>
            <w:bottom w:w="0" w:type="dxa"/>
            <w:right w:w="0" w:type="dxa"/>
          </w:tblCellMar>
        </w:tblPrEx>
        <w:trPr>
          <w:cantSplit/>
          <w:trHeight w:val="2114"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6B769A">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2E7E0B9">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配送服务方案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D6837C">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BD1347">
            <w:pPr>
              <w:keepNext w:val="0"/>
              <w:keepLines w:val="0"/>
              <w:pageBreakBefore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从配送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方案的全面性，可实施性，配送物流保障性，供应时效响应性等进行对比评价：</w:t>
            </w:r>
          </w:p>
          <w:p w14:paraId="4FB3DE07">
            <w:pPr>
              <w:keepNext w:val="0"/>
              <w:keepLines w:val="0"/>
              <w:pageBreakBefore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方案全面，可实施性强，配送物流有保障，供应时效性高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分；</w:t>
            </w:r>
          </w:p>
          <w:p w14:paraId="26CBBE52">
            <w:pPr>
              <w:keepNext w:val="0"/>
              <w:keepLines w:val="0"/>
              <w:pageBreakBefore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强，配送物流有保障，供应时效性</w:t>
            </w:r>
            <w:r>
              <w:rPr>
                <w:rFonts w:hint="eastAsia" w:ascii="宋体" w:hAnsi="宋体" w:eastAsia="宋体" w:cs="宋体"/>
                <w:color w:val="auto"/>
                <w:sz w:val="21"/>
                <w:szCs w:val="21"/>
                <w:highlight w:val="none"/>
                <w:shd w:val="clear" w:color="auto" w:fill="FFFFFF"/>
                <w:lang w:val="en-US" w:eastAsia="zh-CN"/>
              </w:rPr>
              <w:t>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分；</w:t>
            </w:r>
          </w:p>
          <w:p w14:paraId="7DE4F550">
            <w:pPr>
              <w:keepNext w:val="0"/>
              <w:keepLines w:val="0"/>
              <w:pageBreakBefore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全面，可实施性不强，配送物流有保障，供应时效性一般</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基本</w:t>
            </w:r>
            <w:r>
              <w:rPr>
                <w:rFonts w:hint="eastAsia" w:ascii="宋体" w:hAnsi="宋体" w:eastAsia="宋体" w:cs="宋体"/>
                <w:color w:val="auto"/>
                <w:sz w:val="21"/>
                <w:szCs w:val="21"/>
                <w:highlight w:val="none"/>
                <w:lang w:val="en-US" w:eastAsia="zh-CN"/>
              </w:rPr>
              <w:t>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分；</w:t>
            </w:r>
          </w:p>
          <w:p w14:paraId="72C3AF18">
            <w:pPr>
              <w:keepNext w:val="0"/>
              <w:keepLines w:val="0"/>
              <w:pageBreakBefore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方案不够全面，可实施性不强，配送物流有保障，供应时效性</w:t>
            </w:r>
            <w:r>
              <w:rPr>
                <w:rFonts w:hint="eastAsia" w:ascii="宋体" w:hAnsi="宋体" w:eastAsia="宋体" w:cs="宋体"/>
                <w:color w:val="auto"/>
                <w:sz w:val="21"/>
                <w:szCs w:val="21"/>
                <w:highlight w:val="none"/>
                <w:shd w:val="clear" w:color="auto" w:fill="FFFFFF"/>
                <w:lang w:val="en-US" w:eastAsia="zh-CN"/>
              </w:rPr>
              <w:t>不符合要求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不能满足采购需求的，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分；</w:t>
            </w:r>
          </w:p>
          <w:p w14:paraId="5E7FBEA8">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55F9643C">
        <w:tblPrEx>
          <w:tblCellMar>
            <w:top w:w="0" w:type="dxa"/>
            <w:left w:w="0" w:type="dxa"/>
            <w:bottom w:w="0" w:type="dxa"/>
            <w:right w:w="0" w:type="dxa"/>
          </w:tblCellMar>
        </w:tblPrEx>
        <w:trPr>
          <w:cantSplit/>
          <w:trHeight w:val="2156"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2C5D90B">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1E701">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质量保障及食品安全措施</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04096EF">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FAC380">
            <w:pPr>
              <w:keepNext w:val="0"/>
              <w:keepLines w:val="0"/>
              <w:pageBreakBefore w:val="0"/>
              <w:widowControl/>
              <w:kinsoku/>
              <w:wordWrap/>
              <w:overflowPunct/>
              <w:topLinePunct w:val="0"/>
              <w:autoSpaceDE/>
              <w:autoSpaceDN/>
              <w:bidi w:val="0"/>
              <w:adjustRightInd/>
              <w:snapToGrid/>
              <w:spacing w:line="32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对投标文件中的质量保障及食品安全措施进行评分（根据投标货物的来源、加工、包装、保存、运输各环节的质量保证及食品安全措施进行评价）：</w:t>
            </w:r>
          </w:p>
          <w:p w14:paraId="303CCA8C">
            <w:pPr>
              <w:keepNext w:val="0"/>
              <w:keepLines w:val="0"/>
              <w:pageBreakBefore w:val="0"/>
              <w:widowControl/>
              <w:kinsoku/>
              <w:wordWrap/>
              <w:overflowPunct/>
              <w:topLinePunct w:val="0"/>
              <w:autoSpaceDE/>
              <w:autoSpaceDN/>
              <w:bidi w:val="0"/>
              <w:adjustRightInd/>
              <w:snapToGrid/>
              <w:spacing w:line="32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方案合理完整，内容有针对性，</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5E4784A9">
            <w:pPr>
              <w:keepNext w:val="0"/>
              <w:keepLines w:val="0"/>
              <w:pageBreakBefore w:val="0"/>
              <w:widowControl/>
              <w:kinsoku/>
              <w:wordWrap/>
              <w:overflowPunct/>
              <w:topLinePunct w:val="0"/>
              <w:autoSpaceDE/>
              <w:autoSpaceDN/>
              <w:bidi w:val="0"/>
              <w:adjustRightInd/>
              <w:snapToGrid/>
              <w:spacing w:line="320" w:lineRule="atLeas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方案较合理、较完整，内容有一定的针对性，</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773F20BE">
            <w:pPr>
              <w:keepNext w:val="0"/>
              <w:keepLines w:val="0"/>
              <w:pageBreakBefore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547D867E">
            <w:pPr>
              <w:keepNext w:val="0"/>
              <w:keepLines w:val="0"/>
              <w:pageBreakBefore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方案简单，内容没有针对性，</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24A19B0">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05A4B367">
        <w:tblPrEx>
          <w:shd w:val="clear" w:color="auto" w:fill="FFFFFF"/>
          <w:tblCellMar>
            <w:top w:w="0" w:type="dxa"/>
            <w:left w:w="0" w:type="dxa"/>
            <w:bottom w:w="0" w:type="dxa"/>
            <w:right w:w="0" w:type="dxa"/>
          </w:tblCellMar>
        </w:tblPrEx>
        <w:trPr>
          <w:cantSplit/>
          <w:trHeight w:val="1722"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4EC60F">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6E3DBAB">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出现产品质量问题退换货方案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17D759">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6366FE">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14:paraId="05A32EFB">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kern w:val="2"/>
                <w:sz w:val="21"/>
                <w:szCs w:val="21"/>
                <w:highlight w:val="none"/>
                <w:lang w:val="en-US" w:eastAsia="zh-CN" w:bidi="ar-SA"/>
              </w:rPr>
              <w:t xml:space="preserve">得10分； </w:t>
            </w:r>
          </w:p>
          <w:p w14:paraId="0D385968">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 xml:space="preserve">分； </w:t>
            </w:r>
          </w:p>
          <w:p w14:paraId="39A1A4A7">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3.对产品出现质量问题的退换承诺不具体，可行性低，</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 </w:t>
            </w:r>
          </w:p>
          <w:p w14:paraId="56C3F097">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4.对产品出现质量问题的退换承诺不可行，</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kern w:val="2"/>
                <w:sz w:val="21"/>
                <w:szCs w:val="21"/>
                <w:highlight w:val="none"/>
                <w:lang w:val="en-US" w:eastAsia="zh-CN" w:bidi="ar-SA"/>
              </w:rPr>
              <w:t xml:space="preserve">得1分； </w:t>
            </w:r>
          </w:p>
          <w:p w14:paraId="1AF3AFC4">
            <w:pPr>
              <w:keepNext w:val="0"/>
              <w:keepLines w:val="0"/>
              <w:pageBreakBefore w:val="0"/>
              <w:widowControl w:val="0"/>
              <w:kinsoku/>
              <w:wordWrap/>
              <w:overflowPunct/>
              <w:topLinePunct w:val="0"/>
              <w:autoSpaceDE/>
              <w:autoSpaceDN/>
              <w:bidi w:val="0"/>
              <w:adjustRightInd/>
              <w:snapToGrid/>
              <w:spacing w:line="320" w:lineRule="atLeas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14:paraId="31EAC607">
        <w:tblPrEx>
          <w:tblCellMar>
            <w:top w:w="0" w:type="dxa"/>
            <w:left w:w="0" w:type="dxa"/>
            <w:bottom w:w="0" w:type="dxa"/>
            <w:right w:w="0" w:type="dxa"/>
          </w:tblCellMar>
        </w:tblPrEx>
        <w:trPr>
          <w:cantSplit/>
          <w:trHeight w:val="419" w:hRule="atLeast"/>
          <w:jc w:val="center"/>
        </w:trPr>
        <w:tc>
          <w:tcPr>
            <w:tcW w:w="223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AA8E8CF">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057760">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E8A9625">
            <w:pPr>
              <w:keepNext w:val="0"/>
              <w:keepLines w:val="0"/>
              <w:pageBreakBefore w:val="0"/>
              <w:widowControl w:val="0"/>
              <w:kinsoku/>
              <w:wordWrap/>
              <w:overflowPunct/>
              <w:topLinePunct w:val="0"/>
              <w:autoSpaceDE/>
              <w:autoSpaceDN/>
              <w:bidi w:val="0"/>
              <w:adjustRightInd/>
              <w:snapToGrid/>
              <w:spacing w:line="320" w:lineRule="atLeas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5BEECED8">
      <w:pPr>
        <w:rPr>
          <w:color w:val="auto"/>
          <w:highlight w:val="none"/>
        </w:rPr>
      </w:pPr>
    </w:p>
    <w:p w14:paraId="444D16AC">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52E85B13">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DEE1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78271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3314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D92AD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76D62AD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012F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264E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E6482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736EB8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投标人提供</w:t>
            </w:r>
            <w:r>
              <w:rPr>
                <w:rFonts w:hint="eastAsia" w:ascii="宋体" w:hAnsi="宋体" w:eastAsia="宋体" w:cs="宋体"/>
                <w:color w:val="auto"/>
                <w:highlight w:val="none"/>
                <w:lang w:val="en-US" w:eastAsia="zh-CN"/>
              </w:rPr>
              <w:t>近三年</w:t>
            </w:r>
            <w:r>
              <w:rPr>
                <w:rFonts w:hint="eastAsia" w:ascii="宋体" w:hAnsi="宋体" w:eastAsia="宋体" w:cs="宋体"/>
                <w:color w:val="auto"/>
                <w:highlight w:val="none"/>
              </w:rPr>
              <w:t>（以合同签订时间为准）的同类项目业绩，每个得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 xml:space="preserve">分； </w:t>
            </w:r>
          </w:p>
          <w:p w14:paraId="02FFB5E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注：提供项目的合同关键页复印件加盖投标人公章，不提供不得分。</w:t>
            </w:r>
          </w:p>
          <w:p w14:paraId="7A9919E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2.提供上述</w:t>
            </w:r>
            <w:r>
              <w:rPr>
                <w:rFonts w:hint="eastAsia" w:ascii="宋体" w:hAnsi="宋体" w:eastAsia="宋体" w:cs="宋体"/>
                <w:color w:val="auto"/>
                <w:highlight w:val="none"/>
              </w:rPr>
              <w:t>同类</w:t>
            </w:r>
            <w:r>
              <w:rPr>
                <w:rFonts w:hint="eastAsia" w:ascii="宋体" w:hAnsi="宋体" w:eastAsia="宋体" w:cs="宋体"/>
                <w:color w:val="auto"/>
                <w:sz w:val="21"/>
                <w:szCs w:val="21"/>
                <w:highlight w:val="none"/>
                <w:lang w:val="en-US" w:eastAsia="zh-CN"/>
              </w:rPr>
              <w:t>项目的</w:t>
            </w:r>
            <w:r>
              <w:rPr>
                <w:rFonts w:hint="eastAsia" w:ascii="宋体" w:hAnsi="宋体" w:eastAsia="宋体" w:cs="宋体"/>
                <w:color w:val="auto"/>
                <w:sz w:val="21"/>
                <w:szCs w:val="21"/>
                <w:highlight w:val="none"/>
              </w:rPr>
              <w:t>服务单位好评（即“满意或好评”等正面评价），每提供一份有效的证明材料，得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highlight w:val="none"/>
              </w:rPr>
              <w:t>最高得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sz w:val="21"/>
                <w:szCs w:val="21"/>
                <w:highlight w:val="none"/>
              </w:rPr>
              <w:t>。</w:t>
            </w:r>
          </w:p>
          <w:p w14:paraId="7FF5B8F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7792201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2E34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EB75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DFE3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2745A3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投标人能提供食品安全责任险保障： </w:t>
            </w:r>
          </w:p>
          <w:p w14:paraId="7BA0FA4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万元或以上，得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分； </w:t>
            </w:r>
          </w:p>
          <w:p w14:paraId="76B4C7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佰万元（含）-</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万元（不含），得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3105E5E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佰万元（不含）以下</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14:paraId="7521ED9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其他不得分。</w:t>
            </w:r>
          </w:p>
          <w:p w14:paraId="603EEA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注：提供有效保单复印件加盖投标人公章，不提供不得分。</w:t>
            </w:r>
          </w:p>
        </w:tc>
      </w:tr>
      <w:tr w14:paraId="670B0FEC">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649F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7CC74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拟投入项目团队人员</w:t>
            </w:r>
            <w:r>
              <w:rPr>
                <w:rFonts w:hint="eastAsia" w:ascii="宋体" w:hAnsi="宋体" w:eastAsia="宋体" w:cs="宋体"/>
                <w:color w:val="auto"/>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B5CB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10F02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专门的</w:t>
            </w:r>
            <w:r>
              <w:rPr>
                <w:rFonts w:hint="eastAsia" w:ascii="宋体" w:hAnsi="宋体" w:eastAsia="宋体" w:cs="宋体"/>
                <w:color w:val="auto"/>
                <w:sz w:val="21"/>
                <w:szCs w:val="21"/>
                <w:highlight w:val="none"/>
                <w:lang w:val="en-US" w:eastAsia="zh-CN"/>
              </w:rPr>
              <w:t>食品安全管理人员</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人得5</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111A1B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配备人员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提供广东省食品安全管理人员考试合格证明证书复印件加盖投标人公章</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66DDF526">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7BE7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DFD90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57E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FC2D6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投标人针对本项目投入的</w:t>
            </w:r>
            <w:r>
              <w:rPr>
                <w:rFonts w:hint="eastAsia" w:ascii="宋体" w:hAnsi="宋体" w:cs="宋体"/>
                <w:color w:val="auto"/>
                <w:sz w:val="21"/>
                <w:szCs w:val="21"/>
                <w:highlight w:val="none"/>
                <w:lang w:val="en-US" w:eastAsia="zh-CN"/>
              </w:rPr>
              <w:t>冷藏</w:t>
            </w:r>
            <w:r>
              <w:rPr>
                <w:rFonts w:hint="eastAsia" w:ascii="宋体" w:hAnsi="宋体" w:eastAsia="宋体" w:cs="宋体"/>
                <w:color w:val="auto"/>
                <w:sz w:val="21"/>
                <w:szCs w:val="21"/>
                <w:highlight w:val="none"/>
              </w:rPr>
              <w:t>配送车辆，每配备1台</w:t>
            </w:r>
            <w:r>
              <w:rPr>
                <w:rFonts w:hint="eastAsia" w:ascii="宋体" w:hAnsi="宋体" w:cs="宋体"/>
                <w:color w:val="auto"/>
                <w:sz w:val="21"/>
                <w:szCs w:val="21"/>
                <w:highlight w:val="none"/>
                <w:lang w:val="en-US" w:eastAsia="zh-CN"/>
              </w:rPr>
              <w:t>冷藏</w:t>
            </w:r>
            <w:r>
              <w:rPr>
                <w:rFonts w:hint="eastAsia" w:ascii="宋体" w:hAnsi="宋体" w:eastAsia="宋体" w:cs="宋体"/>
                <w:color w:val="auto"/>
                <w:sz w:val="21"/>
                <w:szCs w:val="21"/>
                <w:highlight w:val="none"/>
              </w:rPr>
              <w:t>配送车辆的得</w:t>
            </w:r>
            <w:r>
              <w:rPr>
                <w:rFonts w:hint="eastAsia" w:ascii="宋体" w:hAnsi="宋体" w:eastAsia="宋体" w:cs="宋体"/>
                <w:color w:val="auto"/>
                <w:sz w:val="21"/>
                <w:szCs w:val="21"/>
                <w:highlight w:val="none"/>
                <w:lang w:val="en-US" w:eastAsia="zh-CN"/>
              </w:rPr>
              <w:t>3分，本项</w:t>
            </w:r>
            <w:r>
              <w:rPr>
                <w:rFonts w:hint="eastAsia" w:ascii="宋体" w:hAnsi="宋体" w:eastAsia="宋体" w:cs="宋体"/>
                <w:color w:val="auto"/>
                <w:sz w:val="21"/>
                <w:szCs w:val="21"/>
                <w:highlight w:val="none"/>
              </w:rPr>
              <w:t>最高得</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2EB99A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注：投标人自有</w:t>
            </w:r>
            <w:r>
              <w:rPr>
                <w:rFonts w:hint="eastAsia" w:ascii="宋体" w:hAnsi="宋体" w:eastAsia="宋体" w:cs="宋体"/>
                <w:color w:val="auto"/>
                <w:sz w:val="21"/>
                <w:szCs w:val="21"/>
                <w:highlight w:val="none"/>
                <w:lang w:val="en-US" w:eastAsia="zh-CN"/>
              </w:rPr>
              <w:t>车辆的</w:t>
            </w:r>
            <w:r>
              <w:rPr>
                <w:rFonts w:hint="eastAsia" w:ascii="宋体" w:hAnsi="宋体" w:eastAsia="宋体" w:cs="宋体"/>
                <w:color w:val="auto"/>
                <w:sz w:val="21"/>
                <w:szCs w:val="21"/>
                <w:highlight w:val="none"/>
              </w:rPr>
              <w:t>，需提供购车发票</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w:t>
            </w:r>
            <w:r>
              <w:rPr>
                <w:rFonts w:hint="eastAsia" w:ascii="宋体" w:hAnsi="宋体" w:eastAsia="宋体" w:cs="宋体"/>
                <w:color w:val="auto"/>
                <w:sz w:val="21"/>
                <w:szCs w:val="21"/>
                <w:highlight w:val="none"/>
                <w:lang w:val="en-US" w:eastAsia="zh-CN"/>
              </w:rPr>
              <w:t>投标人租赁车辆的</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以投标人或法定代表人签署的</w:t>
            </w:r>
            <w:r>
              <w:rPr>
                <w:rFonts w:hint="eastAsia" w:ascii="宋体" w:hAnsi="宋体" w:eastAsia="宋体" w:cs="宋体"/>
                <w:color w:val="auto"/>
                <w:sz w:val="21"/>
                <w:szCs w:val="21"/>
                <w:highlight w:val="none"/>
              </w:rPr>
              <w:t>车辆租赁合同</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车辆照片加盖投标人公章。不提供不得分。</w:t>
            </w:r>
          </w:p>
        </w:tc>
      </w:tr>
      <w:tr w14:paraId="769B65EE">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81813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8AD9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5F0F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7A577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冷冻/冷藏库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5C5B806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及冷冻/冷藏库照片并加盖投标人公章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637EDE7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CAF5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5B17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FF8A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AB7D19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配送场地</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7EF673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及配送场地照片并加盖投标人公章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700958AB">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A9D2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94B0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食品卫生检测能力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8F6F6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9D087A">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投标人具</w:t>
            </w:r>
            <w:r>
              <w:rPr>
                <w:rFonts w:hint="eastAsia" w:ascii="宋体" w:hAnsi="宋体" w:eastAsia="宋体" w:cs="宋体"/>
                <w:color w:val="auto"/>
                <w:sz w:val="21"/>
                <w:szCs w:val="21"/>
                <w:highlight w:val="none"/>
                <w:lang w:val="en-US" w:eastAsia="zh-CN"/>
              </w:rPr>
              <w:t>有</w:t>
            </w:r>
            <w:r>
              <w:rPr>
                <w:rFonts w:hint="eastAsia" w:ascii="宋体" w:hAnsi="宋体" w:eastAsia="宋体" w:cs="宋体"/>
                <w:color w:val="auto"/>
                <w:sz w:val="21"/>
                <w:szCs w:val="21"/>
                <w:highlight w:val="none"/>
              </w:rPr>
              <w:t>食品检测室，得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B9B47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注：须提供食品检测室场所</w:t>
            </w:r>
            <w:r>
              <w:rPr>
                <w:rFonts w:hint="eastAsia" w:ascii="宋体" w:hAnsi="宋体" w:eastAsia="宋体" w:cs="宋体"/>
                <w:color w:val="auto"/>
                <w:sz w:val="21"/>
                <w:szCs w:val="21"/>
                <w:highlight w:val="none"/>
                <w:lang w:val="en-US" w:eastAsia="zh-CN"/>
              </w:rPr>
              <w:t>照片</w:t>
            </w:r>
            <w:r>
              <w:rPr>
                <w:rFonts w:hint="eastAsia" w:ascii="宋体" w:hAnsi="宋体" w:eastAsia="宋体" w:cs="宋体"/>
                <w:color w:val="auto"/>
                <w:sz w:val="21"/>
                <w:szCs w:val="21"/>
                <w:highlight w:val="none"/>
              </w:rPr>
              <w:t>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不提供不得分； </w:t>
            </w:r>
          </w:p>
          <w:p w14:paraId="7B97DC7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投标人具有检测仪器，</w:t>
            </w:r>
            <w:r>
              <w:rPr>
                <w:rFonts w:hint="eastAsia" w:ascii="宋体" w:hAnsi="宋体" w:eastAsia="宋体" w:cs="宋体"/>
                <w:b w:val="0"/>
                <w:bCs w:val="0"/>
                <w:color w:val="auto"/>
                <w:kern w:val="0"/>
                <w:sz w:val="21"/>
                <w:szCs w:val="21"/>
                <w:highlight w:val="none"/>
              </w:rPr>
              <w:t>每台得</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分，最高</w:t>
            </w:r>
            <w:r>
              <w:rPr>
                <w:rFonts w:hint="eastAsia" w:ascii="宋体" w:hAnsi="宋体" w:eastAsia="宋体" w:cs="宋体"/>
                <w:b w:val="0"/>
                <w:bCs w:val="0"/>
                <w:color w:val="auto"/>
                <w:kern w:val="0"/>
                <w:sz w:val="21"/>
                <w:szCs w:val="21"/>
                <w:highlight w:val="none"/>
                <w:lang w:val="en-US" w:eastAsia="zh-CN"/>
              </w:rPr>
              <w:t>得4</w:t>
            </w:r>
            <w:r>
              <w:rPr>
                <w:rFonts w:hint="eastAsia" w:ascii="宋体" w:hAnsi="宋体" w:eastAsia="宋体" w:cs="宋体"/>
                <w:b w:val="0"/>
                <w:bCs w:val="0"/>
                <w:color w:val="auto"/>
                <w:kern w:val="0"/>
                <w:sz w:val="21"/>
                <w:szCs w:val="21"/>
                <w:highlight w:val="none"/>
              </w:rPr>
              <w:t>分</w:t>
            </w:r>
            <w:r>
              <w:rPr>
                <w:rFonts w:hint="eastAsia" w:ascii="宋体" w:hAnsi="宋体" w:eastAsia="宋体" w:cs="宋体"/>
                <w:color w:val="auto"/>
                <w:sz w:val="21"/>
                <w:szCs w:val="21"/>
                <w:highlight w:val="none"/>
                <w:lang w:val="en-US" w:eastAsia="zh-CN"/>
              </w:rPr>
              <w:t>；</w:t>
            </w:r>
          </w:p>
          <w:p w14:paraId="2C7269E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注：提供上述检测仪器的</w:t>
            </w:r>
            <w:r>
              <w:rPr>
                <w:rFonts w:hint="eastAsia" w:ascii="宋体" w:hAnsi="宋体" w:eastAsia="宋体" w:cs="宋体"/>
                <w:color w:val="auto"/>
                <w:sz w:val="21"/>
                <w:szCs w:val="21"/>
                <w:highlight w:val="none"/>
                <w:lang w:val="en-US" w:eastAsia="zh-CN"/>
              </w:rPr>
              <w:t>图片</w:t>
            </w:r>
            <w:r>
              <w:rPr>
                <w:rFonts w:hint="eastAsia" w:ascii="宋体" w:hAnsi="宋体" w:eastAsia="宋体" w:cs="宋体"/>
                <w:color w:val="auto"/>
                <w:sz w:val="21"/>
                <w:szCs w:val="21"/>
                <w:highlight w:val="none"/>
              </w:rPr>
              <w:t>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693F47C7">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6D61F78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991C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09E7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14:paraId="3F501224">
      <w:pPr>
        <w:rPr>
          <w:rFonts w:ascii="宋体"/>
          <w:color w:val="auto"/>
          <w:szCs w:val="21"/>
          <w:highlight w:val="none"/>
        </w:rPr>
      </w:pPr>
      <w:r>
        <w:rPr>
          <w:rFonts w:hint="eastAsia"/>
          <w:color w:val="auto"/>
          <w:highlight w:val="none"/>
        </w:rPr>
        <w:t>注：对照每项评价指标要求，投标文件完全不满足要求的，不得分。</w:t>
      </w:r>
    </w:p>
    <w:bookmarkEnd w:id="1556"/>
    <w:bookmarkEnd w:id="1557"/>
    <w:bookmarkEnd w:id="1558"/>
    <w:bookmarkEnd w:id="1559"/>
    <w:bookmarkEnd w:id="1560"/>
    <w:bookmarkEnd w:id="1561"/>
    <w:bookmarkEnd w:id="1562"/>
    <w:bookmarkEnd w:id="1563"/>
    <w:bookmarkEnd w:id="1564"/>
    <w:bookmarkEnd w:id="1565"/>
    <w:p w14:paraId="323F6721">
      <w:pPr>
        <w:widowControl/>
        <w:tabs>
          <w:tab w:val="left" w:pos="502"/>
        </w:tabs>
        <w:adjustRightInd w:val="0"/>
        <w:snapToGrid w:val="0"/>
        <w:spacing w:line="360" w:lineRule="auto"/>
        <w:rPr>
          <w:rFonts w:hint="eastAsia" w:ascii="宋体" w:hAnsi="宋体" w:cs="Tahoma"/>
          <w:b/>
          <w:bCs/>
          <w:color w:val="auto"/>
          <w:highlight w:val="none"/>
          <w:lang w:val="en-US" w:eastAsia="zh-CN"/>
        </w:rPr>
      </w:pPr>
      <w:bookmarkStart w:id="1576" w:name="_Hlt21939000"/>
      <w:bookmarkEnd w:id="1576"/>
      <w:bookmarkStart w:id="1577" w:name="_Toc336681944"/>
      <w:bookmarkStart w:id="1578" w:name="_Toc333237797"/>
      <w:bookmarkStart w:id="1579" w:name="_Toc350438758"/>
      <w:bookmarkStart w:id="1580" w:name="_Toc339362309"/>
      <w:bookmarkStart w:id="1581" w:name="_Toc374454610"/>
      <w:bookmarkStart w:id="1582" w:name="_Toc341348347"/>
      <w:bookmarkStart w:id="1583" w:name="_Toc340677079"/>
      <w:bookmarkStart w:id="1584" w:name="_Toc366072538"/>
      <w:bookmarkStart w:id="1585" w:name="_Toc339441096"/>
      <w:bookmarkStart w:id="1586" w:name="_Toc342296769"/>
      <w:bookmarkStart w:id="1587" w:name="_Toc340507451"/>
      <w:bookmarkStart w:id="1588" w:name="_Toc339020104"/>
      <w:bookmarkStart w:id="1589" w:name="_Toc340672878"/>
      <w:bookmarkStart w:id="1590" w:name="_Toc349143598"/>
      <w:bookmarkStart w:id="1591" w:name="_Toc331684047"/>
      <w:bookmarkStart w:id="1592" w:name="_Toc330459994"/>
      <w:bookmarkStart w:id="1593" w:name="_Toc333238642"/>
      <w:bookmarkStart w:id="1594" w:name="_Toc339019898"/>
      <w:bookmarkStart w:id="1595" w:name="_Toc365985187"/>
      <w:bookmarkStart w:id="1596" w:name="_Toc350756459"/>
      <w:bookmarkStart w:id="1597" w:name="_Toc345513910"/>
      <w:bookmarkStart w:id="1598" w:name="_Toc337632367"/>
      <w:bookmarkStart w:id="1599" w:name="_Toc333935355"/>
      <w:bookmarkStart w:id="1600" w:name="_Toc333935696"/>
      <w:bookmarkStart w:id="1601" w:name="_Toc333237686"/>
      <w:bookmarkStart w:id="1602" w:name="_Toc332206717"/>
      <w:bookmarkStart w:id="1603" w:name="_Toc365967081"/>
      <w:bookmarkStart w:id="1604" w:name="_Toc336681589"/>
      <w:bookmarkStart w:id="1605" w:name="_Toc332270355"/>
      <w:bookmarkStart w:id="1606" w:name="_Toc339020024"/>
      <w:bookmarkStart w:id="1607" w:name="_Toc339020242"/>
      <w:bookmarkStart w:id="1608" w:name="_Toc349127635"/>
      <w:bookmarkStart w:id="1609" w:name="_Toc331512907"/>
      <w:bookmarkStart w:id="1610" w:name="_Toc342060383"/>
    </w:p>
    <w:p w14:paraId="46695470">
      <w:pPr>
        <w:rPr>
          <w:rFonts w:hint="eastAsia" w:ascii="宋体" w:hAnsi="宋体" w:cs="Tahoma"/>
          <w:b/>
          <w:bCs/>
          <w:color w:val="auto"/>
          <w:highlight w:val="none"/>
          <w:lang w:val="en-US" w:eastAsia="zh-CN"/>
        </w:rPr>
      </w:pPr>
      <w:r>
        <w:rPr>
          <w:rFonts w:hint="eastAsia" w:ascii="宋体" w:hAnsi="宋体" w:cs="Tahoma"/>
          <w:b/>
          <w:bCs/>
          <w:color w:val="auto"/>
          <w:highlight w:val="none"/>
          <w:lang w:val="en-US" w:eastAsia="zh-CN"/>
        </w:rPr>
        <w:br w:type="page"/>
      </w:r>
    </w:p>
    <w:p w14:paraId="3607F2DD">
      <w:pPr>
        <w:widowControl/>
        <w:tabs>
          <w:tab w:val="left" w:pos="502"/>
        </w:tabs>
        <w:adjustRightInd w:val="0"/>
        <w:snapToGrid w:val="0"/>
        <w:spacing w:line="360" w:lineRule="auto"/>
        <w:rPr>
          <w:rFonts w:hint="eastAsia" w:ascii="宋体" w:hAnsi="宋体" w:cs="Tahoma"/>
          <w:b/>
          <w:bCs/>
          <w:color w:val="auto"/>
          <w:highlight w:val="none"/>
          <w:lang w:val="en-US" w:eastAsia="zh-CN"/>
        </w:rPr>
      </w:pPr>
      <w:r>
        <w:rPr>
          <w:rFonts w:hint="eastAsia" w:ascii="宋体" w:hAnsi="宋体" w:cs="Tahoma"/>
          <w:b/>
          <w:bCs/>
          <w:color w:val="auto"/>
          <w:highlight w:val="none"/>
          <w:lang w:val="en-US" w:eastAsia="zh-CN"/>
        </w:rPr>
        <w:t>04包组：大米、油、蛋、调味品、包点、面、米线、干货类等</w:t>
      </w:r>
      <w:r>
        <w:rPr>
          <w:rFonts w:hint="eastAsia"/>
          <w:b/>
          <w:bCs/>
          <w:color w:val="auto"/>
          <w:highlight w:val="none"/>
          <w:lang w:eastAsia="zh-CN"/>
        </w:rPr>
        <w:t>配送服务</w:t>
      </w:r>
    </w:p>
    <w:p w14:paraId="3160FED7">
      <w:pPr>
        <w:rPr>
          <w:color w:val="auto"/>
          <w:highlight w:val="none"/>
        </w:rPr>
      </w:pPr>
      <w:r>
        <w:rPr>
          <w:rFonts w:hint="eastAsia"/>
          <w:color w:val="auto"/>
          <w:highlight w:val="none"/>
        </w:rPr>
        <w:t>评价指标及权重：</w:t>
      </w:r>
    </w:p>
    <w:p w14:paraId="59F92E56">
      <w:pPr>
        <w:rPr>
          <w:color w:val="auto"/>
          <w:highlight w:val="none"/>
        </w:rPr>
      </w:pPr>
    </w:p>
    <w:tbl>
      <w:tblPr>
        <w:tblStyle w:val="46"/>
        <w:tblW w:w="8874" w:type="dxa"/>
        <w:jc w:val="center"/>
        <w:tblLayout w:type="fixed"/>
        <w:tblCellMar>
          <w:top w:w="0" w:type="dxa"/>
          <w:left w:w="0" w:type="dxa"/>
          <w:bottom w:w="0" w:type="dxa"/>
          <w:right w:w="0" w:type="dxa"/>
        </w:tblCellMar>
      </w:tblPr>
      <w:tblGrid>
        <w:gridCol w:w="2570"/>
        <w:gridCol w:w="2392"/>
        <w:gridCol w:w="2007"/>
        <w:gridCol w:w="1905"/>
      </w:tblGrid>
      <w:tr w14:paraId="1DD41CFB">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7FB2B8">
            <w:pPr>
              <w:jc w:val="center"/>
              <w:rPr>
                <w:rFonts w:ascii="宋体" w:hAnsi="宋体"/>
                <w:color w:val="auto"/>
                <w:kern w:val="0"/>
                <w:sz w:val="21"/>
                <w:szCs w:val="21"/>
                <w:highlight w:val="none"/>
              </w:rPr>
            </w:pPr>
            <w:r>
              <w:rPr>
                <w:color w:val="auto"/>
                <w:kern w:val="0"/>
                <w:sz w:val="21"/>
                <w:szCs w:val="21"/>
                <w:highlight w:val="none"/>
              </w:rPr>
              <w:t>评分项目</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FDF02D">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技术评分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999A67">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32B6F6">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价格评分</w:t>
            </w:r>
          </w:p>
        </w:tc>
      </w:tr>
      <w:tr w14:paraId="486701A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1EAF6B">
            <w:pPr>
              <w:jc w:val="center"/>
              <w:rPr>
                <w:rFonts w:ascii="宋体" w:hAnsi="宋体"/>
                <w:color w:val="auto"/>
                <w:kern w:val="0"/>
                <w:sz w:val="21"/>
                <w:szCs w:val="21"/>
                <w:highlight w:val="none"/>
              </w:rPr>
            </w:pPr>
            <w:r>
              <w:rPr>
                <w:color w:val="auto"/>
                <w:kern w:val="0"/>
                <w:sz w:val="21"/>
                <w:szCs w:val="21"/>
                <w:highlight w:val="none"/>
              </w:rPr>
              <w:t>分值</w:t>
            </w:r>
          </w:p>
        </w:tc>
        <w:tc>
          <w:tcPr>
            <w:tcW w:w="23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54153">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分</w:t>
            </w:r>
          </w:p>
        </w:tc>
        <w:tc>
          <w:tcPr>
            <w:tcW w:w="20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8B4A86">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60</w:t>
            </w:r>
            <w:r>
              <w:rPr>
                <w:rFonts w:hint="eastAsia" w:ascii="宋体" w:hAnsi="宋体" w:eastAsia="宋体" w:cs="宋体"/>
                <w:color w:val="auto"/>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E6CC29">
            <w:pPr>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bl>
    <w:p w14:paraId="3BB4F021">
      <w:pPr>
        <w:rPr>
          <w:color w:val="auto"/>
          <w:highlight w:val="none"/>
        </w:rPr>
      </w:pPr>
    </w:p>
    <w:p w14:paraId="6A0F2FCC">
      <w:pPr>
        <w:rPr>
          <w:color w:val="auto"/>
          <w:highlight w:val="none"/>
        </w:rPr>
      </w:pPr>
      <w:r>
        <w:rPr>
          <w:rFonts w:hint="eastAsia"/>
          <w:color w:val="auto"/>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417ED14D">
        <w:tblPrEx>
          <w:shd w:val="clear" w:color="auto" w:fill="FFFFFF"/>
          <w:tblCellMar>
            <w:top w:w="0" w:type="dxa"/>
            <w:left w:w="0" w:type="dxa"/>
            <w:bottom w:w="0" w:type="dxa"/>
            <w:right w:w="0" w:type="dxa"/>
          </w:tblCellMar>
        </w:tblPrEx>
        <w:trPr>
          <w:cantSplit/>
          <w:trHeight w:val="460" w:hRule="atLeast"/>
          <w:tblHeader/>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BE74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5C9C53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CEC5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746F9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5AB32CF">
        <w:tblPrEx>
          <w:shd w:val="clear" w:color="auto" w:fill="FFFFFF"/>
          <w:tblCellMar>
            <w:top w:w="0" w:type="dxa"/>
            <w:left w:w="0" w:type="dxa"/>
            <w:bottom w:w="0" w:type="dxa"/>
            <w:right w:w="0" w:type="dxa"/>
          </w:tblCellMar>
        </w:tblPrEx>
        <w:trPr>
          <w:cantSplit/>
          <w:trHeight w:val="2114"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F2F2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BCE8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配送服务方案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65E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941DA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从配送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方案的全面性，可实施性，配送物流保障性，供应时效响应性等进行对比评价：</w:t>
            </w:r>
          </w:p>
          <w:p w14:paraId="5F0D6CF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方案全面，可实施性强，配送物流有保障，供应时效性高</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分；</w:t>
            </w:r>
          </w:p>
          <w:p w14:paraId="25800E0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2.</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强，配送物流有保障，供应时效性</w:t>
            </w:r>
            <w:r>
              <w:rPr>
                <w:rFonts w:hint="eastAsia" w:ascii="宋体" w:hAnsi="宋体" w:eastAsia="宋体" w:cs="宋体"/>
                <w:color w:val="auto"/>
                <w:sz w:val="21"/>
                <w:szCs w:val="21"/>
                <w:highlight w:val="none"/>
                <w:shd w:val="clear" w:color="auto" w:fill="FFFFFF"/>
                <w:lang w:val="en-US" w:eastAsia="zh-CN"/>
              </w:rPr>
              <w:t>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7</w:t>
            </w:r>
            <w:r>
              <w:rPr>
                <w:rFonts w:hint="eastAsia" w:ascii="宋体" w:hAnsi="宋体" w:eastAsia="宋体" w:cs="宋体"/>
                <w:color w:val="auto"/>
                <w:sz w:val="21"/>
                <w:szCs w:val="21"/>
                <w:highlight w:val="none"/>
                <w:shd w:val="clear" w:color="auto" w:fill="FFFFFF"/>
              </w:rPr>
              <w:t>分；</w:t>
            </w:r>
          </w:p>
          <w:p w14:paraId="31157EA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w:t>
            </w:r>
            <w:r>
              <w:rPr>
                <w:rFonts w:hint="eastAsia" w:ascii="宋体" w:hAnsi="宋体" w:eastAsia="宋体" w:cs="宋体"/>
                <w:color w:val="auto"/>
                <w:sz w:val="21"/>
                <w:szCs w:val="21"/>
                <w:highlight w:val="none"/>
                <w:shd w:val="clear" w:color="auto" w:fill="FFFFFF"/>
                <w:lang w:val="en-US" w:eastAsia="zh-CN"/>
              </w:rPr>
              <w:t>较</w:t>
            </w:r>
            <w:r>
              <w:rPr>
                <w:rFonts w:hint="eastAsia" w:ascii="宋体" w:hAnsi="宋体" w:eastAsia="宋体" w:cs="宋体"/>
                <w:color w:val="auto"/>
                <w:sz w:val="21"/>
                <w:szCs w:val="21"/>
                <w:highlight w:val="none"/>
                <w:shd w:val="clear" w:color="auto" w:fill="FFFFFF"/>
              </w:rPr>
              <w:t>全面，可实施性不强，配送物流有保障，供应时效性一般</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基本</w:t>
            </w:r>
            <w:r>
              <w:rPr>
                <w:rFonts w:hint="eastAsia" w:ascii="宋体" w:hAnsi="宋体" w:eastAsia="宋体" w:cs="宋体"/>
                <w:color w:val="auto"/>
                <w:sz w:val="21"/>
                <w:szCs w:val="21"/>
                <w:highlight w:val="none"/>
                <w:lang w:val="en-US" w:eastAsia="zh-CN"/>
              </w:rPr>
              <w:t>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分；</w:t>
            </w:r>
          </w:p>
          <w:p w14:paraId="4618406E">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配送</w:t>
            </w:r>
            <w:r>
              <w:rPr>
                <w:rFonts w:hint="eastAsia" w:ascii="宋体" w:hAnsi="宋体" w:eastAsia="宋体" w:cs="宋体"/>
                <w:color w:val="auto"/>
                <w:sz w:val="21"/>
                <w:szCs w:val="21"/>
                <w:highlight w:val="none"/>
                <w:shd w:val="clear" w:color="auto" w:fill="FFFFFF"/>
                <w:lang w:val="en-US" w:eastAsia="zh-CN"/>
              </w:rPr>
              <w:t>服务</w:t>
            </w:r>
            <w:r>
              <w:rPr>
                <w:rFonts w:hint="eastAsia" w:ascii="宋体" w:hAnsi="宋体" w:eastAsia="宋体" w:cs="宋体"/>
                <w:color w:val="auto"/>
                <w:sz w:val="21"/>
                <w:szCs w:val="21"/>
                <w:highlight w:val="none"/>
                <w:shd w:val="clear" w:color="auto" w:fill="FFFFFF"/>
              </w:rPr>
              <w:t>方案不够全面，可实施性不强，配送物流有保障，供应时效性</w:t>
            </w:r>
            <w:r>
              <w:rPr>
                <w:rFonts w:hint="eastAsia" w:ascii="宋体" w:hAnsi="宋体" w:eastAsia="宋体" w:cs="宋体"/>
                <w:color w:val="auto"/>
                <w:sz w:val="21"/>
                <w:szCs w:val="21"/>
                <w:highlight w:val="none"/>
                <w:shd w:val="clear" w:color="auto" w:fill="FFFFFF"/>
                <w:lang w:val="en-US" w:eastAsia="zh-CN"/>
              </w:rPr>
              <w:t>不符合要求</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不能满足采购需求的，</w:t>
            </w:r>
            <w:r>
              <w:rPr>
                <w:rFonts w:hint="eastAsia" w:ascii="宋体" w:hAnsi="宋体" w:eastAsia="宋体" w:cs="宋体"/>
                <w:color w:val="auto"/>
                <w:sz w:val="21"/>
                <w:szCs w:val="21"/>
                <w:highlight w:val="none"/>
                <w:shd w:val="clear" w:color="auto" w:fill="FFFFFF"/>
              </w:rPr>
              <w:t>得</w:t>
            </w:r>
            <w:r>
              <w:rPr>
                <w:rFonts w:hint="eastAsia" w:ascii="宋体" w:hAnsi="宋体" w:eastAsia="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分；</w:t>
            </w:r>
          </w:p>
          <w:p w14:paraId="6129B24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755EE291">
        <w:tblPrEx>
          <w:tblCellMar>
            <w:top w:w="0" w:type="dxa"/>
            <w:left w:w="0" w:type="dxa"/>
            <w:bottom w:w="0" w:type="dxa"/>
            <w:right w:w="0" w:type="dxa"/>
          </w:tblCellMar>
        </w:tblPrEx>
        <w:trPr>
          <w:cantSplit/>
          <w:trHeight w:val="2156"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620A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2B6B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质量保障及食品安全措施</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31608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4112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对投标文件中的质量保障及食品安全措施进行评分（根据投标货物的来源、加工、包装、保存、运输各环节的质量保证及食品安全措施进行评价）：</w:t>
            </w:r>
          </w:p>
          <w:p w14:paraId="0BD103C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方案合理完整，内容有针对性，</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2D14790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方案较合理、较完整，内容有一定的针对性，</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14:paraId="2E209394">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方案</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60827781">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方案简单，内容没有针对性，</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p>
          <w:p w14:paraId="5C3AF7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FFFFFF"/>
                <w:lang w:val="en-US" w:eastAsia="zh-CN"/>
              </w:rPr>
              <w:t>不提供不得分。</w:t>
            </w:r>
          </w:p>
        </w:tc>
      </w:tr>
      <w:tr w14:paraId="67D6D1C9">
        <w:tblPrEx>
          <w:shd w:val="clear" w:color="auto" w:fill="FFFFFF"/>
          <w:tblCellMar>
            <w:top w:w="0" w:type="dxa"/>
            <w:left w:w="0" w:type="dxa"/>
            <w:bottom w:w="0" w:type="dxa"/>
            <w:right w:w="0" w:type="dxa"/>
          </w:tblCellMar>
        </w:tblPrEx>
        <w:trPr>
          <w:cantSplit/>
          <w:trHeight w:val="1722"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D73F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952DE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出现产品质量问题退换货方案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E6C8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1C3685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根据投标文件中投标人对产品出现质量问题的退换货承诺（包括但不限于：退换时间、退换方式等）进行评分： </w:t>
            </w:r>
          </w:p>
          <w:p w14:paraId="654CD41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1.对产品出现质量问题的退换承诺具体可行、科学合理，</w:t>
            </w:r>
            <w:r>
              <w:rPr>
                <w:rFonts w:hint="eastAsia" w:ascii="宋体" w:hAnsi="宋体" w:eastAsia="宋体" w:cs="宋体"/>
                <w:color w:val="auto"/>
                <w:sz w:val="21"/>
                <w:szCs w:val="21"/>
                <w:highlight w:val="none"/>
                <w:lang w:val="en-US" w:eastAsia="zh-CN"/>
              </w:rPr>
              <w:t>优于或完全满足采购需求的，</w:t>
            </w:r>
            <w:r>
              <w:rPr>
                <w:rFonts w:hint="eastAsia" w:ascii="宋体" w:hAnsi="宋体" w:eastAsia="宋体" w:cs="宋体"/>
                <w:color w:val="auto"/>
                <w:kern w:val="2"/>
                <w:sz w:val="21"/>
                <w:szCs w:val="21"/>
                <w:highlight w:val="none"/>
                <w:lang w:val="en-US" w:eastAsia="zh-CN" w:bidi="ar-SA"/>
              </w:rPr>
              <w:t xml:space="preserve">得10分； </w:t>
            </w:r>
          </w:p>
          <w:p w14:paraId="44DFE5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2.对产品出现质量问题的退换承诺较合理可行，</w:t>
            </w:r>
            <w:r>
              <w:rPr>
                <w:rFonts w:hint="eastAsia" w:ascii="宋体" w:hAnsi="宋体" w:eastAsia="宋体" w:cs="宋体"/>
                <w:color w:val="auto"/>
                <w:sz w:val="21"/>
                <w:szCs w:val="21"/>
                <w:highlight w:val="none"/>
                <w:lang w:val="en-US" w:eastAsia="zh-CN"/>
              </w:rPr>
              <w:t>基本满足采购需求的，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7</w:t>
            </w:r>
            <w:r>
              <w:rPr>
                <w:rFonts w:hint="eastAsia" w:ascii="宋体" w:hAnsi="宋体" w:eastAsia="宋体" w:cs="宋体"/>
                <w:color w:val="auto"/>
                <w:kern w:val="2"/>
                <w:sz w:val="21"/>
                <w:szCs w:val="21"/>
                <w:highlight w:val="none"/>
                <w:lang w:val="en-US" w:eastAsia="zh-CN" w:bidi="ar-SA"/>
              </w:rPr>
              <w:t xml:space="preserve">分； </w:t>
            </w:r>
          </w:p>
          <w:p w14:paraId="397FE6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3.对产品出现质量问题的退换承诺不具体，可行性低，</w:t>
            </w:r>
            <w:r>
              <w:rPr>
                <w:rFonts w:hint="eastAsia" w:ascii="宋体" w:hAnsi="宋体" w:eastAsia="宋体" w:cs="宋体"/>
                <w:color w:val="auto"/>
                <w:sz w:val="21"/>
                <w:szCs w:val="21"/>
                <w:highlight w:val="none"/>
                <w:lang w:val="en-US" w:eastAsia="zh-CN"/>
              </w:rPr>
              <w:t>部分满足采购需求的，</w:t>
            </w:r>
            <w:r>
              <w:rPr>
                <w:rFonts w:hint="eastAsia" w:ascii="宋体" w:hAnsi="宋体" w:eastAsia="宋体" w:cs="宋体"/>
                <w:color w:val="auto"/>
                <w:kern w:val="2"/>
                <w:sz w:val="21"/>
                <w:szCs w:val="21"/>
                <w:highlight w:val="none"/>
                <w:lang w:val="en-US" w:eastAsia="zh-CN" w:bidi="ar-SA"/>
              </w:rPr>
              <w:t>得</w:t>
            </w:r>
            <w:r>
              <w:rPr>
                <w:rFonts w:hint="eastAsia" w:ascii="宋体" w:hAnsi="宋体"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 xml:space="preserve">分； </w:t>
            </w:r>
          </w:p>
          <w:p w14:paraId="5DFA82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4.对产品出现质量问题的退换承诺不可行，</w:t>
            </w:r>
            <w:r>
              <w:rPr>
                <w:rFonts w:hint="eastAsia" w:ascii="宋体" w:hAnsi="宋体" w:eastAsia="宋体" w:cs="宋体"/>
                <w:color w:val="auto"/>
                <w:sz w:val="21"/>
                <w:szCs w:val="21"/>
                <w:highlight w:val="none"/>
                <w:lang w:val="en-US" w:eastAsia="zh-CN"/>
              </w:rPr>
              <w:t>不能满足采购需求的，</w:t>
            </w:r>
            <w:r>
              <w:rPr>
                <w:rFonts w:hint="eastAsia" w:ascii="宋体" w:hAnsi="宋体" w:eastAsia="宋体" w:cs="宋体"/>
                <w:color w:val="auto"/>
                <w:kern w:val="2"/>
                <w:sz w:val="21"/>
                <w:szCs w:val="21"/>
                <w:highlight w:val="none"/>
                <w:lang w:val="en-US" w:eastAsia="zh-CN" w:bidi="ar-SA"/>
              </w:rPr>
              <w:t xml:space="preserve">得1分； </w:t>
            </w:r>
          </w:p>
          <w:p w14:paraId="3C4208A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不提供不得分。</w:t>
            </w:r>
          </w:p>
        </w:tc>
      </w:tr>
      <w:tr w14:paraId="52D1313D">
        <w:tblPrEx>
          <w:shd w:val="clear" w:color="auto" w:fill="FFFFFF"/>
          <w:tblCellMar>
            <w:top w:w="0" w:type="dxa"/>
            <w:left w:w="0" w:type="dxa"/>
            <w:bottom w:w="0" w:type="dxa"/>
            <w:right w:w="0" w:type="dxa"/>
          </w:tblCellMar>
        </w:tblPrEx>
        <w:trPr>
          <w:cantSplit/>
          <w:trHeight w:val="419" w:hRule="atLeast"/>
          <w:jc w:val="center"/>
        </w:trPr>
        <w:tc>
          <w:tcPr>
            <w:tcW w:w="223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053E5E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FD20A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37B76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w:t>
            </w:r>
          </w:p>
        </w:tc>
      </w:tr>
    </w:tbl>
    <w:p w14:paraId="359C6870">
      <w:pPr>
        <w:rPr>
          <w:color w:val="auto"/>
          <w:highlight w:val="none"/>
        </w:rPr>
      </w:pPr>
    </w:p>
    <w:p w14:paraId="11F62E91">
      <w:pPr>
        <w:rPr>
          <w:color w:val="auto"/>
          <w:highlight w:val="none"/>
        </w:rPr>
      </w:pPr>
      <w:r>
        <w:rPr>
          <w:color w:val="auto"/>
          <w:highlight w:val="none"/>
        </w:rPr>
        <w:t>商务</w:t>
      </w:r>
      <w:r>
        <w:rPr>
          <w:rFonts w:hint="eastAsia"/>
          <w:color w:val="auto"/>
          <w:highlight w:val="none"/>
        </w:rPr>
        <w:t>评</w:t>
      </w:r>
      <w:r>
        <w:rPr>
          <w:color w:val="auto"/>
          <w:highlight w:val="none"/>
        </w:rPr>
        <w:t>分</w:t>
      </w:r>
      <w:r>
        <w:rPr>
          <w:rFonts w:hint="eastAsia"/>
          <w:color w:val="auto"/>
          <w:highlight w:val="none"/>
        </w:rPr>
        <w:t>细则</w:t>
      </w:r>
    </w:p>
    <w:tbl>
      <w:tblPr>
        <w:tblStyle w:val="46"/>
        <w:tblW w:w="9638" w:type="dxa"/>
        <w:jc w:val="center"/>
        <w:tblLayout w:type="fixed"/>
        <w:tblCellMar>
          <w:top w:w="0" w:type="dxa"/>
          <w:left w:w="0" w:type="dxa"/>
          <w:bottom w:w="0" w:type="dxa"/>
          <w:right w:w="0" w:type="dxa"/>
        </w:tblCellMar>
      </w:tblPr>
      <w:tblGrid>
        <w:gridCol w:w="783"/>
        <w:gridCol w:w="1512"/>
        <w:gridCol w:w="707"/>
        <w:gridCol w:w="6636"/>
      </w:tblGrid>
      <w:tr w14:paraId="475AC4D2">
        <w:tblPrEx>
          <w:tblCellMar>
            <w:top w:w="0" w:type="dxa"/>
            <w:left w:w="0" w:type="dxa"/>
            <w:bottom w:w="0" w:type="dxa"/>
            <w:right w:w="0" w:type="dxa"/>
          </w:tblCellMar>
        </w:tblPrEx>
        <w:trPr>
          <w:cantSplit/>
          <w:trHeight w:val="403"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9E53D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92FB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评审内容</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4044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5A5E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1BCE6A17">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9A5E9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6C8BA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同类项目业绩及评价</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BE0F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45CF200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highlight w:val="none"/>
              </w:rPr>
              <w:t>投标人提供</w:t>
            </w:r>
            <w:r>
              <w:rPr>
                <w:rFonts w:hint="eastAsia" w:ascii="宋体" w:hAnsi="宋体" w:eastAsia="宋体" w:cs="宋体"/>
                <w:color w:val="auto"/>
                <w:highlight w:val="none"/>
                <w:lang w:val="en-US" w:eastAsia="zh-CN"/>
              </w:rPr>
              <w:t>近三年</w:t>
            </w:r>
            <w:r>
              <w:rPr>
                <w:rFonts w:hint="eastAsia" w:ascii="宋体" w:hAnsi="宋体" w:eastAsia="宋体" w:cs="宋体"/>
                <w:color w:val="auto"/>
                <w:highlight w:val="none"/>
              </w:rPr>
              <w:t>（以合同签订时间为准）的同类项目业绩，每个得</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 xml:space="preserve">分； </w:t>
            </w:r>
          </w:p>
          <w:p w14:paraId="1C62BB11">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rPr>
              <w:t>注：提供项目的合同关键页复印件加盖投标人公章，不提供不得分。</w:t>
            </w:r>
          </w:p>
          <w:p w14:paraId="4B24688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2.提供上述</w:t>
            </w:r>
            <w:r>
              <w:rPr>
                <w:rFonts w:hint="eastAsia" w:ascii="宋体" w:hAnsi="宋体" w:eastAsia="宋体" w:cs="宋体"/>
                <w:color w:val="auto"/>
                <w:highlight w:val="none"/>
              </w:rPr>
              <w:t>同类</w:t>
            </w:r>
            <w:r>
              <w:rPr>
                <w:rFonts w:hint="eastAsia" w:ascii="宋体" w:hAnsi="宋体" w:eastAsia="宋体" w:cs="宋体"/>
                <w:color w:val="auto"/>
                <w:sz w:val="21"/>
                <w:szCs w:val="21"/>
                <w:highlight w:val="none"/>
                <w:lang w:val="en-US" w:eastAsia="zh-CN"/>
              </w:rPr>
              <w:t>项目的</w:t>
            </w:r>
            <w:r>
              <w:rPr>
                <w:rFonts w:hint="eastAsia" w:ascii="宋体" w:hAnsi="宋体" w:eastAsia="宋体" w:cs="宋体"/>
                <w:color w:val="auto"/>
                <w:sz w:val="21"/>
                <w:szCs w:val="21"/>
                <w:highlight w:val="none"/>
              </w:rPr>
              <w:t>服务单位好评（即“满意或好评”等正面评价），每提供一份有效的证明材料，得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highlight w:val="none"/>
              </w:rPr>
              <w:t>最高得</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分</w:t>
            </w:r>
            <w:r>
              <w:rPr>
                <w:rFonts w:hint="eastAsia" w:ascii="宋体" w:hAnsi="宋体" w:eastAsia="宋体" w:cs="宋体"/>
                <w:color w:val="auto"/>
                <w:sz w:val="21"/>
                <w:szCs w:val="21"/>
                <w:highlight w:val="none"/>
              </w:rPr>
              <w:t>。</w:t>
            </w:r>
          </w:p>
          <w:p w14:paraId="080E62E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加盖投标人公章，</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3A2798F9">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F7E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195B4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食品安全责任险保障</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58C8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14:paraId="484820E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投标人能提供食品安全责任险保障： </w:t>
            </w:r>
          </w:p>
          <w:p w14:paraId="5A8513D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万元或以上，得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14:paraId="1B3664A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佰万元（含）-</w:t>
            </w:r>
            <w:r>
              <w:rPr>
                <w:rFonts w:hint="eastAsia" w:ascii="宋体" w:hAnsi="宋体" w:eastAsia="宋体" w:cs="宋体"/>
                <w:color w:val="auto"/>
                <w:sz w:val="21"/>
                <w:szCs w:val="21"/>
                <w:highlight w:val="none"/>
                <w:lang w:val="en-US" w:eastAsia="zh-CN"/>
              </w:rPr>
              <w:t>壹仟</w:t>
            </w:r>
            <w:r>
              <w:rPr>
                <w:rFonts w:hint="eastAsia" w:ascii="宋体" w:hAnsi="宋体" w:eastAsia="宋体" w:cs="宋体"/>
                <w:color w:val="auto"/>
                <w:sz w:val="21"/>
                <w:szCs w:val="21"/>
                <w:highlight w:val="none"/>
              </w:rPr>
              <w:t>万元（不含），得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6FD4F95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保额</w:t>
            </w:r>
            <w:r>
              <w:rPr>
                <w:rFonts w:hint="eastAsia" w:ascii="宋体" w:hAnsi="宋体" w:eastAsia="宋体" w:cs="宋体"/>
                <w:color w:val="auto"/>
                <w:sz w:val="21"/>
                <w:szCs w:val="21"/>
                <w:highlight w:val="none"/>
                <w:lang w:val="en-US" w:eastAsia="zh-CN"/>
              </w:rPr>
              <w:t>伍</w:t>
            </w:r>
            <w:r>
              <w:rPr>
                <w:rFonts w:hint="eastAsia" w:ascii="宋体" w:hAnsi="宋体" w:eastAsia="宋体" w:cs="宋体"/>
                <w:color w:val="auto"/>
                <w:sz w:val="21"/>
                <w:szCs w:val="21"/>
                <w:highlight w:val="none"/>
              </w:rPr>
              <w:t>佰万元（不含）以下</w:t>
            </w:r>
            <w:r>
              <w:rPr>
                <w:rFonts w:hint="eastAsia" w:ascii="宋体" w:hAnsi="宋体" w:eastAsia="宋体" w:cs="宋体"/>
                <w:color w:val="auto"/>
                <w:sz w:val="21"/>
                <w:szCs w:val="21"/>
                <w:highlight w:val="none"/>
                <w:lang w:val="en-US" w:eastAsia="zh-CN"/>
              </w:rPr>
              <w:t>得2分</w:t>
            </w:r>
            <w:r>
              <w:rPr>
                <w:rFonts w:hint="eastAsia" w:ascii="宋体" w:hAnsi="宋体" w:eastAsia="宋体" w:cs="宋体"/>
                <w:color w:val="auto"/>
                <w:sz w:val="21"/>
                <w:szCs w:val="21"/>
                <w:highlight w:val="none"/>
              </w:rPr>
              <w:t>。</w:t>
            </w:r>
          </w:p>
          <w:p w14:paraId="3EFEF4F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lang w:val="en-US" w:eastAsia="zh-CN"/>
              </w:rPr>
              <w:t>其他不得分。</w:t>
            </w:r>
          </w:p>
          <w:p w14:paraId="357EADD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注：提供有效保单复印件加盖投标人公章，不提供不得分。</w:t>
            </w:r>
          </w:p>
        </w:tc>
      </w:tr>
      <w:tr w14:paraId="190AC530">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B66D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0C1AC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拟投入项目团队人员</w:t>
            </w:r>
            <w:r>
              <w:rPr>
                <w:rFonts w:hint="eastAsia" w:ascii="宋体" w:hAnsi="宋体" w:eastAsia="宋体" w:cs="宋体"/>
                <w:color w:val="auto"/>
                <w:sz w:val="21"/>
                <w:szCs w:val="21"/>
                <w:highlight w:val="none"/>
                <w:lang w:val="en-US" w:eastAsia="zh-CN"/>
              </w:rPr>
              <w:t>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7943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C7A67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专门的</w:t>
            </w:r>
            <w:r>
              <w:rPr>
                <w:rFonts w:hint="eastAsia" w:ascii="宋体" w:hAnsi="宋体" w:eastAsia="宋体" w:cs="宋体"/>
                <w:color w:val="auto"/>
                <w:sz w:val="21"/>
                <w:szCs w:val="21"/>
                <w:highlight w:val="none"/>
                <w:lang w:val="en-US" w:eastAsia="zh-CN"/>
              </w:rPr>
              <w:t>食品安全管理人员</w:t>
            </w:r>
            <w:r>
              <w:rPr>
                <w:rFonts w:hint="eastAsia" w:ascii="宋体" w:hAnsi="宋体" w:eastAsia="宋体" w:cs="宋体"/>
                <w:color w:val="auto"/>
                <w:highlight w:val="none"/>
              </w:rPr>
              <w:t>，每</w:t>
            </w:r>
            <w:r>
              <w:rPr>
                <w:rFonts w:hint="eastAsia" w:ascii="宋体" w:hAnsi="宋体" w:eastAsia="宋体" w:cs="宋体"/>
                <w:color w:val="auto"/>
                <w:highlight w:val="none"/>
                <w:lang w:val="en-US" w:eastAsia="zh-CN"/>
              </w:rPr>
              <w:t>人得5</w:t>
            </w:r>
            <w:r>
              <w:rPr>
                <w:rFonts w:hint="eastAsia" w:ascii="宋体" w:hAnsi="宋体" w:eastAsia="宋体" w:cs="宋体"/>
                <w:color w:val="auto"/>
                <w:highlight w:val="none"/>
              </w:rPr>
              <w:t>分，最高得</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p w14:paraId="3ACB43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配备人员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提供广东省食品安全管理人员考试合格证明证书复印件加盖投标人公章</w:t>
            </w:r>
            <w:r>
              <w:rPr>
                <w:rFonts w:hint="eastAsia" w:ascii="宋体" w:hAnsi="宋体" w:eastAsia="宋体" w:cs="宋体"/>
                <w:color w:val="auto"/>
                <w:sz w:val="21"/>
                <w:szCs w:val="21"/>
                <w:highlight w:val="none"/>
              </w:rPr>
              <w:t>，</w:t>
            </w:r>
            <w:r>
              <w:rPr>
                <w:rFonts w:hint="eastAsia" w:ascii="宋体" w:hAnsi="宋体" w:eastAsia="宋体" w:cs="宋体"/>
                <w:color w:val="auto"/>
                <w:highlight w:val="none"/>
              </w:rPr>
              <w:t>不提供不得分</w:t>
            </w:r>
            <w:r>
              <w:rPr>
                <w:rFonts w:hint="eastAsia" w:ascii="宋体" w:hAnsi="宋体" w:eastAsia="宋体" w:cs="宋体"/>
                <w:color w:val="auto"/>
                <w:sz w:val="21"/>
                <w:szCs w:val="21"/>
                <w:highlight w:val="none"/>
              </w:rPr>
              <w:t>。</w:t>
            </w:r>
          </w:p>
        </w:tc>
      </w:tr>
      <w:tr w14:paraId="3BAE4ED7">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2A8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E95AB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配送能力</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0895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732DD0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投标人针对本项目投入的配送车辆，每配备1台配送车辆的得</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p w14:paraId="1BED95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rPr>
              <w:t>最高得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59B1409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注：投标人自有</w:t>
            </w:r>
            <w:r>
              <w:rPr>
                <w:rFonts w:hint="eastAsia" w:ascii="宋体" w:hAnsi="宋体" w:eastAsia="宋体" w:cs="宋体"/>
                <w:color w:val="auto"/>
                <w:sz w:val="21"/>
                <w:szCs w:val="21"/>
                <w:highlight w:val="none"/>
                <w:lang w:val="en-US" w:eastAsia="zh-CN"/>
              </w:rPr>
              <w:t>车辆的</w:t>
            </w:r>
            <w:r>
              <w:rPr>
                <w:rFonts w:hint="eastAsia" w:ascii="宋体" w:hAnsi="宋体" w:eastAsia="宋体" w:cs="宋体"/>
                <w:color w:val="auto"/>
                <w:sz w:val="21"/>
                <w:szCs w:val="21"/>
                <w:highlight w:val="none"/>
              </w:rPr>
              <w:t>，需提供购车发票</w:t>
            </w:r>
            <w:r>
              <w:rPr>
                <w:rFonts w:hint="eastAsia" w:ascii="宋体" w:hAnsi="宋体" w:eastAsia="宋体" w:cs="宋体"/>
                <w:color w:val="auto"/>
                <w:sz w:val="21"/>
                <w:szCs w:val="21"/>
                <w:highlight w:val="none"/>
                <w:lang w:val="en-US" w:eastAsia="zh-CN"/>
              </w:rPr>
              <w:t>复印件或</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w:t>
            </w:r>
            <w:r>
              <w:rPr>
                <w:rFonts w:hint="eastAsia" w:ascii="宋体" w:hAnsi="宋体" w:eastAsia="宋体" w:cs="宋体"/>
                <w:color w:val="auto"/>
                <w:sz w:val="21"/>
                <w:szCs w:val="21"/>
                <w:highlight w:val="none"/>
                <w:lang w:val="en-US" w:eastAsia="zh-CN"/>
              </w:rPr>
              <w:t>投标人租赁车辆的</w:t>
            </w:r>
            <w:r>
              <w:rPr>
                <w:rFonts w:hint="eastAsia" w:ascii="宋体" w:hAnsi="宋体" w:eastAsia="宋体" w:cs="宋体"/>
                <w:color w:val="auto"/>
                <w:sz w:val="21"/>
                <w:szCs w:val="21"/>
                <w:highlight w:val="none"/>
              </w:rPr>
              <w:t>，需提供</w:t>
            </w:r>
            <w:r>
              <w:rPr>
                <w:rFonts w:hint="eastAsia" w:ascii="宋体" w:hAnsi="宋体" w:eastAsia="宋体" w:cs="宋体"/>
                <w:color w:val="auto"/>
                <w:sz w:val="21"/>
                <w:szCs w:val="21"/>
                <w:highlight w:val="none"/>
                <w:lang w:val="en-US" w:eastAsia="zh-CN"/>
              </w:rPr>
              <w:t>以投标人或法定代表人签署的</w:t>
            </w:r>
            <w:r>
              <w:rPr>
                <w:rFonts w:hint="eastAsia" w:ascii="宋体" w:hAnsi="宋体" w:eastAsia="宋体" w:cs="宋体"/>
                <w:color w:val="auto"/>
                <w:sz w:val="21"/>
                <w:szCs w:val="21"/>
                <w:highlight w:val="none"/>
              </w:rPr>
              <w:t>车辆租赁合同</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有效的《机动车行驶证》</w:t>
            </w:r>
            <w:r>
              <w:rPr>
                <w:rFonts w:hint="eastAsia" w:ascii="宋体" w:hAnsi="宋体" w:eastAsia="宋体" w:cs="宋体"/>
                <w:color w:val="auto"/>
                <w:sz w:val="21"/>
                <w:szCs w:val="21"/>
                <w:highlight w:val="none"/>
                <w:lang w:val="en-US" w:eastAsia="zh-CN"/>
              </w:rPr>
              <w:t>复印件和</w:t>
            </w:r>
            <w:r>
              <w:rPr>
                <w:rFonts w:hint="eastAsia" w:ascii="宋体" w:hAnsi="宋体" w:eastAsia="宋体" w:cs="宋体"/>
                <w:color w:val="auto"/>
                <w:sz w:val="21"/>
                <w:szCs w:val="21"/>
                <w:highlight w:val="none"/>
              </w:rPr>
              <w:t>车辆照片加盖投标人公章。不提供不得分。</w:t>
            </w:r>
          </w:p>
        </w:tc>
      </w:tr>
      <w:tr w14:paraId="0E5331CD">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3801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63E26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投标人自有或租赁的冷冻/冷藏库情况</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9895A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3F476">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投标人具有</w:t>
            </w:r>
            <w:r>
              <w:rPr>
                <w:rFonts w:hint="eastAsia" w:ascii="宋体" w:hAnsi="宋体" w:eastAsia="宋体" w:cs="宋体"/>
                <w:color w:val="auto"/>
                <w:sz w:val="21"/>
                <w:szCs w:val="21"/>
                <w:highlight w:val="none"/>
              </w:rPr>
              <w:t>冷冻/冷藏库</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eastAsia="zh-CN"/>
              </w:rPr>
              <w:t>。</w:t>
            </w:r>
          </w:p>
          <w:p w14:paraId="59FBFF2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及冷冻/冷藏库照片并加盖投标人公章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7D3D9ACA">
        <w:tblPrEx>
          <w:tblCellMar>
            <w:top w:w="0" w:type="dxa"/>
            <w:left w:w="0" w:type="dxa"/>
            <w:bottom w:w="0" w:type="dxa"/>
            <w:right w:w="0" w:type="dxa"/>
          </w:tblCellMar>
        </w:tblPrEx>
        <w:trPr>
          <w:cantSplit/>
          <w:trHeight w:val="620" w:hRule="atLeast"/>
          <w:jc w:val="center"/>
        </w:trPr>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363B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1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EB2A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配送场地</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B48D0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A3EB3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配送场地</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14:paraId="6A7A2A0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注：提供</w:t>
            </w:r>
            <w:r>
              <w:rPr>
                <w:rFonts w:hint="eastAsia" w:ascii="宋体" w:hAnsi="宋体" w:eastAsia="宋体" w:cs="宋体"/>
                <w:color w:val="auto"/>
                <w:sz w:val="21"/>
                <w:szCs w:val="21"/>
                <w:highlight w:val="none"/>
                <w:lang w:val="en-US" w:eastAsia="zh-CN"/>
              </w:rPr>
              <w:t>投标人或法定代表人</w:t>
            </w:r>
            <w:r>
              <w:rPr>
                <w:rFonts w:hint="eastAsia" w:ascii="宋体" w:hAnsi="宋体" w:eastAsia="宋体" w:cs="宋体"/>
                <w:color w:val="auto"/>
                <w:sz w:val="21"/>
                <w:szCs w:val="21"/>
                <w:highlight w:val="none"/>
              </w:rPr>
              <w:t>的产权证明或以</w:t>
            </w:r>
            <w:r>
              <w:rPr>
                <w:rFonts w:hint="eastAsia" w:ascii="宋体" w:hAnsi="宋体" w:eastAsia="宋体" w:cs="宋体"/>
                <w:color w:val="auto"/>
                <w:sz w:val="21"/>
                <w:szCs w:val="21"/>
                <w:highlight w:val="none"/>
                <w:lang w:val="en-US" w:eastAsia="zh-CN"/>
              </w:rPr>
              <w:t>投标人或法定代表人签署</w:t>
            </w:r>
            <w:r>
              <w:rPr>
                <w:rFonts w:hint="eastAsia" w:ascii="宋体" w:hAnsi="宋体" w:eastAsia="宋体" w:cs="宋体"/>
                <w:color w:val="auto"/>
                <w:sz w:val="21"/>
                <w:szCs w:val="21"/>
                <w:highlight w:val="none"/>
              </w:rPr>
              <w:t>的租赁合同</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及配送场地照片并加盖投标人公章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不提供不得分。</w:t>
            </w:r>
          </w:p>
        </w:tc>
      </w:tr>
      <w:tr w14:paraId="14D92927">
        <w:tblPrEx>
          <w:tblCellMar>
            <w:top w:w="0" w:type="dxa"/>
            <w:left w:w="0" w:type="dxa"/>
            <w:bottom w:w="0" w:type="dxa"/>
            <w:right w:w="0" w:type="dxa"/>
          </w:tblCellMar>
        </w:tblPrEx>
        <w:trPr>
          <w:cantSplit/>
          <w:trHeight w:val="429" w:hRule="atLeast"/>
          <w:jc w:val="center"/>
        </w:trPr>
        <w:tc>
          <w:tcPr>
            <w:tcW w:w="2295" w:type="dxa"/>
            <w:gridSpan w:val="2"/>
            <w:tcBorders>
              <w:top w:val="single" w:color="auto" w:sz="8" w:space="0"/>
              <w:left w:val="single" w:color="auto" w:sz="8" w:space="0"/>
              <w:bottom w:val="single" w:color="auto" w:sz="8" w:space="0"/>
              <w:right w:val="single" w:color="auto" w:sz="8" w:space="0"/>
            </w:tcBorders>
            <w:vAlign w:val="center"/>
          </w:tcPr>
          <w:p w14:paraId="092254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D033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分</w:t>
            </w:r>
          </w:p>
        </w:tc>
        <w:tc>
          <w:tcPr>
            <w:tcW w:w="663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F4EA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 w:val="21"/>
                <w:szCs w:val="21"/>
                <w:highlight w:val="none"/>
              </w:rPr>
            </w:pPr>
          </w:p>
        </w:tc>
      </w:tr>
    </w:tbl>
    <w:p w14:paraId="215EA853">
      <w:pPr>
        <w:rPr>
          <w:rFonts w:hint="eastAsia"/>
          <w:color w:val="auto"/>
          <w:highlight w:val="none"/>
        </w:rPr>
      </w:pPr>
      <w:r>
        <w:rPr>
          <w:rFonts w:hint="eastAsia"/>
          <w:color w:val="auto"/>
          <w:highlight w:val="none"/>
        </w:rPr>
        <w:t>注：对照每项评价指标要求，投标文件完全不满足要求的，不得分。</w:t>
      </w:r>
    </w:p>
    <w:p w14:paraId="5362190B">
      <w:pPr>
        <w:rPr>
          <w:rFonts w:hint="eastAsia"/>
          <w:color w:val="auto"/>
          <w:highlight w:val="none"/>
        </w:rPr>
      </w:pPr>
    </w:p>
    <w:p w14:paraId="00BD38B9">
      <w:pPr>
        <w:rPr>
          <w:rFonts w:hint="eastAsia" w:ascii="宋体" w:hAnsi="宋体" w:cs="Tahoma"/>
          <w:b/>
          <w:bCs/>
          <w:color w:val="auto"/>
          <w:highlight w:val="none"/>
          <w:lang w:val="en-US" w:eastAsia="zh-CN"/>
        </w:rPr>
      </w:pPr>
    </w:p>
    <w:p w14:paraId="52BCC044">
      <w:pPr>
        <w:pStyle w:val="39"/>
        <w:rPr>
          <w:rFonts w:hint="eastAsia"/>
          <w:color w:val="auto"/>
          <w:highlight w:val="none"/>
        </w:rPr>
      </w:pPr>
    </w:p>
    <w:p w14:paraId="5465CCF7">
      <w:pPr>
        <w:pStyle w:val="2"/>
        <w:numPr>
          <w:ilvl w:val="0"/>
          <w:numId w:val="0"/>
        </w:numPr>
        <w:spacing w:beforeLines="0"/>
        <w:rPr>
          <w:rFonts w:hint="eastAsia"/>
          <w:color w:val="auto"/>
          <w:highlight w:val="none"/>
        </w:rPr>
      </w:pPr>
    </w:p>
    <w:p w14:paraId="0BDB0355">
      <w:pPr>
        <w:pStyle w:val="2"/>
        <w:numPr>
          <w:ilvl w:val="0"/>
          <w:numId w:val="0"/>
        </w:numPr>
        <w:spacing w:beforeLines="0"/>
        <w:rPr>
          <w:rFonts w:hint="eastAsia"/>
          <w:color w:val="auto"/>
          <w:highlight w:val="none"/>
        </w:rPr>
      </w:pPr>
    </w:p>
    <w:p w14:paraId="010EDE21">
      <w:pPr>
        <w:rPr>
          <w:rFonts w:hint="eastAsia"/>
          <w:color w:val="auto"/>
          <w:highlight w:val="none"/>
        </w:rPr>
      </w:pPr>
    </w:p>
    <w:p w14:paraId="01221E29">
      <w:pPr>
        <w:rPr>
          <w:rFonts w:hint="eastAsia"/>
          <w:color w:val="auto"/>
          <w:highlight w:val="none"/>
        </w:rPr>
      </w:pPr>
      <w:r>
        <w:rPr>
          <w:rFonts w:hint="eastAsia"/>
          <w:color w:val="auto"/>
          <w:highlight w:val="none"/>
        </w:rPr>
        <w:br w:type="page"/>
      </w:r>
    </w:p>
    <w:p w14:paraId="6DFD4307">
      <w:pPr>
        <w:pStyle w:val="2"/>
        <w:numPr>
          <w:ilvl w:val="0"/>
          <w:numId w:val="0"/>
        </w:numPr>
        <w:spacing w:beforeLines="0"/>
        <w:rPr>
          <w:color w:val="auto"/>
          <w:highlight w:val="none"/>
        </w:rPr>
      </w:pPr>
      <w:bookmarkStart w:id="1611" w:name="_Toc30495"/>
      <w:r>
        <w:rPr>
          <w:rFonts w:hint="eastAsia"/>
          <w:color w:val="auto"/>
          <w:highlight w:val="none"/>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auto"/>
          <w:highlight w:val="none"/>
        </w:rPr>
        <w:t>（参考范本）</w:t>
      </w:r>
      <w:bookmarkEnd w:id="1611"/>
    </w:p>
    <w:p w14:paraId="3EC01DB6">
      <w:pPr>
        <w:rPr>
          <w:bCs/>
          <w:color w:val="auto"/>
          <w:highlight w:val="none"/>
        </w:rPr>
      </w:pPr>
    </w:p>
    <w:p w14:paraId="6BC3B791">
      <w:pPr>
        <w:rPr>
          <w:color w:val="auto"/>
          <w:highlight w:val="none"/>
        </w:rPr>
      </w:pPr>
    </w:p>
    <w:p w14:paraId="331CFD72">
      <w:pPr>
        <w:jc w:val="center"/>
        <w:rPr>
          <w:rFonts w:hint="eastAsia" w:ascii="宋体" w:hAnsi="宋体"/>
          <w:b/>
          <w:color w:val="auto"/>
          <w:sz w:val="30"/>
          <w:szCs w:val="30"/>
          <w:highlight w:val="none"/>
        </w:rPr>
      </w:pPr>
    </w:p>
    <w:p w14:paraId="7066FBD8">
      <w:pPr>
        <w:jc w:val="center"/>
        <w:rPr>
          <w:rFonts w:hint="eastAsia" w:ascii="宋体" w:hAnsi="宋体"/>
          <w:b/>
          <w:color w:val="auto"/>
          <w:sz w:val="36"/>
          <w:szCs w:val="36"/>
          <w:highlight w:val="none"/>
        </w:rPr>
      </w:pPr>
    </w:p>
    <w:p w14:paraId="53FE42BC">
      <w:pPr>
        <w:pStyle w:val="54"/>
        <w:rPr>
          <w:rFonts w:hint="eastAsia" w:ascii="宋体" w:hAnsi="宋体"/>
          <w:b/>
          <w:color w:val="auto"/>
          <w:sz w:val="36"/>
          <w:szCs w:val="36"/>
          <w:highlight w:val="none"/>
        </w:rPr>
      </w:pPr>
    </w:p>
    <w:p w14:paraId="4CA9EBC0">
      <w:pPr>
        <w:pStyle w:val="54"/>
        <w:rPr>
          <w:rFonts w:hint="eastAsia" w:ascii="宋体" w:hAnsi="宋体"/>
          <w:b/>
          <w:color w:val="auto"/>
          <w:sz w:val="36"/>
          <w:szCs w:val="36"/>
          <w:highlight w:val="none"/>
        </w:rPr>
      </w:pPr>
    </w:p>
    <w:p w14:paraId="7B74FFFA">
      <w:pPr>
        <w:pStyle w:val="54"/>
        <w:rPr>
          <w:rFonts w:hint="eastAsia" w:ascii="宋体" w:hAnsi="宋体"/>
          <w:b/>
          <w:color w:val="auto"/>
          <w:sz w:val="36"/>
          <w:szCs w:val="36"/>
          <w:highlight w:val="none"/>
        </w:rPr>
      </w:pPr>
    </w:p>
    <w:p w14:paraId="374FFCA7">
      <w:pPr>
        <w:pStyle w:val="54"/>
        <w:rPr>
          <w:rFonts w:hint="eastAsia" w:ascii="宋体" w:hAnsi="宋体"/>
          <w:b/>
          <w:color w:val="auto"/>
          <w:sz w:val="36"/>
          <w:szCs w:val="36"/>
          <w:highlight w:val="none"/>
        </w:rPr>
      </w:pPr>
    </w:p>
    <w:p w14:paraId="4715E5BC">
      <w:pPr>
        <w:jc w:val="center"/>
        <w:rPr>
          <w:rFonts w:hint="eastAsia" w:ascii="宋体" w:hAnsi="宋体"/>
          <w:b/>
          <w:color w:val="auto"/>
          <w:sz w:val="72"/>
          <w:szCs w:val="72"/>
          <w:highlight w:val="none"/>
        </w:rPr>
      </w:pPr>
      <w:r>
        <w:rPr>
          <w:rFonts w:hint="eastAsia" w:ascii="宋体" w:hAnsi="宋体"/>
          <w:b/>
          <w:color w:val="auto"/>
          <w:sz w:val="72"/>
          <w:szCs w:val="72"/>
          <w:highlight w:val="none"/>
        </w:rPr>
        <w:t>合 同 书</w:t>
      </w:r>
    </w:p>
    <w:p w14:paraId="626BAB2C">
      <w:pPr>
        <w:jc w:val="center"/>
        <w:rPr>
          <w:rFonts w:hint="eastAsia" w:ascii="宋体" w:hAnsi="宋体"/>
          <w:b/>
          <w:color w:val="auto"/>
          <w:sz w:val="28"/>
          <w:szCs w:val="28"/>
          <w:highlight w:val="none"/>
        </w:rPr>
      </w:pPr>
    </w:p>
    <w:p w14:paraId="3206E083">
      <w:pPr>
        <w:jc w:val="center"/>
        <w:rPr>
          <w:rFonts w:hint="eastAsia" w:ascii="宋体" w:hAnsi="宋体"/>
          <w:b/>
          <w:color w:val="auto"/>
          <w:sz w:val="28"/>
          <w:szCs w:val="28"/>
          <w:highlight w:val="none"/>
        </w:rPr>
      </w:pPr>
    </w:p>
    <w:p w14:paraId="6292B18D">
      <w:pPr>
        <w:jc w:val="center"/>
        <w:rPr>
          <w:rFonts w:hint="eastAsia" w:ascii="宋体" w:hAnsi="宋体"/>
          <w:b/>
          <w:color w:val="auto"/>
          <w:sz w:val="28"/>
          <w:szCs w:val="28"/>
          <w:highlight w:val="none"/>
        </w:rPr>
      </w:pPr>
    </w:p>
    <w:p w14:paraId="5E29ED4A">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采购编号：</w:t>
      </w:r>
      <w:r>
        <w:rPr>
          <w:rFonts w:hint="eastAsia" w:ascii="宋体" w:hAnsi="宋体"/>
          <w:b/>
          <w:color w:val="auto"/>
          <w:sz w:val="28"/>
          <w:szCs w:val="28"/>
          <w:highlight w:val="none"/>
          <w:u w:val="single"/>
        </w:rPr>
        <w:t xml:space="preserve">                          </w:t>
      </w:r>
    </w:p>
    <w:p w14:paraId="00DF0062">
      <w:pPr>
        <w:rPr>
          <w:rFonts w:hint="eastAsia" w:ascii="宋体" w:hAnsi="宋体"/>
          <w:b/>
          <w:color w:val="auto"/>
          <w:sz w:val="28"/>
          <w:szCs w:val="28"/>
          <w:highlight w:val="none"/>
        </w:rPr>
      </w:pPr>
    </w:p>
    <w:p w14:paraId="4255D2C7">
      <w:pPr>
        <w:ind w:firstLine="1968" w:firstLineChars="700"/>
        <w:rPr>
          <w:rFonts w:hint="eastAsia" w:ascii="宋体" w:hAnsi="宋体"/>
          <w:b/>
          <w:color w:val="auto"/>
          <w:sz w:val="28"/>
          <w:szCs w:val="28"/>
          <w:highlight w:val="non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14:paraId="487B69FB">
      <w:pPr>
        <w:rPr>
          <w:rFonts w:hint="eastAsia" w:ascii="宋体" w:hAnsi="宋体"/>
          <w:b/>
          <w:color w:val="auto"/>
          <w:sz w:val="28"/>
          <w:szCs w:val="28"/>
          <w:highlight w:val="none"/>
        </w:rPr>
      </w:pPr>
    </w:p>
    <w:p w14:paraId="1B90A80F">
      <w:pPr>
        <w:rPr>
          <w:rFonts w:hint="eastAsia" w:ascii="宋体" w:hAnsi="宋体"/>
          <w:b/>
          <w:color w:val="auto"/>
          <w:sz w:val="28"/>
          <w:szCs w:val="28"/>
          <w:highlight w:val="none"/>
        </w:rPr>
      </w:pPr>
    </w:p>
    <w:p w14:paraId="3B164607">
      <w:pPr>
        <w:rPr>
          <w:rFonts w:hint="eastAsia" w:ascii="宋体" w:hAnsi="宋体"/>
          <w:b/>
          <w:color w:val="auto"/>
          <w:sz w:val="28"/>
          <w:szCs w:val="28"/>
          <w:highlight w:val="none"/>
        </w:rPr>
      </w:pPr>
    </w:p>
    <w:p w14:paraId="31FBCB98">
      <w:pPr>
        <w:rPr>
          <w:rFonts w:hint="eastAsia" w:ascii="宋体" w:hAnsi="宋体"/>
          <w:b/>
          <w:color w:val="auto"/>
          <w:sz w:val="28"/>
          <w:szCs w:val="28"/>
          <w:highlight w:val="none"/>
        </w:rPr>
      </w:pPr>
    </w:p>
    <w:p w14:paraId="72EC0001">
      <w:pPr>
        <w:rPr>
          <w:rFonts w:hint="eastAsia" w:ascii="宋体" w:hAnsi="宋体"/>
          <w:b/>
          <w:color w:val="auto"/>
          <w:sz w:val="28"/>
          <w:szCs w:val="28"/>
          <w:highlight w:val="none"/>
        </w:rPr>
      </w:pPr>
    </w:p>
    <w:p w14:paraId="2EE53990">
      <w:pPr>
        <w:rPr>
          <w:rFonts w:hint="eastAsia" w:ascii="宋体" w:hAnsi="宋体"/>
          <w:b/>
          <w:color w:val="auto"/>
          <w:sz w:val="28"/>
          <w:szCs w:val="28"/>
          <w:highlight w:val="none"/>
        </w:rPr>
      </w:pPr>
    </w:p>
    <w:p w14:paraId="54DD3E3C">
      <w:pPr>
        <w:rPr>
          <w:rFonts w:hint="eastAsia" w:ascii="宋体" w:hAnsi="宋体"/>
          <w:b/>
          <w:color w:val="auto"/>
          <w:szCs w:val="21"/>
          <w:highlight w:val="none"/>
        </w:rPr>
      </w:pPr>
      <w:r>
        <w:rPr>
          <w:rFonts w:hint="eastAsia" w:ascii="宋体" w:hAnsi="宋体"/>
          <w:b/>
          <w:color w:val="auto"/>
          <w:szCs w:val="21"/>
          <w:highlight w:val="none"/>
        </w:rPr>
        <w:t>注：本合同仅为合同草案文本，合同签订双方可根据项目的具体要求进行修订和细化。</w:t>
      </w:r>
    </w:p>
    <w:p w14:paraId="02CEE56C">
      <w:pPr>
        <w:ind w:firstLine="5670" w:firstLineChars="2700"/>
        <w:rPr>
          <w:rFonts w:hint="eastAsia" w:ascii="宋体" w:hAnsi="宋体"/>
          <w:color w:val="auto"/>
          <w:szCs w:val="21"/>
          <w:highlight w:val="none"/>
        </w:rPr>
      </w:pPr>
    </w:p>
    <w:p w14:paraId="2B7DDA16">
      <w:pPr>
        <w:spacing w:line="240" w:lineRule="auto"/>
        <w:rPr>
          <w:rFonts w:hint="eastAsia" w:ascii="宋体" w:hAnsi="宋体" w:cs="宋体"/>
          <w:color w:val="auto"/>
          <w:highlight w:val="none"/>
        </w:rPr>
      </w:pPr>
      <w:bookmarkStart w:id="1613" w:name="_Toc339019899"/>
      <w:bookmarkStart w:id="1614" w:name="_Toc349143599"/>
      <w:bookmarkStart w:id="1615" w:name="_Toc342060384"/>
      <w:bookmarkStart w:id="1616" w:name="_Toc330459995"/>
      <w:bookmarkStart w:id="1617" w:name="_Toc345513911"/>
      <w:bookmarkStart w:id="1618" w:name="_Toc366072539"/>
      <w:bookmarkStart w:id="1619" w:name="_Toc491658678"/>
      <w:bookmarkStart w:id="1620" w:name="_Toc349127636"/>
      <w:bookmarkStart w:id="1621" w:name="_Toc350438759"/>
      <w:bookmarkStart w:id="1622" w:name="_Toc365985188"/>
      <w:bookmarkStart w:id="1623" w:name="_Toc332206718"/>
      <w:bookmarkStart w:id="1624" w:name="_Toc339020243"/>
      <w:bookmarkStart w:id="1625" w:name="_Toc333237798"/>
      <w:bookmarkStart w:id="1626" w:name="_Toc500861025"/>
      <w:bookmarkStart w:id="1627" w:name="_Toc339362310"/>
      <w:bookmarkStart w:id="1628" w:name="_Toc333238643"/>
      <w:bookmarkStart w:id="1629" w:name="_Toc337632368"/>
      <w:bookmarkStart w:id="1630" w:name="_Toc336681590"/>
      <w:bookmarkStart w:id="1631" w:name="_Toc331512908"/>
      <w:bookmarkStart w:id="1632" w:name="_Toc333237687"/>
      <w:bookmarkStart w:id="1633" w:name="_Toc342296770"/>
      <w:bookmarkStart w:id="1634" w:name="_Toc341348348"/>
      <w:bookmarkStart w:id="1635" w:name="_Toc333935697"/>
      <w:bookmarkStart w:id="1636" w:name="_Toc331684048"/>
      <w:bookmarkStart w:id="1637" w:name="_Toc340677080"/>
      <w:bookmarkStart w:id="1638" w:name="_Toc350756460"/>
      <w:bookmarkStart w:id="1639" w:name="_Toc340672879"/>
      <w:bookmarkStart w:id="1640" w:name="_Toc340507452"/>
      <w:bookmarkStart w:id="1641" w:name="_Toc339020105"/>
      <w:bookmarkStart w:id="1642" w:name="_Toc339441097"/>
      <w:bookmarkStart w:id="1643" w:name="_Toc339020025"/>
      <w:bookmarkStart w:id="1644" w:name="_Toc365967082"/>
      <w:bookmarkStart w:id="1645" w:name="_Toc332270356"/>
      <w:bookmarkStart w:id="1646" w:name="_Toc333935356"/>
      <w:bookmarkStart w:id="1647" w:name="_Toc336681945"/>
    </w:p>
    <w:p w14:paraId="32A0B913">
      <w:pPr>
        <w:pStyle w:val="240"/>
        <w:numPr>
          <w:ilvl w:val="0"/>
          <w:numId w:val="0"/>
        </w:numPr>
        <w:ind w:leftChars="0"/>
        <w:rPr>
          <w:rFonts w:hint="default"/>
          <w:color w:val="auto"/>
          <w:highlight w:val="none"/>
          <w:lang w:val="en-US" w:eastAsia="zh-CN"/>
        </w:rPr>
      </w:pPr>
    </w:p>
    <w:p w14:paraId="3AC7A5B1">
      <w:pPr>
        <w:pStyle w:val="2"/>
        <w:numPr>
          <w:ilvl w:val="0"/>
          <w:numId w:val="0"/>
        </w:numPr>
        <w:spacing w:beforeLines="0"/>
        <w:rPr>
          <w:rFonts w:hint="eastAsia"/>
          <w:color w:val="auto"/>
          <w:highlight w:val="none"/>
        </w:rPr>
      </w:pPr>
    </w:p>
    <w:p w14:paraId="4CD2B12F">
      <w:pPr>
        <w:rPr>
          <w:rFonts w:hint="eastAsia"/>
          <w:color w:val="auto"/>
          <w:highlight w:val="none"/>
        </w:rPr>
      </w:pPr>
      <w:r>
        <w:rPr>
          <w:rFonts w:hint="eastAsia"/>
          <w:color w:val="auto"/>
          <w:highlight w:val="none"/>
        </w:rPr>
        <w:br w:type="page"/>
      </w:r>
    </w:p>
    <w:p w14:paraId="0E9298B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    方：</w:t>
      </w:r>
      <w:r>
        <w:rPr>
          <w:rFonts w:hint="eastAsia" w:ascii="宋体" w:hAnsi="宋体" w:eastAsia="宋体" w:cs="宋体"/>
          <w:b/>
          <w:color w:val="auto"/>
          <w:sz w:val="21"/>
          <w:szCs w:val="21"/>
          <w:highlight w:val="none"/>
          <w:u w:val="single"/>
        </w:rPr>
        <w:t xml:space="preserve">                   </w:t>
      </w:r>
    </w:p>
    <w:p w14:paraId="0327006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           　   传  真：           地  址：</w:t>
      </w:r>
    </w:p>
    <w:p w14:paraId="6227BB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    方：</w:t>
      </w:r>
      <w:r>
        <w:rPr>
          <w:rFonts w:hint="eastAsia" w:ascii="宋体" w:hAnsi="宋体" w:eastAsia="宋体" w:cs="宋体"/>
          <w:b/>
          <w:color w:val="auto"/>
          <w:sz w:val="21"/>
          <w:szCs w:val="21"/>
          <w:highlight w:val="none"/>
          <w:u w:val="single"/>
        </w:rPr>
        <w:t xml:space="preserve">                    </w:t>
      </w:r>
    </w:p>
    <w:p w14:paraId="67C41FE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传  真：           地  址：   </w:t>
      </w:r>
    </w:p>
    <w:p w14:paraId="1790B24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项目名称：                                   采购编号：               </w:t>
      </w:r>
    </w:p>
    <w:p w14:paraId="010AF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35630EC1">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根据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）的采购结果</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rPr>
        <w:t>招标投标文件中的相关约定，按照《中华人民共和国政府采购法》、</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的规定，</w:t>
      </w:r>
      <w:r>
        <w:rPr>
          <w:rFonts w:hint="eastAsia" w:ascii="宋体" w:hAnsi="宋体" w:eastAsia="宋体" w:cs="宋体"/>
          <w:color w:val="auto"/>
          <w:kern w:val="28"/>
          <w:sz w:val="21"/>
          <w:szCs w:val="21"/>
          <w:highlight w:val="none"/>
        </w:rPr>
        <w:t>经双方协商，</w:t>
      </w:r>
      <w:r>
        <w:rPr>
          <w:rFonts w:hint="eastAsia" w:ascii="宋体" w:hAnsi="宋体" w:eastAsia="宋体" w:cs="宋体"/>
          <w:color w:val="auto"/>
          <w:sz w:val="21"/>
          <w:szCs w:val="21"/>
          <w:highlight w:val="none"/>
        </w:rPr>
        <w:t>本着平等互利和诚实信用的原则，</w:t>
      </w:r>
      <w:r>
        <w:rPr>
          <w:rFonts w:hint="eastAsia" w:ascii="宋体" w:hAnsi="宋体" w:eastAsia="宋体" w:cs="宋体"/>
          <w:color w:val="auto"/>
          <w:kern w:val="28"/>
          <w:sz w:val="21"/>
          <w:szCs w:val="21"/>
          <w:highlight w:val="none"/>
        </w:rPr>
        <w:t>一致同意签订本合同如下。</w:t>
      </w:r>
    </w:p>
    <w:p w14:paraId="740D5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合同金额</w:t>
      </w:r>
    </w:p>
    <w:p w14:paraId="22E10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合同金额为人民币（大写</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元）。</w:t>
      </w:r>
    </w:p>
    <w:p w14:paraId="5FE72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服务范围</w:t>
      </w:r>
    </w:p>
    <w:p w14:paraId="23B12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甲方聘请乙方提供以下服务：</w:t>
      </w:r>
    </w:p>
    <w:p w14:paraId="4B295BB7">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p>
    <w:p w14:paraId="080A567C">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1B977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14:paraId="2BBC31B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eastAsia="宋体"/>
          <w:b/>
          <w:bCs/>
          <w:color w:val="auto"/>
          <w:highlight w:val="none"/>
          <w:lang w:val="en-US" w:eastAsia="zh-CN"/>
        </w:rPr>
        <w:t>三、</w:t>
      </w:r>
      <w:r>
        <w:rPr>
          <w:rFonts w:hint="eastAsia" w:ascii="宋体" w:hAnsi="宋体" w:eastAsia="宋体" w:cs="宋体"/>
          <w:b/>
          <w:bCs/>
          <w:color w:val="auto"/>
          <w:sz w:val="21"/>
          <w:szCs w:val="21"/>
          <w:highlight w:val="none"/>
        </w:rPr>
        <w:t>甲方乙方的权利和义务</w:t>
      </w:r>
    </w:p>
    <w:p w14:paraId="7761954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甲方的权利和义务</w:t>
      </w:r>
    </w:p>
    <w:p w14:paraId="4C84C51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乙方的权利和义务</w:t>
      </w:r>
    </w:p>
    <w:p w14:paraId="123C3D91">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服务期间（项目完成期限）</w:t>
      </w:r>
    </w:p>
    <w:p w14:paraId="5F6C5720">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委托服务期间自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月至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 xml:space="preserve">年 </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月止。</w:t>
      </w:r>
    </w:p>
    <w:p w14:paraId="110D361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五、付款方式</w:t>
      </w:r>
    </w:p>
    <w:p w14:paraId="6D641F9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auto"/>
          <w:sz w:val="21"/>
          <w:szCs w:val="21"/>
          <w:highlight w:val="none"/>
        </w:rPr>
      </w:pPr>
    </w:p>
    <w:p w14:paraId="246CC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 知识产权归属</w:t>
      </w:r>
    </w:p>
    <w:p w14:paraId="296CD27D">
      <w:pPr>
        <w:pStyle w:val="54"/>
        <w:rPr>
          <w:rFonts w:hint="eastAsia"/>
          <w:color w:val="auto"/>
          <w:highlight w:val="none"/>
        </w:rPr>
      </w:pPr>
    </w:p>
    <w:p w14:paraId="7CCFE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 、 保 密</w:t>
      </w:r>
    </w:p>
    <w:p w14:paraId="71F50A14">
      <w:pPr>
        <w:pStyle w:val="54"/>
        <w:rPr>
          <w:rFonts w:hint="eastAsia"/>
          <w:color w:val="auto"/>
          <w:highlight w:val="none"/>
        </w:rPr>
      </w:pPr>
    </w:p>
    <w:p w14:paraId="7BDCC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 违约责任与赔偿损失</w:t>
      </w:r>
    </w:p>
    <w:p w14:paraId="4F45E3EE">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乙方提供的服务不符合本合同规定的，甲方有权拒收，并且乙方须向甲方支付本合同总价 5%的违约金。</w:t>
      </w:r>
    </w:p>
    <w:p w14:paraId="4EC57E5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081A065B">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甲方无正当理由拒收接受服务，到期拒付服务款项的，甲方向乙方偿付本合同总的5%的违约金。甲方人逾期付款，则每日按本合同总价的 3‰向乙方偿付违约金。</w:t>
      </w:r>
    </w:p>
    <w:p w14:paraId="09511EC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对于因甲方原因导致变更、中止或者终止政府采购合同的，甲方应当依照以下合同约定对供应商受到的损失予以赔偿或者补偿：</w:t>
      </w:r>
    </w:p>
    <w:p w14:paraId="6660DDB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其它违约责任按</w:t>
      </w:r>
      <w:r>
        <w:rPr>
          <w:rFonts w:hint="eastAsia" w:ascii="宋体" w:hAnsi="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处理。</w:t>
      </w:r>
    </w:p>
    <w:p w14:paraId="247C0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 争议的解决</w:t>
      </w:r>
    </w:p>
    <w:p w14:paraId="6DD1D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1.合同执行过程中发生的任何争议，如双方不能通过友好协商解决，按相关法律法规处理。</w:t>
      </w:r>
    </w:p>
    <w:p w14:paraId="0BC7C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 不可抗力</w:t>
      </w:r>
    </w:p>
    <w:p w14:paraId="76037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DED2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  税费</w:t>
      </w:r>
    </w:p>
    <w:p w14:paraId="05AEA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1.在中国境内、外发生的与本合同执行有关的一切税费均由乙方负担。</w:t>
      </w:r>
    </w:p>
    <w:p w14:paraId="02F54F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 其它</w:t>
      </w:r>
    </w:p>
    <w:p w14:paraId="0C15326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本合同所有附件、招标文件、投标文件、中标通知书均为合同的有效组成部分，与本合同具有同等法律效力。</w:t>
      </w:r>
    </w:p>
    <w:p w14:paraId="5CCB029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14:paraId="48406D3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如一方地址、电话、传真号码有变更，应在变更当日内书面通知对方，否则，应承担相应责任。</w:t>
      </w:r>
    </w:p>
    <w:p w14:paraId="1C4AA83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除甲方事先书面同意外，乙方不得部分或全部转让其应履行的合同项下的义务。</w:t>
      </w:r>
    </w:p>
    <w:p w14:paraId="12CDC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t>合同生效</w:t>
      </w:r>
    </w:p>
    <w:p w14:paraId="282FBF3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本合同在甲乙双方法人代表或其授权代表签字盖章后生效。</w:t>
      </w:r>
    </w:p>
    <w:p w14:paraId="6F3A0A2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合同一式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份。</w:t>
      </w:r>
    </w:p>
    <w:p w14:paraId="6E5126C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本项目合同订立后，应提供</w:t>
      </w:r>
      <w:r>
        <w:rPr>
          <w:rFonts w:hint="eastAsia" w:ascii="宋体" w:hAnsi="宋体" w:eastAsia="宋体" w:cs="宋体"/>
          <w:color w:val="auto"/>
          <w:sz w:val="21"/>
          <w:szCs w:val="21"/>
          <w:highlight w:val="none"/>
          <w:lang w:val="en-US" w:eastAsia="zh-CN"/>
        </w:rPr>
        <w:t>一份</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single"/>
        </w:rPr>
        <w:t>广东业信采购招标有限公司</w:t>
      </w:r>
      <w:r>
        <w:rPr>
          <w:rFonts w:hint="eastAsia" w:ascii="宋体" w:hAnsi="宋体" w:eastAsia="宋体" w:cs="宋体"/>
          <w:color w:val="auto"/>
          <w:sz w:val="21"/>
          <w:szCs w:val="21"/>
          <w:highlight w:val="none"/>
        </w:rPr>
        <w:t xml:space="preserve">备案； </w:t>
      </w:r>
    </w:p>
    <w:p w14:paraId="4D964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C223F2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p>
    <w:p w14:paraId="22A32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0276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甲方（盖章）：                         乙方（盖章）：</w:t>
      </w:r>
    </w:p>
    <w:p w14:paraId="35186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代表：                                代表： </w:t>
      </w:r>
    </w:p>
    <w:p w14:paraId="62B25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签定地点：</w:t>
      </w:r>
    </w:p>
    <w:p w14:paraId="0271C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签定日期：   年   月  日              签定日期：    年   月   日    </w:t>
      </w:r>
    </w:p>
    <w:p w14:paraId="0813A3BB">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p w14:paraId="04D9C89D">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银行帐号：</w:t>
      </w:r>
    </w:p>
    <w:p w14:paraId="70933BC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auto"/>
          <w:szCs w:val="21"/>
          <w:highlight w:val="none"/>
        </w:rPr>
      </w:pPr>
      <w:r>
        <w:rPr>
          <w:rFonts w:hint="eastAsia" w:ascii="宋体" w:hAnsi="宋体" w:eastAsia="宋体" w:cs="宋体"/>
          <w:color w:val="auto"/>
          <w:sz w:val="21"/>
          <w:szCs w:val="21"/>
          <w:highlight w:val="none"/>
        </w:rPr>
        <w:t>开 户 行：</w:t>
      </w:r>
    </w:p>
    <w:p w14:paraId="7E491983">
      <w:pPr>
        <w:rPr>
          <w:rFonts w:hint="eastAsia"/>
          <w:color w:val="auto"/>
          <w:highlight w:val="none"/>
        </w:rPr>
      </w:pPr>
      <w:r>
        <w:rPr>
          <w:rFonts w:hint="eastAsia"/>
          <w:color w:val="auto"/>
          <w:highlight w:val="none"/>
        </w:rPr>
        <w:br w:type="page"/>
      </w:r>
    </w:p>
    <w:p w14:paraId="6F1F376E">
      <w:pPr>
        <w:pStyle w:val="2"/>
        <w:numPr>
          <w:ilvl w:val="0"/>
          <w:numId w:val="0"/>
        </w:numPr>
        <w:spacing w:beforeLines="0"/>
        <w:rPr>
          <w:color w:val="auto"/>
          <w:highlight w:val="none"/>
        </w:rPr>
      </w:pPr>
      <w:bookmarkStart w:id="1648" w:name="_Toc31496"/>
      <w:r>
        <w:rPr>
          <w:rFonts w:hint="eastAsia"/>
          <w:color w:val="auto"/>
          <w:highlight w:val="none"/>
        </w:rPr>
        <w:t>第五部分</w:t>
      </w:r>
      <w:bookmarkStart w:id="1649" w:name="_Hlt97188172"/>
      <w:bookmarkEnd w:id="1649"/>
      <w:r>
        <w:rPr>
          <w:rFonts w:hint="eastAsia"/>
          <w:color w:val="auto"/>
          <w:highlight w:val="none"/>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14:paraId="7B326E5F">
      <w:pPr>
        <w:pStyle w:val="3"/>
        <w:numPr>
          <w:ilvl w:val="0"/>
          <w:numId w:val="0"/>
        </w:numPr>
        <w:rPr>
          <w:color w:val="auto"/>
          <w:sz w:val="24"/>
          <w:highlight w:val="none"/>
        </w:rPr>
      </w:pPr>
      <w:bookmarkStart w:id="1651" w:name="_Toc18699"/>
      <w:bookmarkStart w:id="1652" w:name="_Toc20644"/>
      <w:r>
        <w:rPr>
          <w:rFonts w:hint="eastAsia"/>
          <w:color w:val="auto"/>
          <w:sz w:val="24"/>
          <w:highlight w:val="none"/>
        </w:rPr>
        <w:t>资格审查封面格式</w:t>
      </w:r>
      <w:bookmarkEnd w:id="1651"/>
      <w:bookmarkEnd w:id="1652"/>
    </w:p>
    <w:p w14:paraId="39137E7D">
      <w:pPr>
        <w:pStyle w:val="4"/>
        <w:rPr>
          <w:rFonts w:hAnsi="宋体"/>
          <w:bCs/>
          <w:color w:val="auto"/>
          <w:sz w:val="21"/>
          <w:highlight w:val="none"/>
        </w:rPr>
      </w:pPr>
    </w:p>
    <w:p w14:paraId="760E15E6">
      <w:pPr>
        <w:pStyle w:val="4"/>
        <w:spacing w:line="360" w:lineRule="auto"/>
        <w:rPr>
          <w:rFonts w:hAnsi="宋体"/>
          <w:bCs/>
          <w:color w:val="auto"/>
          <w:sz w:val="21"/>
          <w:highlight w:val="none"/>
        </w:rPr>
      </w:pPr>
      <w:r>
        <w:rPr>
          <w:rFonts w:hint="eastAsia" w:hAnsi="宋体"/>
          <w:bCs/>
          <w:color w:val="auto"/>
          <w:sz w:val="21"/>
          <w:highlight w:val="none"/>
        </w:rPr>
        <w:t xml:space="preserve">1、投标内容应当编有目录、页码，按页码排序并装订成册。  </w:t>
      </w:r>
    </w:p>
    <w:p w14:paraId="6F7A55ED">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14:paraId="7A60A8F3">
      <w:pPr>
        <w:pStyle w:val="4"/>
        <w:rPr>
          <w:rFonts w:hAnsi="宋体"/>
          <w:bCs/>
          <w:color w:val="auto"/>
          <w:sz w:val="21"/>
          <w:highlight w:val="none"/>
        </w:rPr>
      </w:pPr>
    </w:p>
    <w:p w14:paraId="77A540A2">
      <w:pPr>
        <w:pStyle w:val="4"/>
        <w:rPr>
          <w:rFonts w:hAnsi="宋体"/>
          <w:bCs/>
          <w:color w:val="auto"/>
          <w:sz w:val="21"/>
          <w:highlight w:val="none"/>
        </w:rPr>
      </w:pPr>
    </w:p>
    <w:p w14:paraId="41D481A0">
      <w:pPr>
        <w:pStyle w:val="4"/>
        <w:rPr>
          <w:rFonts w:hAnsi="宋体"/>
          <w:bCs/>
          <w:color w:val="auto"/>
          <w:sz w:val="21"/>
          <w:highlight w:val="none"/>
        </w:rPr>
      </w:pPr>
    </w:p>
    <w:p w14:paraId="06EC0075">
      <w:pPr>
        <w:pStyle w:val="4"/>
        <w:rPr>
          <w:rFonts w:hAnsi="宋体"/>
          <w:bCs/>
          <w:color w:val="auto"/>
          <w:sz w:val="21"/>
          <w:highlight w:val="none"/>
        </w:rPr>
      </w:pPr>
    </w:p>
    <w:p w14:paraId="207DA1A3">
      <w:pPr>
        <w:pStyle w:val="4"/>
        <w:rPr>
          <w:rFonts w:hAnsi="宋体"/>
          <w:bCs/>
          <w:color w:val="auto"/>
          <w:sz w:val="21"/>
          <w:highlight w:val="none"/>
        </w:rPr>
      </w:pPr>
    </w:p>
    <w:p w14:paraId="0672BCD7">
      <w:pPr>
        <w:pStyle w:val="4"/>
        <w:rPr>
          <w:rFonts w:hAnsi="宋体"/>
          <w:bCs/>
          <w:color w:val="auto"/>
          <w:sz w:val="21"/>
          <w:highlight w:val="none"/>
        </w:rPr>
      </w:pPr>
    </w:p>
    <w:p w14:paraId="65EE178B">
      <w:pPr>
        <w:pStyle w:val="4"/>
        <w:rPr>
          <w:rFonts w:hAnsi="宋体"/>
          <w:bCs/>
          <w:color w:val="auto"/>
          <w:sz w:val="21"/>
          <w:highlight w:val="none"/>
        </w:rPr>
      </w:pPr>
    </w:p>
    <w:p w14:paraId="23198B60">
      <w:pPr>
        <w:pStyle w:val="4"/>
        <w:rPr>
          <w:rFonts w:hAnsi="宋体"/>
          <w:bCs/>
          <w:color w:val="auto"/>
          <w:sz w:val="21"/>
          <w:highlight w:val="none"/>
        </w:rPr>
      </w:pPr>
    </w:p>
    <w:p w14:paraId="022C2FF2">
      <w:pPr>
        <w:pStyle w:val="4"/>
        <w:rPr>
          <w:rFonts w:hAnsi="宋体"/>
          <w:bCs/>
          <w:color w:val="auto"/>
          <w:sz w:val="21"/>
          <w:highlight w:val="none"/>
        </w:rPr>
      </w:pPr>
    </w:p>
    <w:p w14:paraId="49B9F73A">
      <w:pPr>
        <w:pStyle w:val="4"/>
        <w:rPr>
          <w:rFonts w:hAnsi="宋体"/>
          <w:bCs/>
          <w:color w:val="auto"/>
          <w:sz w:val="21"/>
          <w:highlight w:val="none"/>
        </w:rPr>
      </w:pPr>
    </w:p>
    <w:p w14:paraId="3764377A">
      <w:pPr>
        <w:pStyle w:val="4"/>
        <w:rPr>
          <w:rFonts w:hAnsi="宋体"/>
          <w:bCs/>
          <w:color w:val="auto"/>
          <w:sz w:val="21"/>
          <w:highlight w:val="none"/>
        </w:rPr>
      </w:pPr>
    </w:p>
    <w:p w14:paraId="26CD916F">
      <w:pPr>
        <w:pStyle w:val="4"/>
        <w:rPr>
          <w:rFonts w:hAnsi="宋体"/>
          <w:bCs/>
          <w:color w:val="auto"/>
          <w:sz w:val="21"/>
          <w:highlight w:val="none"/>
        </w:rPr>
      </w:pPr>
    </w:p>
    <w:p w14:paraId="7F43B27D">
      <w:pPr>
        <w:pStyle w:val="4"/>
        <w:rPr>
          <w:rFonts w:hAnsi="宋体"/>
          <w:bCs/>
          <w:color w:val="auto"/>
          <w:sz w:val="21"/>
          <w:highlight w:val="none"/>
        </w:rPr>
      </w:pPr>
    </w:p>
    <w:p w14:paraId="37F0B009">
      <w:pPr>
        <w:pStyle w:val="4"/>
        <w:rPr>
          <w:rFonts w:hAnsi="宋体"/>
          <w:bCs/>
          <w:color w:val="auto"/>
          <w:sz w:val="21"/>
          <w:highlight w:val="none"/>
        </w:rPr>
      </w:pPr>
    </w:p>
    <w:p w14:paraId="59693E1B">
      <w:pPr>
        <w:pStyle w:val="4"/>
        <w:rPr>
          <w:rFonts w:hAnsi="宋体"/>
          <w:bCs/>
          <w:color w:val="auto"/>
          <w:sz w:val="21"/>
          <w:highlight w:val="none"/>
        </w:rPr>
      </w:pPr>
    </w:p>
    <w:p w14:paraId="5784D30F">
      <w:pPr>
        <w:pStyle w:val="4"/>
        <w:rPr>
          <w:rFonts w:hAnsi="宋体"/>
          <w:bCs/>
          <w:color w:val="auto"/>
          <w:sz w:val="21"/>
          <w:highlight w:val="none"/>
        </w:rPr>
      </w:pPr>
    </w:p>
    <w:p w14:paraId="779E7FA7">
      <w:pPr>
        <w:pStyle w:val="4"/>
        <w:rPr>
          <w:rFonts w:hAnsi="宋体"/>
          <w:bCs/>
          <w:color w:val="auto"/>
          <w:sz w:val="21"/>
          <w:highlight w:val="none"/>
        </w:rPr>
      </w:pPr>
    </w:p>
    <w:p w14:paraId="72457B10">
      <w:pPr>
        <w:pStyle w:val="4"/>
        <w:rPr>
          <w:rFonts w:hAnsi="宋体"/>
          <w:bCs/>
          <w:color w:val="auto"/>
          <w:sz w:val="21"/>
          <w:highlight w:val="none"/>
        </w:rPr>
      </w:pPr>
    </w:p>
    <w:p w14:paraId="0A63CBAE">
      <w:pPr>
        <w:pStyle w:val="4"/>
        <w:rPr>
          <w:rFonts w:hAnsi="宋体"/>
          <w:bCs/>
          <w:color w:val="auto"/>
          <w:sz w:val="21"/>
          <w:highlight w:val="none"/>
        </w:rPr>
      </w:pPr>
    </w:p>
    <w:p w14:paraId="37A39E1D">
      <w:pPr>
        <w:pStyle w:val="4"/>
        <w:rPr>
          <w:rFonts w:hAnsi="宋体"/>
          <w:bCs/>
          <w:color w:val="auto"/>
          <w:sz w:val="21"/>
          <w:highlight w:val="none"/>
        </w:rPr>
      </w:pPr>
    </w:p>
    <w:p w14:paraId="6E9C52D5">
      <w:pPr>
        <w:pStyle w:val="4"/>
        <w:rPr>
          <w:rFonts w:hAnsi="宋体"/>
          <w:bCs/>
          <w:color w:val="auto"/>
          <w:sz w:val="21"/>
          <w:highlight w:val="none"/>
        </w:rPr>
      </w:pPr>
    </w:p>
    <w:p w14:paraId="7620B5E8">
      <w:pPr>
        <w:pStyle w:val="4"/>
        <w:rPr>
          <w:rFonts w:hAnsi="宋体"/>
          <w:bCs/>
          <w:color w:val="auto"/>
          <w:sz w:val="21"/>
          <w:highlight w:val="none"/>
        </w:rPr>
      </w:pPr>
    </w:p>
    <w:p w14:paraId="49F0AE00">
      <w:pPr>
        <w:pStyle w:val="4"/>
        <w:rPr>
          <w:rFonts w:hAnsi="宋体"/>
          <w:bCs/>
          <w:color w:val="auto"/>
          <w:sz w:val="21"/>
          <w:highlight w:val="none"/>
        </w:rPr>
      </w:pPr>
    </w:p>
    <w:p w14:paraId="52F87D21">
      <w:pPr>
        <w:pStyle w:val="4"/>
        <w:rPr>
          <w:rFonts w:hAnsi="宋体"/>
          <w:bCs/>
          <w:color w:val="auto"/>
          <w:sz w:val="21"/>
          <w:highlight w:val="none"/>
        </w:rPr>
      </w:pPr>
    </w:p>
    <w:p w14:paraId="148DD08D">
      <w:pPr>
        <w:pStyle w:val="4"/>
        <w:rPr>
          <w:rFonts w:hAnsi="宋体"/>
          <w:bCs/>
          <w:color w:val="auto"/>
          <w:sz w:val="21"/>
          <w:highlight w:val="none"/>
        </w:rPr>
      </w:pPr>
    </w:p>
    <w:p w14:paraId="34572BEC">
      <w:pPr>
        <w:pStyle w:val="4"/>
        <w:rPr>
          <w:rFonts w:hAnsi="宋体"/>
          <w:bCs/>
          <w:color w:val="auto"/>
          <w:sz w:val="21"/>
          <w:highlight w:val="none"/>
        </w:rPr>
      </w:pPr>
    </w:p>
    <w:p w14:paraId="3158258F">
      <w:pPr>
        <w:pStyle w:val="4"/>
        <w:rPr>
          <w:rFonts w:hAnsi="宋体"/>
          <w:bCs/>
          <w:color w:val="auto"/>
          <w:sz w:val="21"/>
          <w:highlight w:val="none"/>
        </w:rPr>
      </w:pPr>
    </w:p>
    <w:p w14:paraId="6D3A5CE5">
      <w:pPr>
        <w:pStyle w:val="4"/>
        <w:rPr>
          <w:rFonts w:hAnsi="宋体"/>
          <w:bCs/>
          <w:color w:val="auto"/>
          <w:sz w:val="21"/>
          <w:highlight w:val="none"/>
        </w:rPr>
      </w:pPr>
    </w:p>
    <w:p w14:paraId="1AA79FD7">
      <w:pPr>
        <w:pStyle w:val="4"/>
        <w:rPr>
          <w:rFonts w:hAnsi="宋体"/>
          <w:bCs/>
          <w:color w:val="auto"/>
          <w:sz w:val="21"/>
          <w:highlight w:val="none"/>
        </w:rPr>
      </w:pPr>
    </w:p>
    <w:p w14:paraId="7504386D">
      <w:pPr>
        <w:pStyle w:val="4"/>
        <w:rPr>
          <w:rFonts w:hAnsi="宋体"/>
          <w:bCs/>
          <w:color w:val="auto"/>
          <w:sz w:val="21"/>
          <w:highlight w:val="none"/>
        </w:rPr>
      </w:pPr>
    </w:p>
    <w:p w14:paraId="212F3D7C">
      <w:pPr>
        <w:pStyle w:val="4"/>
        <w:rPr>
          <w:rFonts w:hAnsi="宋体"/>
          <w:bCs/>
          <w:color w:val="auto"/>
          <w:sz w:val="21"/>
          <w:highlight w:val="none"/>
        </w:rPr>
      </w:pPr>
    </w:p>
    <w:p w14:paraId="792E0CEE">
      <w:pPr>
        <w:pStyle w:val="4"/>
        <w:rPr>
          <w:rFonts w:hAnsi="宋体"/>
          <w:bCs/>
          <w:color w:val="auto"/>
          <w:sz w:val="21"/>
          <w:highlight w:val="none"/>
        </w:rPr>
      </w:pPr>
    </w:p>
    <w:p w14:paraId="78851E37">
      <w:pPr>
        <w:pStyle w:val="4"/>
        <w:rPr>
          <w:rFonts w:hAnsi="宋体"/>
          <w:bCs/>
          <w:color w:val="auto"/>
          <w:sz w:val="21"/>
          <w:highlight w:val="none"/>
        </w:rPr>
      </w:pPr>
    </w:p>
    <w:p w14:paraId="0A890A0F">
      <w:pPr>
        <w:pStyle w:val="4"/>
        <w:rPr>
          <w:rFonts w:hAnsi="宋体"/>
          <w:bCs/>
          <w:color w:val="auto"/>
          <w:sz w:val="21"/>
          <w:highlight w:val="none"/>
        </w:rPr>
      </w:pPr>
    </w:p>
    <w:p w14:paraId="0D586A23">
      <w:pPr>
        <w:pStyle w:val="4"/>
        <w:rPr>
          <w:rFonts w:hAnsi="宋体"/>
          <w:bCs/>
          <w:color w:val="auto"/>
          <w:sz w:val="21"/>
          <w:highlight w:val="none"/>
        </w:rPr>
      </w:pPr>
    </w:p>
    <w:p w14:paraId="23BCC2F4">
      <w:pPr>
        <w:pStyle w:val="4"/>
        <w:spacing w:line="440" w:lineRule="exact"/>
        <w:jc w:val="center"/>
        <w:rPr>
          <w:rFonts w:hAnsi="宋体"/>
          <w:bCs/>
          <w:color w:val="auto"/>
          <w:sz w:val="21"/>
          <w:highlight w:val="none"/>
        </w:rPr>
      </w:pPr>
    </w:p>
    <w:p w14:paraId="2151CF7D">
      <w:pPr>
        <w:pStyle w:val="4"/>
        <w:spacing w:line="440" w:lineRule="exact"/>
        <w:jc w:val="center"/>
        <w:rPr>
          <w:rFonts w:hAnsi="宋体"/>
          <w:bCs/>
          <w:color w:val="auto"/>
          <w:sz w:val="21"/>
          <w:highlight w:val="none"/>
        </w:rPr>
      </w:pPr>
    </w:p>
    <w:p w14:paraId="53E6421B">
      <w:pPr>
        <w:pStyle w:val="4"/>
        <w:spacing w:line="440" w:lineRule="exact"/>
        <w:jc w:val="center"/>
        <w:rPr>
          <w:rFonts w:hAnsi="宋体"/>
          <w:bCs/>
          <w:color w:val="auto"/>
          <w:sz w:val="21"/>
          <w:highlight w:val="none"/>
        </w:rPr>
      </w:pPr>
    </w:p>
    <w:p w14:paraId="3194B8D6">
      <w:pPr>
        <w:pStyle w:val="4"/>
        <w:spacing w:line="440" w:lineRule="exact"/>
        <w:jc w:val="center"/>
        <w:rPr>
          <w:rFonts w:hAnsi="宋体"/>
          <w:bCs/>
          <w:color w:val="auto"/>
          <w:sz w:val="21"/>
          <w:highlight w:val="none"/>
        </w:rPr>
      </w:pPr>
    </w:p>
    <w:p w14:paraId="33253AFD">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35C6E922">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（资格审查文件）</w:t>
      </w:r>
    </w:p>
    <w:p w14:paraId="3295F2D7">
      <w:pPr>
        <w:pStyle w:val="4"/>
        <w:spacing w:line="360" w:lineRule="auto"/>
        <w:jc w:val="center"/>
        <w:rPr>
          <w:rFonts w:hAnsi="宋体"/>
          <w:bCs/>
          <w:color w:val="auto"/>
          <w:sz w:val="52"/>
          <w:szCs w:val="52"/>
          <w:highlight w:val="none"/>
        </w:rPr>
      </w:pPr>
    </w:p>
    <w:p w14:paraId="087E86DB">
      <w:pPr>
        <w:pStyle w:val="4"/>
        <w:spacing w:line="360" w:lineRule="auto"/>
        <w:jc w:val="center"/>
        <w:rPr>
          <w:rFonts w:hAnsi="宋体"/>
          <w:bCs/>
          <w:color w:val="auto"/>
          <w:sz w:val="52"/>
          <w:szCs w:val="52"/>
          <w:highlight w:val="none"/>
        </w:rPr>
      </w:pPr>
    </w:p>
    <w:p w14:paraId="41919D73">
      <w:pPr>
        <w:pStyle w:val="4"/>
        <w:spacing w:line="360" w:lineRule="auto"/>
        <w:jc w:val="center"/>
        <w:rPr>
          <w:rFonts w:hAnsi="宋体"/>
          <w:bCs/>
          <w:color w:val="auto"/>
          <w:sz w:val="52"/>
          <w:szCs w:val="52"/>
          <w:highlight w:val="none"/>
        </w:rPr>
      </w:pPr>
    </w:p>
    <w:p w14:paraId="4C2C753F">
      <w:pPr>
        <w:pStyle w:val="4"/>
        <w:spacing w:line="360" w:lineRule="auto"/>
        <w:jc w:val="center"/>
        <w:rPr>
          <w:rFonts w:hAnsi="宋体"/>
          <w:bCs/>
          <w:color w:val="auto"/>
          <w:sz w:val="52"/>
          <w:szCs w:val="52"/>
          <w:highlight w:val="none"/>
        </w:rPr>
      </w:pPr>
    </w:p>
    <w:p w14:paraId="792BBD03">
      <w:pPr>
        <w:pStyle w:val="4"/>
        <w:spacing w:line="360" w:lineRule="auto"/>
        <w:jc w:val="center"/>
        <w:rPr>
          <w:rFonts w:hAnsi="宋体"/>
          <w:bCs/>
          <w:color w:val="auto"/>
          <w:sz w:val="52"/>
          <w:szCs w:val="52"/>
          <w:highlight w:val="none"/>
        </w:rPr>
      </w:pPr>
    </w:p>
    <w:p w14:paraId="72DF0A4B">
      <w:pPr>
        <w:pStyle w:val="4"/>
        <w:spacing w:line="440" w:lineRule="exact"/>
        <w:jc w:val="center"/>
        <w:rPr>
          <w:rFonts w:hAnsi="宋体"/>
          <w:bCs/>
          <w:color w:val="auto"/>
          <w:sz w:val="21"/>
          <w:highlight w:val="none"/>
        </w:rPr>
      </w:pPr>
    </w:p>
    <w:p w14:paraId="41193B37">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F2EFA1E">
      <w:pPr>
        <w:pStyle w:val="4"/>
        <w:spacing w:line="440" w:lineRule="exact"/>
        <w:rPr>
          <w:rFonts w:hint="default" w:hAnsi="宋体" w:eastAsia="宋体"/>
          <w:bCs/>
          <w:color w:val="auto"/>
          <w:sz w:val="21"/>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p>
    <w:p w14:paraId="34D4A27D">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14:paraId="76DFAF7F">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7D34FEDC">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14:paraId="3196B4A0">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36A94D13">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14:paraId="7FF3DC27">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14:paraId="5F654C6F">
      <w:pPr>
        <w:pStyle w:val="4"/>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14:paraId="50DD8C20">
      <w:pPr>
        <w:tabs>
          <w:tab w:val="left" w:pos="1004"/>
          <w:tab w:val="left" w:pos="4267"/>
        </w:tabs>
        <w:spacing w:line="400" w:lineRule="exact"/>
        <w:rPr>
          <w:rFonts w:ascii="宋体" w:hAnsi="宋体"/>
          <w:bCs/>
          <w:color w:val="auto"/>
          <w:highlight w:val="none"/>
        </w:rPr>
      </w:pPr>
    </w:p>
    <w:p w14:paraId="750146FD">
      <w:pPr>
        <w:tabs>
          <w:tab w:val="left" w:pos="1004"/>
          <w:tab w:val="left" w:pos="4267"/>
        </w:tabs>
        <w:spacing w:line="400" w:lineRule="exact"/>
        <w:rPr>
          <w:rFonts w:ascii="宋体" w:hAnsi="宋体"/>
          <w:bCs/>
          <w:color w:val="auto"/>
          <w:highlight w:val="none"/>
        </w:rPr>
      </w:pPr>
    </w:p>
    <w:p w14:paraId="0FA2A473">
      <w:pPr>
        <w:tabs>
          <w:tab w:val="left" w:pos="1004"/>
          <w:tab w:val="left" w:pos="4267"/>
        </w:tabs>
        <w:spacing w:line="400" w:lineRule="exact"/>
        <w:rPr>
          <w:rFonts w:ascii="宋体" w:hAnsi="宋体"/>
          <w:bCs/>
          <w:color w:val="auto"/>
          <w:highlight w:val="none"/>
        </w:rPr>
      </w:pPr>
    </w:p>
    <w:p w14:paraId="6813715E">
      <w:pPr>
        <w:pStyle w:val="3"/>
        <w:numPr>
          <w:ilvl w:val="7"/>
          <w:numId w:val="6"/>
        </w:numPr>
        <w:tabs>
          <w:tab w:val="clear" w:pos="720"/>
        </w:tabs>
        <w:spacing w:before="240" w:after="240" w:line="360" w:lineRule="exact"/>
        <w:ind w:left="0" w:firstLine="0"/>
        <w:rPr>
          <w:color w:val="auto"/>
          <w:sz w:val="24"/>
          <w:highlight w:val="none"/>
        </w:rPr>
      </w:pPr>
      <w:r>
        <w:rPr>
          <w:rFonts w:hint="eastAsia"/>
          <w:color w:val="auto"/>
          <w:sz w:val="24"/>
          <w:highlight w:val="none"/>
        </w:rPr>
        <w:t xml:space="preserve">  </w:t>
      </w:r>
      <w:bookmarkStart w:id="1653" w:name="_Toc31809"/>
      <w:bookmarkStart w:id="1654" w:name="_Toc1657"/>
      <w:r>
        <w:rPr>
          <w:rFonts w:hint="eastAsia"/>
          <w:color w:val="auto"/>
          <w:sz w:val="24"/>
          <w:highlight w:val="none"/>
        </w:rPr>
        <w:t>自查表</w:t>
      </w:r>
      <w:bookmarkEnd w:id="1653"/>
      <w:bookmarkEnd w:id="1654"/>
    </w:p>
    <w:p w14:paraId="1B89F17A">
      <w:pPr>
        <w:pStyle w:val="3"/>
        <w:keepLines w:val="0"/>
        <w:numPr>
          <w:ilvl w:val="0"/>
          <w:numId w:val="0"/>
        </w:numPr>
        <w:tabs>
          <w:tab w:val="left" w:pos="4320"/>
        </w:tabs>
        <w:spacing w:before="240" w:after="60" w:line="360" w:lineRule="auto"/>
        <w:rPr>
          <w:rFonts w:ascii="宋体"/>
          <w:b/>
          <w:bCs w:val="0"/>
          <w:color w:val="auto"/>
          <w:szCs w:val="21"/>
          <w:highlight w:val="none"/>
        </w:rPr>
      </w:pPr>
      <w:bookmarkStart w:id="1655" w:name="_Toc15898"/>
      <w:r>
        <w:rPr>
          <w:rFonts w:hint="eastAsia" w:ascii="宋体"/>
          <w:b/>
          <w:bCs w:val="0"/>
          <w:color w:val="auto"/>
          <w:szCs w:val="21"/>
          <w:highlight w:val="none"/>
        </w:rPr>
        <w:t xml:space="preserve"> </w:t>
      </w:r>
      <w:bookmarkStart w:id="1656" w:name="_Toc28905"/>
      <w:r>
        <w:rPr>
          <w:rFonts w:hint="eastAsia" w:ascii="宋体"/>
          <w:b/>
          <w:bCs w:val="0"/>
          <w:color w:val="auto"/>
          <w:szCs w:val="21"/>
          <w:highlight w:val="none"/>
        </w:rPr>
        <w:t>资格性自查表</w:t>
      </w:r>
      <w:bookmarkEnd w:id="1655"/>
      <w:bookmarkEnd w:id="1656"/>
    </w:p>
    <w:p w14:paraId="58B089E4">
      <w:pPr>
        <w:spacing w:line="360" w:lineRule="auto"/>
        <w:jc w:val="center"/>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（01包组、02包组、03包组、04包组）</w:t>
      </w:r>
    </w:p>
    <w:tbl>
      <w:tblPr>
        <w:tblStyle w:val="4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4104"/>
        <w:gridCol w:w="1716"/>
        <w:gridCol w:w="2437"/>
      </w:tblGrid>
      <w:tr w14:paraId="7715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6343E1FC">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4104" w:type="dxa"/>
            <w:vAlign w:val="center"/>
          </w:tcPr>
          <w:p w14:paraId="192CBCEC">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716" w:type="dxa"/>
            <w:vAlign w:val="center"/>
          </w:tcPr>
          <w:p w14:paraId="35C6407E">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20F9ECEA">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437" w:type="dxa"/>
            <w:vAlign w:val="center"/>
          </w:tcPr>
          <w:p w14:paraId="0E155D3E">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332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709" w:type="dxa"/>
            <w:vMerge w:val="restart"/>
            <w:vAlign w:val="center"/>
          </w:tcPr>
          <w:p w14:paraId="378468B8">
            <w:pPr>
              <w:bidi w:val="0"/>
              <w:rPr>
                <w:color w:val="auto"/>
                <w:highlight w:val="none"/>
              </w:rPr>
            </w:pPr>
            <w:r>
              <w:rPr>
                <w:rFonts w:hint="eastAsia"/>
                <w:color w:val="auto"/>
                <w:highlight w:val="none"/>
              </w:rPr>
              <w:t>资格性检查</w:t>
            </w:r>
          </w:p>
        </w:tc>
        <w:tc>
          <w:tcPr>
            <w:tcW w:w="1125" w:type="dxa"/>
            <w:vMerge w:val="restart"/>
            <w:vAlign w:val="center"/>
          </w:tcPr>
          <w:p w14:paraId="7F9CFC01">
            <w:pPr>
              <w:bidi w:val="0"/>
              <w:rPr>
                <w:color w:val="auto"/>
                <w:highlight w:val="none"/>
              </w:rPr>
            </w:pPr>
            <w:r>
              <w:rPr>
                <w:rFonts w:hint="eastAsia"/>
                <w:color w:val="auto"/>
                <w:highlight w:val="none"/>
              </w:rPr>
              <w:t>投标人资格要求</w:t>
            </w:r>
          </w:p>
        </w:tc>
        <w:tc>
          <w:tcPr>
            <w:tcW w:w="4104" w:type="dxa"/>
            <w:vAlign w:val="center"/>
          </w:tcPr>
          <w:p w14:paraId="236B09DA">
            <w:pPr>
              <w:tabs>
                <w:tab w:val="left" w:pos="0"/>
              </w:tabs>
              <w:rPr>
                <w:rFonts w:ascii="宋体" w:hAnsi="宋体"/>
                <w:color w:val="auto"/>
                <w:szCs w:val="21"/>
                <w:highlight w:val="none"/>
              </w:rPr>
            </w:pPr>
            <w:r>
              <w:rPr>
                <w:rFonts w:hint="eastAsia" w:ascii="宋体" w:hAnsi="宋体"/>
                <w:color w:val="auto"/>
                <w:szCs w:val="21"/>
                <w:highlight w:val="none"/>
              </w:rPr>
              <w:t>投标人应具备《中华人民共和国政府采购法》第二十二条规定的条件</w:t>
            </w:r>
          </w:p>
          <w:p w14:paraId="23F5DE54">
            <w:pPr>
              <w:tabs>
                <w:tab w:val="left" w:pos="0"/>
              </w:tabs>
              <w:rPr>
                <w:rFonts w:ascii="宋体" w:hAnsi="宋体"/>
                <w:b/>
                <w:bCs/>
                <w:color w:val="auto"/>
                <w:szCs w:val="21"/>
                <w:highlight w:val="none"/>
              </w:rPr>
            </w:pPr>
          </w:p>
        </w:tc>
        <w:tc>
          <w:tcPr>
            <w:tcW w:w="1716" w:type="dxa"/>
            <w:vAlign w:val="center"/>
          </w:tcPr>
          <w:p w14:paraId="3DB0C18E">
            <w:pPr>
              <w:tabs>
                <w:tab w:val="left" w:pos="480"/>
              </w:tabs>
              <w:ind w:left="480" w:hanging="480"/>
              <w:rPr>
                <w:rFonts w:ascii="宋体" w:hAnsi="宋体"/>
                <w:b/>
                <w:bCs/>
                <w:color w:val="auto"/>
                <w:szCs w:val="21"/>
                <w:highlight w:val="none"/>
              </w:rPr>
            </w:pPr>
          </w:p>
        </w:tc>
        <w:tc>
          <w:tcPr>
            <w:tcW w:w="2437" w:type="dxa"/>
            <w:vAlign w:val="center"/>
          </w:tcPr>
          <w:p w14:paraId="7324109C">
            <w:pPr>
              <w:tabs>
                <w:tab w:val="left" w:pos="0"/>
              </w:tabs>
              <w:jc w:val="center"/>
              <w:rPr>
                <w:rFonts w:ascii="宋体" w:hAnsi="宋体"/>
                <w:b/>
                <w:color w:val="auto"/>
                <w:szCs w:val="21"/>
                <w:highlight w:val="none"/>
              </w:rPr>
            </w:pPr>
            <w:r>
              <w:rPr>
                <w:rFonts w:hint="eastAsia" w:ascii="宋体" w:hAnsi="宋体"/>
                <w:b/>
                <w:color w:val="auto"/>
                <w:szCs w:val="21"/>
                <w:highlight w:val="none"/>
              </w:rPr>
              <w:t>见投标文件</w:t>
            </w:r>
          </w:p>
          <w:p w14:paraId="56174CCE">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14:paraId="58D3AEF8">
            <w:pPr>
              <w:tabs>
                <w:tab w:val="left" w:pos="0"/>
              </w:tabs>
              <w:jc w:val="center"/>
              <w:rPr>
                <w:rFonts w:ascii="宋体" w:hAnsi="宋体"/>
                <w:b/>
                <w:bCs/>
                <w:color w:val="auto"/>
                <w:szCs w:val="21"/>
                <w:highlight w:val="none"/>
              </w:rPr>
            </w:pPr>
            <w:r>
              <w:rPr>
                <w:rFonts w:hint="eastAsia" w:ascii="宋体" w:hAnsi="宋体"/>
                <w:color w:val="auto"/>
                <w:szCs w:val="21"/>
                <w:highlight w:val="none"/>
              </w:rPr>
              <w:t>要求：提交合法有效的营业执照复印件加盖公章、</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复印件加盖公章、缴税证明复印件加盖公章、社会保险证明复印件加盖公章、无重大违法记录声明函原件</w:t>
            </w:r>
          </w:p>
        </w:tc>
      </w:tr>
      <w:tr w14:paraId="6E7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09" w:type="dxa"/>
            <w:vMerge w:val="continue"/>
            <w:vAlign w:val="center"/>
          </w:tcPr>
          <w:p w14:paraId="2819A6D4">
            <w:pPr>
              <w:bidi w:val="0"/>
              <w:rPr>
                <w:rFonts w:hint="eastAsia"/>
                <w:color w:val="auto"/>
                <w:highlight w:val="none"/>
              </w:rPr>
            </w:pPr>
          </w:p>
        </w:tc>
        <w:tc>
          <w:tcPr>
            <w:tcW w:w="1125" w:type="dxa"/>
            <w:vMerge w:val="continue"/>
            <w:vAlign w:val="center"/>
          </w:tcPr>
          <w:p w14:paraId="79C2610F">
            <w:pPr>
              <w:bidi w:val="0"/>
              <w:rPr>
                <w:rFonts w:hint="eastAsia"/>
                <w:color w:val="auto"/>
                <w:highlight w:val="none"/>
              </w:rPr>
            </w:pPr>
          </w:p>
        </w:tc>
        <w:tc>
          <w:tcPr>
            <w:tcW w:w="4104" w:type="dxa"/>
            <w:vAlign w:val="center"/>
          </w:tcPr>
          <w:p w14:paraId="33ADE890">
            <w:pPr>
              <w:tabs>
                <w:tab w:val="left" w:pos="0"/>
              </w:tabs>
              <w:rPr>
                <w:rFonts w:ascii="宋体" w:hAnsi="宋体"/>
                <w:b/>
                <w:bCs/>
                <w:color w:val="auto"/>
                <w:szCs w:val="21"/>
                <w:highlight w:val="none"/>
              </w:rPr>
            </w:pPr>
            <w:r>
              <w:rPr>
                <w:rFonts w:hint="eastAsia" w:ascii="宋体" w:hAnsi="宋体" w:eastAsia="宋体" w:cs="宋体"/>
                <w:color w:val="auto"/>
                <w:highlight w:val="none"/>
                <w:lang w:val="en-US" w:eastAsia="zh-CN"/>
              </w:rPr>
              <w:t>单位负责人为同一人或者存在直接控股、管理关系的不同供应商，不得参加同一合同项下的政府采购活动。（提供承诺函）</w:t>
            </w:r>
          </w:p>
        </w:tc>
        <w:tc>
          <w:tcPr>
            <w:tcW w:w="1716" w:type="dxa"/>
            <w:vAlign w:val="center"/>
          </w:tcPr>
          <w:p w14:paraId="0AD966AF">
            <w:pPr>
              <w:tabs>
                <w:tab w:val="left" w:pos="480"/>
              </w:tabs>
              <w:ind w:left="480" w:hanging="480"/>
              <w:rPr>
                <w:rFonts w:ascii="宋体" w:hAnsi="宋体"/>
                <w:b/>
                <w:bCs/>
                <w:color w:val="auto"/>
                <w:szCs w:val="21"/>
                <w:highlight w:val="none"/>
              </w:rPr>
            </w:pPr>
          </w:p>
        </w:tc>
        <w:tc>
          <w:tcPr>
            <w:tcW w:w="2437" w:type="dxa"/>
            <w:vAlign w:val="center"/>
          </w:tcPr>
          <w:p w14:paraId="534C029C">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7CC729AE">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654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09" w:type="dxa"/>
            <w:vMerge w:val="continue"/>
            <w:vAlign w:val="center"/>
          </w:tcPr>
          <w:p w14:paraId="1542A15F">
            <w:pPr>
              <w:bidi w:val="0"/>
              <w:rPr>
                <w:rFonts w:hint="eastAsia"/>
                <w:color w:val="auto"/>
                <w:highlight w:val="none"/>
              </w:rPr>
            </w:pPr>
          </w:p>
        </w:tc>
        <w:tc>
          <w:tcPr>
            <w:tcW w:w="1125" w:type="dxa"/>
            <w:vMerge w:val="continue"/>
            <w:vAlign w:val="center"/>
          </w:tcPr>
          <w:p w14:paraId="239D2C0E">
            <w:pPr>
              <w:bidi w:val="0"/>
              <w:rPr>
                <w:rFonts w:hint="eastAsia"/>
                <w:color w:val="auto"/>
                <w:highlight w:val="none"/>
              </w:rPr>
            </w:pPr>
          </w:p>
        </w:tc>
        <w:tc>
          <w:tcPr>
            <w:tcW w:w="4104" w:type="dxa"/>
            <w:vAlign w:val="center"/>
          </w:tcPr>
          <w:p w14:paraId="3236995A">
            <w:pPr>
              <w:tabs>
                <w:tab w:val="left" w:pos="0"/>
              </w:tabs>
              <w:rPr>
                <w:rFonts w:ascii="宋体" w:hAnsi="宋体"/>
                <w:b/>
                <w:bCs/>
                <w:color w:val="auto"/>
                <w:szCs w:val="21"/>
                <w:highlight w:val="none"/>
              </w:rPr>
            </w:pPr>
            <w:r>
              <w:rPr>
                <w:rFonts w:hint="eastAsia" w:ascii="宋体" w:hAnsi="宋体" w:eastAsia="宋体" w:cs="宋体"/>
                <w:color w:val="auto"/>
                <w:highlight w:val="none"/>
                <w:lang w:val="en-US" w:eastAsia="zh-CN"/>
              </w:rPr>
              <w:t>为采购项目提供整体设计、规范编制或者项目管理、监理、检测等服务的供应商，不得再参加采购项目的其他采购活动。（提供承诺函）</w:t>
            </w:r>
          </w:p>
        </w:tc>
        <w:tc>
          <w:tcPr>
            <w:tcW w:w="1716" w:type="dxa"/>
            <w:vAlign w:val="center"/>
          </w:tcPr>
          <w:p w14:paraId="6ED1B842">
            <w:pPr>
              <w:tabs>
                <w:tab w:val="left" w:pos="480"/>
              </w:tabs>
              <w:ind w:left="480" w:hanging="480"/>
              <w:rPr>
                <w:rFonts w:ascii="宋体" w:hAnsi="宋体"/>
                <w:b/>
                <w:bCs/>
                <w:color w:val="auto"/>
                <w:szCs w:val="21"/>
                <w:highlight w:val="none"/>
              </w:rPr>
            </w:pPr>
          </w:p>
        </w:tc>
        <w:tc>
          <w:tcPr>
            <w:tcW w:w="2437" w:type="dxa"/>
            <w:vAlign w:val="center"/>
          </w:tcPr>
          <w:p w14:paraId="0EAB2969">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294F4AE2">
            <w:pPr>
              <w:jc w:val="center"/>
              <w:rPr>
                <w:rFonts w:hint="eastAsia" w:ascii="宋体" w:hAnsi="宋体"/>
                <w:color w:val="auto"/>
                <w:szCs w:val="21"/>
                <w:highlight w:val="none"/>
              </w:rPr>
            </w:pPr>
            <w:r>
              <w:rPr>
                <w:rFonts w:hint="eastAsia" w:ascii="宋体" w:hAnsi="宋体"/>
                <w:color w:val="auto"/>
                <w:szCs w:val="21"/>
                <w:highlight w:val="none"/>
              </w:rPr>
              <w:t>第（  ）页</w:t>
            </w:r>
          </w:p>
        </w:tc>
      </w:tr>
      <w:tr w14:paraId="6EED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09" w:type="dxa"/>
            <w:vMerge w:val="continue"/>
            <w:vAlign w:val="center"/>
          </w:tcPr>
          <w:p w14:paraId="783F0945">
            <w:pPr>
              <w:tabs>
                <w:tab w:val="left" w:pos="480"/>
              </w:tabs>
              <w:ind w:left="480" w:hanging="480"/>
              <w:jc w:val="center"/>
              <w:rPr>
                <w:rFonts w:ascii="宋体" w:hAnsi="宋体"/>
                <w:color w:val="auto"/>
                <w:szCs w:val="21"/>
                <w:highlight w:val="none"/>
              </w:rPr>
            </w:pPr>
          </w:p>
        </w:tc>
        <w:tc>
          <w:tcPr>
            <w:tcW w:w="1125" w:type="dxa"/>
            <w:vMerge w:val="continue"/>
            <w:vAlign w:val="center"/>
          </w:tcPr>
          <w:p w14:paraId="6A024B20">
            <w:pPr>
              <w:tabs>
                <w:tab w:val="left" w:pos="146"/>
              </w:tabs>
              <w:ind w:left="146"/>
              <w:rPr>
                <w:rFonts w:ascii="宋体" w:hAnsi="宋体"/>
                <w:color w:val="auto"/>
                <w:szCs w:val="21"/>
                <w:highlight w:val="none"/>
              </w:rPr>
            </w:pPr>
          </w:p>
        </w:tc>
        <w:tc>
          <w:tcPr>
            <w:tcW w:w="4104" w:type="dxa"/>
            <w:vAlign w:val="center"/>
          </w:tcPr>
          <w:p w14:paraId="45536E2E">
            <w:pPr>
              <w:tabs>
                <w:tab w:val="left" w:pos="0"/>
              </w:tabs>
              <w:rPr>
                <w:rFonts w:ascii="宋体" w:hAnsi="宋体"/>
                <w:color w:val="auto"/>
                <w:szCs w:val="21"/>
                <w:highlight w:val="none"/>
              </w:rPr>
            </w:pPr>
            <w:r>
              <w:rPr>
                <w:rFonts w:hint="eastAsia" w:ascii="宋体" w:hAnsi="宋体"/>
                <w:color w:val="auto"/>
                <w:szCs w:val="21"/>
                <w:highlight w:val="none"/>
                <w:lang w:val="en-US" w:eastAsia="zh-CN"/>
              </w:rPr>
              <w:t>投标人</w:t>
            </w:r>
            <w:r>
              <w:rPr>
                <w:rFonts w:hint="eastAsia" w:ascii="宋体" w:hAnsi="宋体"/>
                <w:color w:val="auto"/>
                <w:szCs w:val="21"/>
                <w:highlight w:val="none"/>
              </w:rPr>
              <w:t>未被列入“信用中国”网站</w:t>
            </w:r>
            <w:r>
              <w:rPr>
                <w:rFonts w:hint="eastAsia" w:ascii="宋体" w:hAnsi="宋体"/>
                <w:color w:val="auto"/>
                <w:szCs w:val="21"/>
                <w:highlight w:val="none"/>
                <w:lang w:eastAsia="zh-CN"/>
              </w:rPr>
              <w:t>（</w:t>
            </w:r>
            <w:r>
              <w:rPr>
                <w:rFonts w:hint="eastAsia" w:ascii="宋体" w:hAnsi="宋体"/>
                <w:color w:val="auto"/>
                <w:szCs w:val="21"/>
                <w:highlight w:val="none"/>
              </w:rPr>
              <w:t>www.creditchina.gov.cn</w:t>
            </w:r>
            <w:r>
              <w:rPr>
                <w:rFonts w:hint="eastAsia" w:ascii="宋体" w:hAnsi="宋体"/>
                <w:color w:val="auto"/>
                <w:szCs w:val="21"/>
                <w:highlight w:val="none"/>
                <w:lang w:eastAsia="zh-CN"/>
              </w:rPr>
              <w:t>）</w:t>
            </w:r>
            <w:r>
              <w:rPr>
                <w:rFonts w:hint="eastAsia" w:ascii="宋体" w:hAnsi="宋体"/>
                <w:color w:val="auto"/>
                <w:szCs w:val="21"/>
                <w:highlight w:val="none"/>
              </w:rPr>
              <w:t>“记录失信被执行人或重大税收违法失信主体或政府采购严重违法失信行为”记录名单；不处于中国政府采购网</w:t>
            </w:r>
            <w:r>
              <w:rPr>
                <w:rFonts w:hint="eastAsia" w:ascii="宋体" w:hAnsi="宋体"/>
                <w:color w:val="auto"/>
                <w:szCs w:val="21"/>
                <w:highlight w:val="none"/>
                <w:lang w:eastAsia="zh-CN"/>
              </w:rPr>
              <w:t>（</w:t>
            </w:r>
            <w:r>
              <w:rPr>
                <w:rFonts w:hint="eastAsia" w:ascii="宋体" w:hAnsi="宋体"/>
                <w:color w:val="auto"/>
                <w:szCs w:val="21"/>
                <w:highlight w:val="none"/>
              </w:rPr>
              <w:t>www.ccgp.gov.cn</w:t>
            </w:r>
            <w:r>
              <w:rPr>
                <w:rFonts w:hint="eastAsia" w:ascii="宋体" w:hAnsi="宋体"/>
                <w:color w:val="auto"/>
                <w:szCs w:val="21"/>
                <w:highlight w:val="none"/>
                <w:lang w:eastAsia="zh-CN"/>
              </w:rPr>
              <w:t>）</w:t>
            </w:r>
            <w:r>
              <w:rPr>
                <w:rFonts w:hint="eastAsia" w:ascii="宋体" w:hAnsi="宋体"/>
                <w:color w:val="auto"/>
                <w:szCs w:val="21"/>
                <w:highlight w:val="none"/>
              </w:rPr>
              <w:t>“政府采购严重违法失信行为信息记录”中的禁止参加政府采购活动期间。（以资格审查人员于投标（响应）截止时间当天在“信用中国”网站（www.creditchina.gov.cn）及中国政府采购网（http</w:t>
            </w:r>
            <w:r>
              <w:rPr>
                <w:rFonts w:hint="eastAsia" w:ascii="宋体" w:hAnsi="宋体"/>
                <w:color w:val="auto"/>
                <w:szCs w:val="21"/>
                <w:highlight w:val="none"/>
                <w:lang w:eastAsia="zh-CN"/>
              </w:rPr>
              <w:t>；</w:t>
            </w:r>
            <w:r>
              <w:rPr>
                <w:rFonts w:hint="eastAsia" w:ascii="宋体" w:hAnsi="宋体"/>
                <w:color w:val="auto"/>
                <w:szCs w:val="21"/>
                <w:highlight w:val="none"/>
              </w:rPr>
              <w:t>//www.ccgp.gov.cn/）查询结果为准，如相关失信记录已失效，供应商需提供相关证明资料）。</w:t>
            </w:r>
          </w:p>
        </w:tc>
        <w:tc>
          <w:tcPr>
            <w:tcW w:w="1716" w:type="dxa"/>
            <w:vAlign w:val="center"/>
          </w:tcPr>
          <w:p w14:paraId="48AF0DDB">
            <w:pPr>
              <w:tabs>
                <w:tab w:val="left" w:pos="480"/>
              </w:tabs>
              <w:ind w:left="480" w:hanging="480"/>
              <w:rPr>
                <w:rFonts w:ascii="宋体" w:hAnsi="宋体"/>
                <w:color w:val="auto"/>
                <w:szCs w:val="21"/>
                <w:highlight w:val="none"/>
              </w:rPr>
            </w:pPr>
          </w:p>
        </w:tc>
        <w:tc>
          <w:tcPr>
            <w:tcW w:w="2437" w:type="dxa"/>
            <w:vAlign w:val="center"/>
          </w:tcPr>
          <w:p w14:paraId="23D2D5BE">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5206F3C">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60BB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78B32E5E">
            <w:pPr>
              <w:tabs>
                <w:tab w:val="left" w:pos="480"/>
              </w:tabs>
              <w:ind w:left="480" w:hanging="480"/>
              <w:jc w:val="center"/>
              <w:rPr>
                <w:rFonts w:ascii="宋体" w:hAnsi="宋体"/>
                <w:color w:val="auto"/>
                <w:szCs w:val="21"/>
                <w:highlight w:val="none"/>
              </w:rPr>
            </w:pPr>
          </w:p>
        </w:tc>
        <w:tc>
          <w:tcPr>
            <w:tcW w:w="1125" w:type="dxa"/>
            <w:vMerge w:val="continue"/>
            <w:vAlign w:val="center"/>
          </w:tcPr>
          <w:p w14:paraId="17E07846">
            <w:pPr>
              <w:tabs>
                <w:tab w:val="left" w:pos="146"/>
              </w:tabs>
              <w:ind w:left="146"/>
              <w:rPr>
                <w:rFonts w:ascii="宋体" w:hAnsi="宋体"/>
                <w:color w:val="auto"/>
                <w:szCs w:val="21"/>
                <w:highlight w:val="none"/>
              </w:rPr>
            </w:pPr>
          </w:p>
        </w:tc>
        <w:tc>
          <w:tcPr>
            <w:tcW w:w="4104" w:type="dxa"/>
            <w:vAlign w:val="center"/>
          </w:tcPr>
          <w:p w14:paraId="6D3240CA">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投标人必须具备有效的《食品经营许可证》。</w:t>
            </w:r>
          </w:p>
        </w:tc>
        <w:tc>
          <w:tcPr>
            <w:tcW w:w="1716" w:type="dxa"/>
            <w:vAlign w:val="center"/>
          </w:tcPr>
          <w:p w14:paraId="7B75662E">
            <w:pPr>
              <w:tabs>
                <w:tab w:val="left" w:pos="480"/>
              </w:tabs>
              <w:ind w:left="480" w:hanging="480"/>
              <w:rPr>
                <w:rFonts w:ascii="宋体" w:hAnsi="宋体"/>
                <w:color w:val="auto"/>
                <w:szCs w:val="21"/>
                <w:highlight w:val="none"/>
              </w:rPr>
            </w:pPr>
          </w:p>
        </w:tc>
        <w:tc>
          <w:tcPr>
            <w:tcW w:w="2437" w:type="dxa"/>
            <w:vAlign w:val="center"/>
          </w:tcPr>
          <w:p w14:paraId="437C0992">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7D0BD5AD">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7418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09" w:type="dxa"/>
            <w:vMerge w:val="continue"/>
            <w:vAlign w:val="center"/>
          </w:tcPr>
          <w:p w14:paraId="562F280A">
            <w:pPr>
              <w:tabs>
                <w:tab w:val="left" w:pos="480"/>
              </w:tabs>
              <w:ind w:left="480" w:hanging="480"/>
              <w:jc w:val="center"/>
              <w:rPr>
                <w:rFonts w:ascii="宋体" w:hAnsi="宋体"/>
                <w:color w:val="auto"/>
                <w:szCs w:val="21"/>
                <w:highlight w:val="none"/>
              </w:rPr>
            </w:pPr>
          </w:p>
        </w:tc>
        <w:tc>
          <w:tcPr>
            <w:tcW w:w="1125" w:type="dxa"/>
            <w:vMerge w:val="continue"/>
            <w:vAlign w:val="center"/>
          </w:tcPr>
          <w:p w14:paraId="28FA1C7A">
            <w:pPr>
              <w:tabs>
                <w:tab w:val="left" w:pos="146"/>
              </w:tabs>
              <w:ind w:left="146"/>
              <w:rPr>
                <w:rFonts w:ascii="宋体" w:hAnsi="宋体"/>
                <w:color w:val="auto"/>
                <w:szCs w:val="21"/>
                <w:highlight w:val="none"/>
              </w:rPr>
            </w:pPr>
          </w:p>
        </w:tc>
        <w:tc>
          <w:tcPr>
            <w:tcW w:w="4104" w:type="dxa"/>
            <w:vAlign w:val="center"/>
          </w:tcPr>
          <w:p w14:paraId="2CEB9B8D">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经营场所、仓库距离粪坑、污水池、暴露垃圾场（站）、旱厕等污染源25米以上，不得设置在粉尘、有害气体、放射性物质和其他扩散性污染源的影响范围之内。（提供承诺函，格式自拟）</w:t>
            </w:r>
          </w:p>
        </w:tc>
        <w:tc>
          <w:tcPr>
            <w:tcW w:w="1716" w:type="dxa"/>
            <w:vAlign w:val="center"/>
          </w:tcPr>
          <w:p w14:paraId="50D42BC6">
            <w:pPr>
              <w:tabs>
                <w:tab w:val="left" w:pos="480"/>
              </w:tabs>
              <w:ind w:left="480" w:hanging="480"/>
              <w:rPr>
                <w:rFonts w:ascii="宋体" w:hAnsi="宋体"/>
                <w:color w:val="auto"/>
                <w:szCs w:val="21"/>
                <w:highlight w:val="none"/>
              </w:rPr>
            </w:pPr>
          </w:p>
        </w:tc>
        <w:tc>
          <w:tcPr>
            <w:tcW w:w="2437" w:type="dxa"/>
            <w:vAlign w:val="center"/>
          </w:tcPr>
          <w:p w14:paraId="7C8D23C8">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4EBB9E4B">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1214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709" w:type="dxa"/>
            <w:vMerge w:val="continue"/>
            <w:vAlign w:val="center"/>
          </w:tcPr>
          <w:p w14:paraId="20346751">
            <w:pPr>
              <w:tabs>
                <w:tab w:val="left" w:pos="480"/>
              </w:tabs>
              <w:ind w:left="480" w:hanging="480"/>
              <w:jc w:val="center"/>
              <w:rPr>
                <w:rFonts w:ascii="宋体" w:hAnsi="宋体"/>
                <w:color w:val="auto"/>
                <w:szCs w:val="21"/>
                <w:highlight w:val="none"/>
              </w:rPr>
            </w:pPr>
          </w:p>
        </w:tc>
        <w:tc>
          <w:tcPr>
            <w:tcW w:w="1125" w:type="dxa"/>
            <w:vMerge w:val="continue"/>
            <w:vAlign w:val="center"/>
          </w:tcPr>
          <w:p w14:paraId="535A7B75">
            <w:pPr>
              <w:tabs>
                <w:tab w:val="left" w:pos="146"/>
              </w:tabs>
              <w:ind w:left="146"/>
              <w:rPr>
                <w:rFonts w:ascii="宋体" w:hAnsi="宋体"/>
                <w:color w:val="auto"/>
                <w:szCs w:val="21"/>
                <w:highlight w:val="none"/>
              </w:rPr>
            </w:pPr>
          </w:p>
        </w:tc>
        <w:tc>
          <w:tcPr>
            <w:tcW w:w="4104" w:type="dxa"/>
            <w:vAlign w:val="center"/>
          </w:tcPr>
          <w:p w14:paraId="74F8346F">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立良好的食品安全管理体系，建立食品安全管理架构和相关食品安全管理制度，建立“日管控、周排查、月调度”食品安全自查制度，食品采购、贮存、加工、运输符合相关法律法规要求。（提供承诺函，格式自拟）</w:t>
            </w:r>
          </w:p>
        </w:tc>
        <w:tc>
          <w:tcPr>
            <w:tcW w:w="1716" w:type="dxa"/>
            <w:vAlign w:val="center"/>
          </w:tcPr>
          <w:p w14:paraId="257B9849">
            <w:pPr>
              <w:tabs>
                <w:tab w:val="left" w:pos="480"/>
              </w:tabs>
              <w:ind w:left="480" w:hanging="480"/>
              <w:rPr>
                <w:rFonts w:ascii="宋体" w:hAnsi="宋体"/>
                <w:color w:val="auto"/>
                <w:szCs w:val="21"/>
                <w:highlight w:val="none"/>
              </w:rPr>
            </w:pPr>
          </w:p>
        </w:tc>
        <w:tc>
          <w:tcPr>
            <w:tcW w:w="2437" w:type="dxa"/>
            <w:vAlign w:val="center"/>
          </w:tcPr>
          <w:p w14:paraId="030A97D3">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45D38810">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3D576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09" w:type="dxa"/>
            <w:vMerge w:val="continue"/>
            <w:vAlign w:val="center"/>
          </w:tcPr>
          <w:p w14:paraId="2FC0D154">
            <w:pPr>
              <w:tabs>
                <w:tab w:val="left" w:pos="480"/>
              </w:tabs>
              <w:ind w:left="480" w:hanging="480"/>
              <w:jc w:val="center"/>
              <w:rPr>
                <w:rFonts w:ascii="宋体" w:hAnsi="宋体"/>
                <w:color w:val="auto"/>
                <w:szCs w:val="21"/>
                <w:highlight w:val="none"/>
              </w:rPr>
            </w:pPr>
          </w:p>
        </w:tc>
        <w:tc>
          <w:tcPr>
            <w:tcW w:w="1125" w:type="dxa"/>
            <w:vMerge w:val="continue"/>
            <w:vAlign w:val="center"/>
          </w:tcPr>
          <w:p w14:paraId="3A998DD9">
            <w:pPr>
              <w:tabs>
                <w:tab w:val="left" w:pos="146"/>
              </w:tabs>
              <w:ind w:left="146"/>
              <w:rPr>
                <w:rFonts w:ascii="宋体" w:hAnsi="宋体"/>
                <w:color w:val="auto"/>
                <w:szCs w:val="21"/>
                <w:highlight w:val="none"/>
              </w:rPr>
            </w:pPr>
          </w:p>
        </w:tc>
        <w:tc>
          <w:tcPr>
            <w:tcW w:w="4104" w:type="dxa"/>
            <w:vAlign w:val="center"/>
          </w:tcPr>
          <w:p w14:paraId="6CEE1046">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建有监控系统，能够保存15天或以上的食品贮存、加工过程视频监控。（提供承诺函，格式自拟）</w:t>
            </w:r>
          </w:p>
        </w:tc>
        <w:tc>
          <w:tcPr>
            <w:tcW w:w="1716" w:type="dxa"/>
            <w:vAlign w:val="center"/>
          </w:tcPr>
          <w:p w14:paraId="22791154">
            <w:pPr>
              <w:tabs>
                <w:tab w:val="left" w:pos="480"/>
              </w:tabs>
              <w:ind w:left="480" w:hanging="480"/>
              <w:rPr>
                <w:rFonts w:ascii="宋体" w:hAnsi="宋体"/>
                <w:color w:val="auto"/>
                <w:szCs w:val="21"/>
                <w:highlight w:val="none"/>
              </w:rPr>
            </w:pPr>
          </w:p>
        </w:tc>
        <w:tc>
          <w:tcPr>
            <w:tcW w:w="2437" w:type="dxa"/>
            <w:vAlign w:val="center"/>
          </w:tcPr>
          <w:p w14:paraId="11479022">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4184CA7">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703F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9" w:type="dxa"/>
            <w:vMerge w:val="continue"/>
            <w:vAlign w:val="center"/>
          </w:tcPr>
          <w:p w14:paraId="53747D26">
            <w:pPr>
              <w:tabs>
                <w:tab w:val="left" w:pos="480"/>
              </w:tabs>
              <w:ind w:left="480" w:hanging="480"/>
              <w:jc w:val="center"/>
              <w:rPr>
                <w:rFonts w:ascii="宋体" w:hAnsi="宋体"/>
                <w:color w:val="auto"/>
                <w:szCs w:val="21"/>
                <w:highlight w:val="none"/>
              </w:rPr>
            </w:pPr>
          </w:p>
        </w:tc>
        <w:tc>
          <w:tcPr>
            <w:tcW w:w="1125" w:type="dxa"/>
            <w:vMerge w:val="continue"/>
            <w:vAlign w:val="center"/>
          </w:tcPr>
          <w:p w14:paraId="5F748810">
            <w:pPr>
              <w:tabs>
                <w:tab w:val="left" w:pos="146"/>
              </w:tabs>
              <w:ind w:left="146"/>
              <w:rPr>
                <w:rFonts w:ascii="宋体" w:hAnsi="宋体"/>
                <w:color w:val="auto"/>
                <w:szCs w:val="21"/>
                <w:highlight w:val="none"/>
              </w:rPr>
            </w:pPr>
          </w:p>
        </w:tc>
        <w:tc>
          <w:tcPr>
            <w:tcW w:w="4104" w:type="dxa"/>
            <w:vAlign w:val="center"/>
          </w:tcPr>
          <w:p w14:paraId="5D8D88FB">
            <w:pPr>
              <w:tabs>
                <w:tab w:val="left" w:pos="0"/>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本项目属于专门面向中小企业</w:t>
            </w:r>
          </w:p>
        </w:tc>
        <w:tc>
          <w:tcPr>
            <w:tcW w:w="1716" w:type="dxa"/>
            <w:vAlign w:val="center"/>
          </w:tcPr>
          <w:p w14:paraId="61E589D2">
            <w:pPr>
              <w:tabs>
                <w:tab w:val="left" w:pos="480"/>
              </w:tabs>
              <w:ind w:left="480" w:hanging="480"/>
              <w:rPr>
                <w:rFonts w:ascii="宋体" w:hAnsi="宋体"/>
                <w:color w:val="auto"/>
                <w:szCs w:val="21"/>
                <w:highlight w:val="none"/>
              </w:rPr>
            </w:pPr>
          </w:p>
        </w:tc>
        <w:tc>
          <w:tcPr>
            <w:tcW w:w="2437" w:type="dxa"/>
            <w:vAlign w:val="center"/>
          </w:tcPr>
          <w:p w14:paraId="5643A7B8">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43003629">
            <w:pPr>
              <w:tabs>
                <w:tab w:val="left" w:pos="0"/>
              </w:tabs>
              <w:jc w:val="center"/>
              <w:rPr>
                <w:rFonts w:hint="eastAsia" w:ascii="宋体" w:hAnsi="宋体"/>
                <w:color w:val="auto"/>
                <w:szCs w:val="21"/>
                <w:highlight w:val="none"/>
              </w:rPr>
            </w:pPr>
            <w:r>
              <w:rPr>
                <w:rFonts w:hint="eastAsia" w:ascii="宋体" w:hAnsi="宋体"/>
                <w:color w:val="auto"/>
                <w:szCs w:val="21"/>
                <w:highlight w:val="none"/>
              </w:rPr>
              <w:t>第（  ）页</w:t>
            </w:r>
          </w:p>
        </w:tc>
      </w:tr>
      <w:tr w14:paraId="678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35E50E46">
            <w:pPr>
              <w:tabs>
                <w:tab w:val="left" w:pos="480"/>
              </w:tabs>
              <w:ind w:left="480" w:hanging="480"/>
              <w:jc w:val="center"/>
              <w:rPr>
                <w:rFonts w:ascii="宋体" w:hAnsi="宋体"/>
                <w:color w:val="auto"/>
                <w:szCs w:val="21"/>
                <w:highlight w:val="none"/>
              </w:rPr>
            </w:pPr>
          </w:p>
        </w:tc>
        <w:tc>
          <w:tcPr>
            <w:tcW w:w="1125" w:type="dxa"/>
            <w:vAlign w:val="center"/>
          </w:tcPr>
          <w:p w14:paraId="3D33EE9C">
            <w:pPr>
              <w:tabs>
                <w:tab w:val="left" w:pos="146"/>
              </w:tabs>
              <w:rPr>
                <w:rFonts w:ascii="宋体" w:hAnsi="宋体"/>
                <w:b/>
                <w:bCs/>
                <w:color w:val="auto"/>
                <w:szCs w:val="21"/>
                <w:highlight w:val="none"/>
              </w:rPr>
            </w:pPr>
            <w:r>
              <w:rPr>
                <w:rFonts w:hint="eastAsia" w:ascii="宋体" w:hAnsi="宋体"/>
                <w:color w:val="auto"/>
                <w:szCs w:val="21"/>
                <w:highlight w:val="none"/>
              </w:rPr>
              <w:t>不接受联合体投标</w:t>
            </w:r>
          </w:p>
        </w:tc>
        <w:tc>
          <w:tcPr>
            <w:tcW w:w="4104" w:type="dxa"/>
            <w:vAlign w:val="center"/>
          </w:tcPr>
          <w:p w14:paraId="540B52FE">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716" w:type="dxa"/>
            <w:vAlign w:val="center"/>
          </w:tcPr>
          <w:p w14:paraId="35C61D2A">
            <w:pPr>
              <w:tabs>
                <w:tab w:val="left" w:pos="480"/>
              </w:tabs>
              <w:ind w:left="-107" w:leftChars="-51" w:firstLine="106"/>
              <w:rPr>
                <w:rFonts w:ascii="宋体" w:hAnsi="宋体"/>
                <w:b/>
                <w:bCs/>
                <w:color w:val="auto"/>
                <w:szCs w:val="21"/>
                <w:highlight w:val="none"/>
              </w:rPr>
            </w:pPr>
          </w:p>
        </w:tc>
        <w:tc>
          <w:tcPr>
            <w:tcW w:w="2437" w:type="dxa"/>
            <w:vAlign w:val="center"/>
          </w:tcPr>
          <w:p w14:paraId="04612196">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58B589E">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14:paraId="63873C90">
      <w:pPr>
        <w:tabs>
          <w:tab w:val="center" w:pos="4483"/>
        </w:tabs>
        <w:rPr>
          <w:rFonts w:ascii="宋体" w:hAnsi="宋体"/>
          <w:color w:val="auto"/>
          <w:szCs w:val="21"/>
          <w:highlight w:val="none"/>
        </w:rPr>
      </w:pPr>
      <w:r>
        <w:rPr>
          <w:rFonts w:hint="eastAsia" w:ascii="宋体" w:hAnsi="宋体"/>
          <w:color w:val="auto"/>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4A8B5C88">
      <w:pPr>
        <w:tabs>
          <w:tab w:val="center" w:pos="4483"/>
        </w:tabs>
        <w:ind w:left="525" w:leftChars="50" w:hanging="420" w:hangingChars="200"/>
        <w:rPr>
          <w:color w:val="auto"/>
          <w:szCs w:val="21"/>
          <w:highlight w:val="none"/>
        </w:rPr>
      </w:pPr>
      <w:r>
        <w:rPr>
          <w:rFonts w:ascii="宋体" w:hAnsi="宋体"/>
          <w:bCs/>
          <w:color w:val="auto"/>
          <w:szCs w:val="21"/>
          <w:highlight w:val="none"/>
        </w:rPr>
        <w:t xml:space="preserve">   </w:t>
      </w:r>
    </w:p>
    <w:p w14:paraId="7D518098">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1C4DAC24">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6D363DAE">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66A4F17E">
      <w:pPr>
        <w:rPr>
          <w:rFonts w:hint="eastAsia"/>
          <w:color w:val="auto"/>
          <w:highlight w:val="none"/>
        </w:rPr>
      </w:pPr>
      <w:bookmarkStart w:id="1657" w:name="_Toc21470"/>
      <w:r>
        <w:rPr>
          <w:rFonts w:hint="eastAsia"/>
          <w:color w:val="auto"/>
          <w:highlight w:val="none"/>
        </w:rPr>
        <w:br w:type="page"/>
      </w:r>
    </w:p>
    <w:p w14:paraId="2EA59C1C">
      <w:pPr>
        <w:pStyle w:val="3"/>
        <w:numPr>
          <w:ilvl w:val="0"/>
          <w:numId w:val="0"/>
        </w:numPr>
        <w:rPr>
          <w:color w:val="auto"/>
          <w:highlight w:val="none"/>
        </w:rPr>
      </w:pPr>
      <w:bookmarkStart w:id="1658" w:name="_Toc15870"/>
      <w:r>
        <w:rPr>
          <w:rFonts w:hint="eastAsia"/>
          <w:color w:val="auto"/>
          <w:highlight w:val="none"/>
        </w:rPr>
        <w:t>（一）资格审查文件要求提交的有效证明文件</w:t>
      </w:r>
      <w:bookmarkEnd w:id="1657"/>
      <w:bookmarkEnd w:id="1658"/>
    </w:p>
    <w:p w14:paraId="2FF2A758">
      <w:pPr>
        <w:adjustRightInd w:val="0"/>
        <w:snapToGrid w:val="0"/>
        <w:spacing w:line="360" w:lineRule="auto"/>
        <w:jc w:val="left"/>
        <w:rPr>
          <w:rFonts w:ascii="宋体" w:hAnsi="宋体"/>
          <w:b/>
          <w:bCs/>
          <w:cap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6F89D3F3">
      <w:pPr>
        <w:adjustRightInd w:val="0"/>
        <w:snapToGrid w:val="0"/>
        <w:spacing w:line="360" w:lineRule="auto"/>
        <w:ind w:left="1050" w:hanging="1050" w:hangingChars="500"/>
        <w:jc w:val="left"/>
        <w:rPr>
          <w:rFonts w:hint="default" w:ascii="宋体" w:hAnsi="宋体" w:eastAsia="宋体"/>
          <w:bCs/>
          <w:color w:val="auto"/>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p>
    <w:p w14:paraId="50658C02">
      <w:pPr>
        <w:adjustRightInd w:val="0"/>
        <w:snapToGrid w:val="0"/>
        <w:spacing w:line="360" w:lineRule="auto"/>
        <w:ind w:left="1050" w:hanging="1050" w:hangingChars="500"/>
        <w:jc w:val="left"/>
        <w:rPr>
          <w:rFonts w:ascii="宋体" w:hAnsi="宋体"/>
          <w:bC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p>
    <w:p w14:paraId="15C0937F">
      <w:pPr>
        <w:pStyle w:val="4"/>
        <w:rPr>
          <w:color w:val="auto"/>
          <w:highlight w:val="none"/>
        </w:rPr>
      </w:pPr>
    </w:p>
    <w:p w14:paraId="206D7511">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合法有效的营业执照复印件加盖公章；</w:t>
      </w:r>
    </w:p>
    <w:p w14:paraId="2CED7122">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14:paraId="676D0D39">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缴税证明复印件加盖公章；</w:t>
      </w:r>
    </w:p>
    <w:p w14:paraId="23B95234">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社会保险证明复印件加盖公章；</w:t>
      </w:r>
    </w:p>
    <w:p w14:paraId="343A7616">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hAnsi="黑体"/>
          <w:color w:val="auto"/>
          <w:szCs w:val="21"/>
          <w:highlight w:val="none"/>
        </w:rPr>
        <w:t>无重大违法记录声明函</w:t>
      </w:r>
      <w:r>
        <w:rPr>
          <w:rFonts w:hint="eastAsia" w:ascii="宋体" w:hAnsi="宋体"/>
          <w:color w:val="auto"/>
          <w:szCs w:val="21"/>
          <w:highlight w:val="none"/>
        </w:rPr>
        <w:t>；</w:t>
      </w:r>
    </w:p>
    <w:p w14:paraId="37C48569">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rPr>
        <w:t>相关资质证明文件：</w:t>
      </w:r>
    </w:p>
    <w:p w14:paraId="0BB140E4">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w:t>
      </w:r>
      <w:r>
        <w:rPr>
          <w:rFonts w:ascii="宋体" w:hAnsi="宋体"/>
          <w:color w:val="auto"/>
          <w:szCs w:val="21"/>
          <w:highlight w:val="none"/>
        </w:rPr>
        <w:t>………</w:t>
      </w:r>
    </w:p>
    <w:p w14:paraId="47E15364">
      <w:pPr>
        <w:pStyle w:val="4"/>
        <w:rPr>
          <w:rFonts w:hAnsi="宋体"/>
          <w:bCs/>
          <w:color w:val="auto"/>
          <w:sz w:val="21"/>
          <w:szCs w:val="21"/>
          <w:highlight w:val="none"/>
        </w:rPr>
      </w:pPr>
    </w:p>
    <w:p w14:paraId="4B789A76">
      <w:pPr>
        <w:pStyle w:val="4"/>
        <w:rPr>
          <w:rFonts w:hAnsi="宋体"/>
          <w:bCs/>
          <w:color w:val="auto"/>
          <w:sz w:val="21"/>
          <w:szCs w:val="21"/>
          <w:highlight w:val="none"/>
        </w:rPr>
      </w:pPr>
    </w:p>
    <w:p w14:paraId="0EEE40A5">
      <w:pPr>
        <w:pStyle w:val="4"/>
        <w:rPr>
          <w:rFonts w:hAnsi="宋体"/>
          <w:bCs/>
          <w:color w:val="auto"/>
          <w:sz w:val="21"/>
          <w:szCs w:val="21"/>
          <w:highlight w:val="none"/>
        </w:rPr>
      </w:pPr>
    </w:p>
    <w:p w14:paraId="28B5733C">
      <w:pPr>
        <w:pStyle w:val="4"/>
        <w:rPr>
          <w:rFonts w:hAnsi="宋体"/>
          <w:bCs/>
          <w:color w:val="auto"/>
          <w:sz w:val="21"/>
          <w:szCs w:val="21"/>
          <w:highlight w:val="none"/>
        </w:rPr>
      </w:pPr>
    </w:p>
    <w:p w14:paraId="2A871C04">
      <w:pPr>
        <w:pStyle w:val="4"/>
        <w:rPr>
          <w:rFonts w:hAnsi="宋体"/>
          <w:color w:val="auto"/>
          <w:sz w:val="21"/>
          <w:szCs w:val="21"/>
          <w:highlight w:val="none"/>
        </w:rPr>
      </w:pPr>
      <w:r>
        <w:rPr>
          <w:rFonts w:hint="eastAsia" w:hAnsi="宋体"/>
          <w:bCs/>
          <w:color w:val="auto"/>
          <w:sz w:val="21"/>
          <w:szCs w:val="21"/>
          <w:highlight w:val="none"/>
        </w:rPr>
        <w:t>提供招标文件要求的资格</w:t>
      </w:r>
      <w:r>
        <w:rPr>
          <w:rFonts w:hint="eastAsia" w:hAnsi="宋体"/>
          <w:color w:val="auto"/>
          <w:sz w:val="21"/>
          <w:szCs w:val="21"/>
          <w:highlight w:val="none"/>
        </w:rPr>
        <w:t>证明文件复印件加盖公章。</w:t>
      </w:r>
    </w:p>
    <w:p w14:paraId="101440D4">
      <w:pPr>
        <w:pStyle w:val="4"/>
        <w:rPr>
          <w:rFonts w:hAnsi="宋体"/>
          <w:color w:val="auto"/>
          <w:szCs w:val="21"/>
          <w:highlight w:val="none"/>
        </w:rPr>
      </w:pPr>
    </w:p>
    <w:p w14:paraId="3D35BF80">
      <w:pPr>
        <w:pStyle w:val="4"/>
        <w:rPr>
          <w:rFonts w:hAnsi="宋体"/>
          <w:color w:val="auto"/>
          <w:szCs w:val="21"/>
          <w:highlight w:val="none"/>
        </w:rPr>
      </w:pPr>
    </w:p>
    <w:p w14:paraId="17CC3D1E">
      <w:pPr>
        <w:pStyle w:val="4"/>
        <w:rPr>
          <w:rFonts w:hAnsi="宋体"/>
          <w:color w:val="auto"/>
          <w:szCs w:val="21"/>
          <w:highlight w:val="none"/>
        </w:rPr>
      </w:pPr>
    </w:p>
    <w:p w14:paraId="5BCD9FD7">
      <w:pPr>
        <w:pStyle w:val="4"/>
        <w:rPr>
          <w:rFonts w:hAnsi="宋体"/>
          <w:color w:val="auto"/>
          <w:szCs w:val="21"/>
          <w:highlight w:val="none"/>
        </w:rPr>
      </w:pPr>
    </w:p>
    <w:p w14:paraId="6D8FE529">
      <w:pPr>
        <w:pStyle w:val="4"/>
        <w:rPr>
          <w:rFonts w:hAnsi="宋体"/>
          <w:color w:val="auto"/>
          <w:szCs w:val="21"/>
          <w:highlight w:val="none"/>
        </w:rPr>
      </w:pPr>
    </w:p>
    <w:p w14:paraId="673D95DC">
      <w:pPr>
        <w:pStyle w:val="4"/>
        <w:rPr>
          <w:rFonts w:hAnsi="宋体"/>
          <w:color w:val="auto"/>
          <w:szCs w:val="21"/>
          <w:highlight w:val="none"/>
        </w:rPr>
      </w:pPr>
    </w:p>
    <w:p w14:paraId="0608E9AC">
      <w:pPr>
        <w:pStyle w:val="4"/>
        <w:rPr>
          <w:rFonts w:hAnsi="宋体"/>
          <w:color w:val="auto"/>
          <w:szCs w:val="21"/>
          <w:highlight w:val="none"/>
        </w:rPr>
      </w:pPr>
    </w:p>
    <w:p w14:paraId="0FDCB951">
      <w:pPr>
        <w:pStyle w:val="4"/>
        <w:rPr>
          <w:rFonts w:hAnsi="宋体"/>
          <w:color w:val="auto"/>
          <w:szCs w:val="21"/>
          <w:highlight w:val="none"/>
        </w:rPr>
      </w:pPr>
    </w:p>
    <w:p w14:paraId="5EC5EF05">
      <w:pPr>
        <w:pStyle w:val="4"/>
        <w:rPr>
          <w:rFonts w:hAnsi="宋体"/>
          <w:color w:val="auto"/>
          <w:szCs w:val="21"/>
          <w:highlight w:val="none"/>
        </w:rPr>
      </w:pPr>
    </w:p>
    <w:p w14:paraId="503F6069">
      <w:pPr>
        <w:pStyle w:val="4"/>
        <w:rPr>
          <w:rFonts w:hAnsi="宋体"/>
          <w:color w:val="auto"/>
          <w:szCs w:val="21"/>
          <w:highlight w:val="none"/>
        </w:rPr>
      </w:pPr>
    </w:p>
    <w:p w14:paraId="588D551A">
      <w:pPr>
        <w:pStyle w:val="4"/>
        <w:rPr>
          <w:rFonts w:hAnsi="宋体"/>
          <w:color w:val="auto"/>
          <w:szCs w:val="21"/>
          <w:highlight w:val="none"/>
        </w:rPr>
      </w:pPr>
    </w:p>
    <w:p w14:paraId="36F934F8">
      <w:pPr>
        <w:pStyle w:val="4"/>
        <w:rPr>
          <w:rFonts w:hAnsi="宋体"/>
          <w:color w:val="auto"/>
          <w:szCs w:val="21"/>
          <w:highlight w:val="none"/>
        </w:rPr>
      </w:pPr>
    </w:p>
    <w:p w14:paraId="726A94A7">
      <w:pPr>
        <w:pStyle w:val="4"/>
        <w:rPr>
          <w:rFonts w:hAnsi="宋体"/>
          <w:color w:val="auto"/>
          <w:szCs w:val="21"/>
          <w:highlight w:val="none"/>
        </w:rPr>
      </w:pPr>
    </w:p>
    <w:p w14:paraId="123DB7C2">
      <w:pPr>
        <w:pStyle w:val="4"/>
        <w:rPr>
          <w:rFonts w:hAnsi="宋体"/>
          <w:color w:val="auto"/>
          <w:szCs w:val="21"/>
          <w:highlight w:val="none"/>
        </w:rPr>
      </w:pPr>
    </w:p>
    <w:p w14:paraId="5C9F58AF">
      <w:pPr>
        <w:pStyle w:val="4"/>
        <w:rPr>
          <w:rFonts w:hAnsi="宋体"/>
          <w:color w:val="auto"/>
          <w:szCs w:val="21"/>
          <w:highlight w:val="none"/>
        </w:rPr>
      </w:pPr>
    </w:p>
    <w:p w14:paraId="50228001">
      <w:pPr>
        <w:pStyle w:val="4"/>
        <w:rPr>
          <w:rFonts w:hAnsi="宋体"/>
          <w:color w:val="auto"/>
          <w:szCs w:val="21"/>
          <w:highlight w:val="none"/>
        </w:rPr>
      </w:pPr>
    </w:p>
    <w:p w14:paraId="34399B8F">
      <w:pPr>
        <w:pStyle w:val="3"/>
        <w:numPr>
          <w:ilvl w:val="0"/>
          <w:numId w:val="0"/>
        </w:numPr>
        <w:rPr>
          <w:rFonts w:hAnsi="黑体"/>
          <w:color w:val="auto"/>
          <w:szCs w:val="21"/>
          <w:highlight w:val="none"/>
        </w:rPr>
      </w:pPr>
      <w:bookmarkStart w:id="1659" w:name="_Toc26194"/>
      <w:bookmarkStart w:id="1660" w:name="_Toc24833"/>
      <w:r>
        <w:rPr>
          <w:rFonts w:hint="eastAsia" w:hAnsi="黑体"/>
          <w:color w:val="auto"/>
          <w:szCs w:val="21"/>
          <w:highlight w:val="none"/>
        </w:rPr>
        <w:t>（二）无重大违法记录声明函</w:t>
      </w:r>
      <w:bookmarkEnd w:id="1659"/>
      <w:bookmarkEnd w:id="1660"/>
    </w:p>
    <w:p w14:paraId="10706657">
      <w:pPr>
        <w:pStyle w:val="4"/>
        <w:spacing w:line="360" w:lineRule="auto"/>
        <w:ind w:left="420" w:firstLine="0"/>
        <w:rPr>
          <w:color w:val="auto"/>
          <w:highlight w:val="none"/>
        </w:rPr>
      </w:pPr>
    </w:p>
    <w:p w14:paraId="05FA4992">
      <w:pPr>
        <w:spacing w:line="360" w:lineRule="auto"/>
        <w:rPr>
          <w:color w:val="auto"/>
          <w:szCs w:val="21"/>
          <w:highlight w:val="none"/>
        </w:rPr>
      </w:pPr>
      <w:r>
        <w:rPr>
          <w:rFonts w:hint="eastAsia"/>
          <w:color w:val="auto"/>
          <w:szCs w:val="21"/>
          <w:highlight w:val="none"/>
        </w:rPr>
        <w:t>致广东业信采购招标有限公司：</w:t>
      </w:r>
    </w:p>
    <w:p w14:paraId="4307A778">
      <w:pPr>
        <w:adjustRightInd w:val="0"/>
        <w:snapToGrid w:val="0"/>
        <w:spacing w:line="360" w:lineRule="auto"/>
        <w:ind w:left="1050" w:hanging="1050" w:hangingChars="500"/>
        <w:jc w:val="left"/>
        <w:rPr>
          <w:rFonts w:ascii="宋体" w:hAnsi="宋体"/>
          <w:bCs/>
          <w:color w:val="auto"/>
          <w:highlight w:val="none"/>
          <w:u w:val="single"/>
        </w:rPr>
      </w:pPr>
      <w:r>
        <w:rPr>
          <w:rFonts w:hint="eastAsia"/>
          <w:color w:val="auto"/>
          <w:szCs w:val="21"/>
          <w:highlight w:val="none"/>
        </w:rPr>
        <w:t xml:space="preserve">    针对贵</w:t>
      </w:r>
      <w:r>
        <w:rPr>
          <w:rFonts w:hint="eastAsia" w:ascii="宋体" w:hAnsi="宋体"/>
          <w:color w:val="auto"/>
          <w:szCs w:val="21"/>
          <w:highlight w:val="none"/>
        </w:rPr>
        <w:t>方</w:t>
      </w:r>
      <w:r>
        <w:rPr>
          <w:rFonts w:hint="eastAsia"/>
          <w:color w:val="auto"/>
          <w:szCs w:val="21"/>
          <w:highlight w:val="none"/>
        </w:rPr>
        <w:t>组织的（项目名称：</w:t>
      </w:r>
      <w:r>
        <w:rPr>
          <w:rFonts w:hint="eastAsia"/>
          <w:color w:val="auto"/>
          <w:szCs w:val="21"/>
          <w:highlight w:val="none"/>
          <w:u w:val="single"/>
        </w:rPr>
        <w:t xml:space="preserve">                  </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ascii="宋体" w:hAnsi="宋体"/>
          <w:bCs/>
          <w:color w:val="auto"/>
          <w:highlight w:val="none"/>
          <w:u w:val="single"/>
          <w:lang w:val="en-US" w:eastAsia="zh-CN"/>
        </w:rPr>
        <w:t xml:space="preserve">   </w:t>
      </w:r>
      <w:r>
        <w:rPr>
          <w:rFonts w:hint="eastAsia" w:ascii="宋体" w:hAnsi="宋体"/>
          <w:bCs/>
          <w:color w:val="auto"/>
          <w:highlight w:val="none"/>
          <w:u w:val="single"/>
        </w:rPr>
        <w:t xml:space="preserve">   </w:t>
      </w:r>
      <w:r>
        <w:rPr>
          <w:rFonts w:hint="eastAsia" w:hAnsi="宋体"/>
          <w:bCs/>
          <w:color w:val="auto"/>
          <w:sz w:val="21"/>
          <w:highlight w:val="none"/>
          <w:lang w:val="en-US" w:eastAsia="zh-CN"/>
        </w:rPr>
        <w:t>包组号：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color w:val="auto"/>
          <w:szCs w:val="21"/>
          <w:highlight w:val="none"/>
        </w:rPr>
        <w:t>），我方郑重承诺：</w:t>
      </w:r>
    </w:p>
    <w:p w14:paraId="746C7908">
      <w:pPr>
        <w:spacing w:line="360" w:lineRule="auto"/>
        <w:rPr>
          <w:color w:val="auto"/>
          <w:szCs w:val="21"/>
          <w:highlight w:val="none"/>
        </w:rPr>
      </w:pPr>
      <w:r>
        <w:rPr>
          <w:rFonts w:hint="eastAsia"/>
          <w:color w:val="auto"/>
          <w:szCs w:val="21"/>
          <w:highlight w:val="none"/>
        </w:rPr>
        <w:t xml:space="preserve">    参加本次政府采购活动前三年内，在经营活动中没有重大违法记录。</w:t>
      </w:r>
    </w:p>
    <w:p w14:paraId="409309BB">
      <w:pPr>
        <w:spacing w:line="360" w:lineRule="auto"/>
        <w:rPr>
          <w:color w:val="auto"/>
          <w:szCs w:val="21"/>
          <w:highlight w:val="none"/>
        </w:rPr>
      </w:pPr>
      <w:r>
        <w:rPr>
          <w:rFonts w:hint="eastAsia"/>
          <w:color w:val="auto"/>
          <w:szCs w:val="21"/>
          <w:highlight w:val="none"/>
        </w:rPr>
        <w:t xml:space="preserve">    本公司对上述声明的真实性负责。如有虚假，将依法承担相关责任。</w:t>
      </w:r>
    </w:p>
    <w:p w14:paraId="5B3A89B0">
      <w:pPr>
        <w:spacing w:line="360" w:lineRule="auto"/>
        <w:rPr>
          <w:color w:val="auto"/>
          <w:szCs w:val="21"/>
          <w:highlight w:val="none"/>
        </w:rPr>
      </w:pPr>
      <w:r>
        <w:rPr>
          <w:rFonts w:hint="eastAsia"/>
          <w:color w:val="auto"/>
          <w:szCs w:val="21"/>
          <w:highlight w:val="none"/>
        </w:rPr>
        <w:t xml:space="preserve">    特此声明。</w:t>
      </w:r>
    </w:p>
    <w:p w14:paraId="6F0342F8">
      <w:pPr>
        <w:spacing w:line="360" w:lineRule="auto"/>
        <w:ind w:firstLine="660"/>
        <w:rPr>
          <w:color w:val="auto"/>
          <w:szCs w:val="21"/>
          <w:highlight w:val="none"/>
        </w:rPr>
      </w:pPr>
    </w:p>
    <w:p w14:paraId="265A5612">
      <w:pPr>
        <w:spacing w:line="360" w:lineRule="auto"/>
        <w:ind w:firstLine="660"/>
        <w:rPr>
          <w:color w:val="auto"/>
          <w:szCs w:val="21"/>
          <w:highlight w:val="none"/>
        </w:rPr>
      </w:pPr>
    </w:p>
    <w:p w14:paraId="604E93FC">
      <w:pPr>
        <w:spacing w:line="360" w:lineRule="auto"/>
        <w:ind w:firstLine="660"/>
        <w:rPr>
          <w:color w:val="auto"/>
          <w:szCs w:val="21"/>
          <w:highlight w:val="none"/>
        </w:rPr>
      </w:pPr>
    </w:p>
    <w:p w14:paraId="6A369300">
      <w:pPr>
        <w:spacing w:line="360" w:lineRule="auto"/>
        <w:ind w:firstLine="660"/>
        <w:rPr>
          <w:color w:val="auto"/>
          <w:szCs w:val="21"/>
          <w:highlight w:val="none"/>
        </w:rPr>
      </w:pPr>
    </w:p>
    <w:p w14:paraId="73E4E88C">
      <w:pPr>
        <w:spacing w:line="360" w:lineRule="auto"/>
        <w:ind w:firstLine="660"/>
        <w:rPr>
          <w:color w:val="auto"/>
          <w:szCs w:val="21"/>
          <w:highlight w:val="none"/>
        </w:rPr>
      </w:pPr>
    </w:p>
    <w:p w14:paraId="3129FA14">
      <w:pPr>
        <w:spacing w:line="360" w:lineRule="auto"/>
        <w:ind w:firstLine="660"/>
        <w:rPr>
          <w:color w:val="auto"/>
          <w:szCs w:val="21"/>
          <w:highlight w:val="none"/>
        </w:rPr>
      </w:pPr>
    </w:p>
    <w:p w14:paraId="143798AC">
      <w:pPr>
        <w:spacing w:line="360" w:lineRule="auto"/>
        <w:ind w:firstLine="660"/>
        <w:rPr>
          <w:color w:val="auto"/>
          <w:szCs w:val="21"/>
          <w:highlight w:val="none"/>
        </w:rPr>
      </w:pPr>
    </w:p>
    <w:p w14:paraId="31C52079">
      <w:pPr>
        <w:spacing w:line="360" w:lineRule="auto"/>
        <w:ind w:firstLine="660"/>
        <w:rPr>
          <w:color w:val="auto"/>
          <w:szCs w:val="21"/>
          <w:highlight w:val="none"/>
        </w:rPr>
      </w:pPr>
    </w:p>
    <w:p w14:paraId="3847D547">
      <w:pPr>
        <w:spacing w:line="360" w:lineRule="auto"/>
        <w:ind w:firstLine="660"/>
        <w:rPr>
          <w:color w:val="auto"/>
          <w:szCs w:val="21"/>
          <w:highlight w:val="none"/>
        </w:rPr>
      </w:pPr>
    </w:p>
    <w:p w14:paraId="7253BBD0">
      <w:pPr>
        <w:spacing w:line="360" w:lineRule="auto"/>
        <w:ind w:firstLine="660"/>
        <w:rPr>
          <w:color w:val="auto"/>
          <w:szCs w:val="21"/>
          <w:highlight w:val="none"/>
        </w:rPr>
      </w:pPr>
    </w:p>
    <w:p w14:paraId="020720D5">
      <w:pPr>
        <w:spacing w:line="360" w:lineRule="auto"/>
        <w:ind w:firstLine="660"/>
        <w:rPr>
          <w:color w:val="auto"/>
          <w:szCs w:val="21"/>
          <w:highlight w:val="none"/>
        </w:rPr>
      </w:pPr>
    </w:p>
    <w:p w14:paraId="0803BEC4">
      <w:pPr>
        <w:spacing w:line="360" w:lineRule="auto"/>
        <w:ind w:firstLine="660"/>
        <w:rPr>
          <w:color w:val="auto"/>
          <w:szCs w:val="21"/>
          <w:highlight w:val="none"/>
        </w:rPr>
      </w:pPr>
    </w:p>
    <w:p w14:paraId="6DD9AEC3">
      <w:pPr>
        <w:spacing w:line="360" w:lineRule="auto"/>
        <w:ind w:firstLine="660"/>
        <w:rPr>
          <w:color w:val="auto"/>
          <w:szCs w:val="21"/>
          <w:highlight w:val="none"/>
        </w:rPr>
      </w:pPr>
    </w:p>
    <w:p w14:paraId="5309D684">
      <w:pPr>
        <w:spacing w:line="360" w:lineRule="auto"/>
        <w:ind w:firstLine="660"/>
        <w:rPr>
          <w:color w:val="auto"/>
          <w:szCs w:val="21"/>
          <w:highlight w:val="none"/>
        </w:rPr>
      </w:pPr>
    </w:p>
    <w:p w14:paraId="77DC6B58">
      <w:pPr>
        <w:spacing w:line="360" w:lineRule="auto"/>
        <w:rPr>
          <w:color w:val="auto"/>
          <w:szCs w:val="21"/>
          <w:highlight w:val="non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31659113">
      <w:pPr>
        <w:spacing w:line="360" w:lineRule="auto"/>
        <w:rPr>
          <w:color w:val="auto"/>
          <w:szCs w:val="21"/>
          <w:highlight w:val="none"/>
          <w:u w:val="single"/>
        </w:rPr>
      </w:pPr>
      <w:r>
        <w:rPr>
          <w:rFonts w:hint="eastAsia"/>
          <w:color w:val="auto"/>
          <w:szCs w:val="21"/>
          <w:highlight w:val="none"/>
        </w:rPr>
        <w:t>投标人名称（公章）：</w:t>
      </w:r>
      <w:r>
        <w:rPr>
          <w:rFonts w:hint="eastAsia"/>
          <w:color w:val="auto"/>
          <w:szCs w:val="21"/>
          <w:highlight w:val="none"/>
          <w:u w:val="single"/>
        </w:rPr>
        <w:t xml:space="preserve">                        </w:t>
      </w:r>
    </w:p>
    <w:p w14:paraId="3E25526C">
      <w:pPr>
        <w:spacing w:line="360" w:lineRule="auto"/>
        <w:rPr>
          <w:color w:val="auto"/>
          <w:szCs w:val="21"/>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7D8C392">
      <w:pPr>
        <w:pStyle w:val="4"/>
        <w:ind w:left="420" w:firstLine="0"/>
        <w:rPr>
          <w:color w:val="auto"/>
          <w:highlight w:val="none"/>
        </w:rPr>
      </w:pPr>
    </w:p>
    <w:p w14:paraId="1141B1E3">
      <w:pPr>
        <w:pStyle w:val="4"/>
        <w:ind w:left="420" w:firstLine="0"/>
        <w:rPr>
          <w:color w:val="auto"/>
          <w:highlight w:val="none"/>
        </w:rPr>
      </w:pPr>
    </w:p>
    <w:p w14:paraId="773AFF26">
      <w:pPr>
        <w:pStyle w:val="4"/>
        <w:ind w:left="420" w:firstLine="0"/>
        <w:rPr>
          <w:color w:val="auto"/>
          <w:highlight w:val="none"/>
        </w:rPr>
      </w:pPr>
    </w:p>
    <w:p w14:paraId="3777C4AA">
      <w:pPr>
        <w:pStyle w:val="4"/>
        <w:ind w:left="420" w:firstLine="0"/>
        <w:rPr>
          <w:color w:val="auto"/>
          <w:highlight w:val="none"/>
        </w:rPr>
      </w:pPr>
    </w:p>
    <w:p w14:paraId="14DA93FB">
      <w:pPr>
        <w:pStyle w:val="4"/>
        <w:ind w:left="420" w:firstLine="0"/>
        <w:rPr>
          <w:color w:val="auto"/>
          <w:highlight w:val="none"/>
        </w:rPr>
      </w:pPr>
    </w:p>
    <w:p w14:paraId="2F849C47">
      <w:pPr>
        <w:pStyle w:val="4"/>
        <w:ind w:left="420" w:firstLine="0"/>
        <w:rPr>
          <w:color w:val="auto"/>
          <w:highlight w:val="none"/>
        </w:rPr>
      </w:pPr>
    </w:p>
    <w:p w14:paraId="746B9249">
      <w:pPr>
        <w:pStyle w:val="4"/>
        <w:ind w:left="420" w:firstLine="0"/>
        <w:rPr>
          <w:color w:val="auto"/>
          <w:highlight w:val="none"/>
        </w:rPr>
      </w:pPr>
    </w:p>
    <w:p w14:paraId="590B1458">
      <w:pPr>
        <w:pStyle w:val="4"/>
        <w:ind w:firstLine="0"/>
        <w:rPr>
          <w:color w:val="auto"/>
          <w:highlight w:val="none"/>
        </w:rPr>
      </w:pPr>
    </w:p>
    <w:p w14:paraId="17BA7CA5">
      <w:pPr>
        <w:tabs>
          <w:tab w:val="center" w:pos="4483"/>
        </w:tabs>
        <w:rPr>
          <w:rFonts w:ascii="宋体" w:hAnsi="宋体"/>
          <w:bCs/>
          <w:color w:val="auto"/>
          <w:szCs w:val="21"/>
          <w:highlight w:val="none"/>
        </w:rPr>
      </w:pPr>
    </w:p>
    <w:p w14:paraId="4785A0B4">
      <w:pPr>
        <w:pStyle w:val="3"/>
        <w:numPr>
          <w:ilvl w:val="7"/>
          <w:numId w:val="6"/>
        </w:numPr>
        <w:tabs>
          <w:tab w:val="clear" w:pos="720"/>
        </w:tabs>
        <w:ind w:left="720"/>
        <w:rPr>
          <w:color w:val="auto"/>
          <w:highlight w:val="none"/>
        </w:rPr>
      </w:pPr>
      <w:bookmarkStart w:id="1661" w:name="_Toc5256"/>
      <w:bookmarkStart w:id="1662" w:name="_Toc2789"/>
      <w:r>
        <w:rPr>
          <w:rFonts w:hint="eastAsia"/>
          <w:color w:val="auto"/>
          <w:highlight w:val="none"/>
        </w:rPr>
        <w:t>投标文件商务及技术部分</w:t>
      </w:r>
      <w:bookmarkEnd w:id="1661"/>
      <w:bookmarkEnd w:id="1662"/>
    </w:p>
    <w:p w14:paraId="547247CC">
      <w:pPr>
        <w:pStyle w:val="3"/>
        <w:numPr>
          <w:ilvl w:val="0"/>
          <w:numId w:val="0"/>
        </w:numPr>
        <w:rPr>
          <w:color w:val="auto"/>
          <w:sz w:val="24"/>
          <w:highlight w:val="none"/>
        </w:rPr>
      </w:pPr>
      <w:bookmarkStart w:id="1663" w:name="_Toc32609"/>
      <w:r>
        <w:rPr>
          <w:rFonts w:hint="eastAsia"/>
          <w:color w:val="auto"/>
          <w:sz w:val="24"/>
          <w:highlight w:val="none"/>
        </w:rPr>
        <w:t>商务及技术封面格式</w:t>
      </w:r>
      <w:bookmarkEnd w:id="1663"/>
    </w:p>
    <w:p w14:paraId="76397F88">
      <w:pPr>
        <w:pStyle w:val="4"/>
        <w:rPr>
          <w:rFonts w:hAnsi="宋体"/>
          <w:bCs/>
          <w:color w:val="auto"/>
          <w:sz w:val="21"/>
          <w:highlight w:val="none"/>
        </w:rPr>
      </w:pPr>
    </w:p>
    <w:p w14:paraId="4A200218">
      <w:pPr>
        <w:pStyle w:val="4"/>
        <w:spacing w:line="360" w:lineRule="auto"/>
        <w:rPr>
          <w:rFonts w:hAnsi="宋体"/>
          <w:bCs/>
          <w:color w:val="auto"/>
          <w:sz w:val="21"/>
          <w:highlight w:val="none"/>
        </w:rPr>
      </w:pPr>
      <w:r>
        <w:rPr>
          <w:rFonts w:hAnsi="宋体"/>
          <w:bCs/>
          <w:color w:val="auto"/>
          <w:sz w:val="21"/>
          <w:highlight w:val="none"/>
        </w:rPr>
        <w:t>1</w:t>
      </w:r>
      <w:r>
        <w:rPr>
          <w:rFonts w:hint="eastAsia" w:hAnsi="宋体"/>
          <w:bCs/>
          <w:color w:val="auto"/>
          <w:sz w:val="21"/>
          <w:highlight w:val="none"/>
          <w:lang w:eastAsia="zh-CN"/>
        </w:rPr>
        <w:t>.</w:t>
      </w:r>
      <w:r>
        <w:rPr>
          <w:rFonts w:hint="eastAsia" w:hAnsi="宋体"/>
          <w:bCs/>
          <w:color w:val="auto"/>
          <w:sz w:val="21"/>
          <w:highlight w:val="none"/>
        </w:rPr>
        <w:t xml:space="preserve">投标内容应当编有目录、页码，按页码排序并装订成册。   </w:t>
      </w:r>
    </w:p>
    <w:p w14:paraId="73B6DE71">
      <w:pPr>
        <w:pStyle w:val="4"/>
        <w:spacing w:line="360" w:lineRule="auto"/>
        <w:rPr>
          <w:rFonts w:hAnsi="宋体"/>
          <w:b/>
          <w:color w:val="auto"/>
          <w:sz w:val="21"/>
          <w:szCs w:val="21"/>
          <w:highlight w:val="none"/>
        </w:rPr>
      </w:pPr>
      <w:r>
        <w:rPr>
          <w:rFonts w:hAnsi="宋体"/>
          <w:bCs/>
          <w:color w:val="auto"/>
          <w:sz w:val="21"/>
          <w:highlight w:val="none"/>
        </w:rPr>
        <w:t>2</w:t>
      </w:r>
      <w:r>
        <w:rPr>
          <w:rFonts w:hint="eastAsia" w:hAnsi="宋体"/>
          <w:bCs/>
          <w:color w:val="auto"/>
          <w:sz w:val="21"/>
          <w:highlight w:val="none"/>
          <w:lang w:eastAsia="zh-CN"/>
        </w:rPr>
        <w:t>.</w:t>
      </w:r>
      <w:r>
        <w:rPr>
          <w:rFonts w:hint="eastAsia" w:hAnsi="宋体"/>
          <w:bCs/>
          <w:color w:val="auto"/>
          <w:sz w:val="21"/>
          <w:highlight w:val="none"/>
        </w:rPr>
        <w:t>文件的封面格式由投</w:t>
      </w:r>
      <w:r>
        <w:rPr>
          <w:rFonts w:hint="eastAsia" w:hAnsi="宋体"/>
          <w:bCs/>
          <w:color w:val="auto"/>
          <w:sz w:val="21"/>
          <w:szCs w:val="21"/>
          <w:highlight w:val="none"/>
        </w:rPr>
        <w:t>标人自拟</w:t>
      </w:r>
      <w:r>
        <w:rPr>
          <w:rFonts w:hint="eastAsia" w:hAnsi="宋体"/>
          <w:bCs/>
          <w:color w:val="auto"/>
          <w:sz w:val="21"/>
          <w:highlight w:val="none"/>
        </w:rPr>
        <w:t>，并应注明“投标文件、项目编号、项目名称、投标人名称及地址、法定代表人（负责人）或授权代理人、联系电话、传真、邮编，并加盖投标人公章。</w:t>
      </w:r>
    </w:p>
    <w:p w14:paraId="6A92207C">
      <w:pPr>
        <w:pStyle w:val="4"/>
        <w:rPr>
          <w:rFonts w:hAnsi="宋体"/>
          <w:bCs/>
          <w:color w:val="auto"/>
          <w:sz w:val="21"/>
          <w:highlight w:val="none"/>
        </w:rPr>
      </w:pPr>
    </w:p>
    <w:p w14:paraId="386C5A22">
      <w:pPr>
        <w:pStyle w:val="4"/>
        <w:rPr>
          <w:rFonts w:hAnsi="宋体"/>
          <w:bCs/>
          <w:color w:val="auto"/>
          <w:sz w:val="21"/>
          <w:highlight w:val="none"/>
        </w:rPr>
      </w:pPr>
    </w:p>
    <w:p w14:paraId="35E7B6BD">
      <w:pPr>
        <w:pStyle w:val="4"/>
        <w:rPr>
          <w:rFonts w:hAnsi="宋体"/>
          <w:bCs/>
          <w:color w:val="auto"/>
          <w:sz w:val="21"/>
          <w:highlight w:val="none"/>
        </w:rPr>
      </w:pPr>
    </w:p>
    <w:p w14:paraId="4A9AA8AB">
      <w:pPr>
        <w:pStyle w:val="4"/>
        <w:rPr>
          <w:rFonts w:hAnsi="宋体"/>
          <w:bCs/>
          <w:color w:val="auto"/>
          <w:sz w:val="21"/>
          <w:highlight w:val="none"/>
        </w:rPr>
      </w:pPr>
    </w:p>
    <w:p w14:paraId="6E267818">
      <w:pPr>
        <w:pStyle w:val="4"/>
        <w:rPr>
          <w:rFonts w:hAnsi="宋体"/>
          <w:bCs/>
          <w:color w:val="auto"/>
          <w:sz w:val="21"/>
          <w:highlight w:val="none"/>
        </w:rPr>
      </w:pPr>
    </w:p>
    <w:p w14:paraId="5ECDD430">
      <w:pPr>
        <w:pStyle w:val="4"/>
        <w:rPr>
          <w:rFonts w:hAnsi="宋体"/>
          <w:bCs/>
          <w:color w:val="auto"/>
          <w:sz w:val="21"/>
          <w:highlight w:val="none"/>
        </w:rPr>
      </w:pPr>
    </w:p>
    <w:p w14:paraId="26FC749A">
      <w:pPr>
        <w:pStyle w:val="4"/>
        <w:rPr>
          <w:rFonts w:hAnsi="宋体"/>
          <w:bCs/>
          <w:color w:val="auto"/>
          <w:sz w:val="21"/>
          <w:highlight w:val="none"/>
        </w:rPr>
      </w:pPr>
    </w:p>
    <w:p w14:paraId="761D9881">
      <w:pPr>
        <w:pStyle w:val="4"/>
        <w:rPr>
          <w:rFonts w:hAnsi="宋体"/>
          <w:bCs/>
          <w:color w:val="auto"/>
          <w:sz w:val="21"/>
          <w:highlight w:val="none"/>
        </w:rPr>
      </w:pPr>
    </w:p>
    <w:p w14:paraId="240FFD4E">
      <w:pPr>
        <w:pStyle w:val="4"/>
        <w:rPr>
          <w:rFonts w:hAnsi="宋体"/>
          <w:bCs/>
          <w:color w:val="auto"/>
          <w:sz w:val="21"/>
          <w:highlight w:val="none"/>
        </w:rPr>
      </w:pPr>
    </w:p>
    <w:p w14:paraId="2F0D57B8">
      <w:pPr>
        <w:pStyle w:val="4"/>
        <w:rPr>
          <w:rFonts w:hAnsi="宋体"/>
          <w:bCs/>
          <w:color w:val="auto"/>
          <w:sz w:val="21"/>
          <w:highlight w:val="none"/>
        </w:rPr>
      </w:pPr>
    </w:p>
    <w:p w14:paraId="42A1D5DD">
      <w:pPr>
        <w:pStyle w:val="4"/>
        <w:rPr>
          <w:rFonts w:hAnsi="宋体"/>
          <w:bCs/>
          <w:color w:val="auto"/>
          <w:sz w:val="21"/>
          <w:highlight w:val="none"/>
        </w:rPr>
      </w:pPr>
    </w:p>
    <w:p w14:paraId="1C8E0D5F">
      <w:pPr>
        <w:pStyle w:val="4"/>
        <w:rPr>
          <w:rFonts w:hAnsi="宋体"/>
          <w:bCs/>
          <w:color w:val="auto"/>
          <w:sz w:val="21"/>
          <w:highlight w:val="none"/>
        </w:rPr>
      </w:pPr>
    </w:p>
    <w:p w14:paraId="6533C11B">
      <w:pPr>
        <w:pStyle w:val="4"/>
        <w:rPr>
          <w:rFonts w:hAnsi="宋体"/>
          <w:bCs/>
          <w:color w:val="auto"/>
          <w:sz w:val="21"/>
          <w:highlight w:val="none"/>
        </w:rPr>
      </w:pPr>
    </w:p>
    <w:p w14:paraId="4E997E0D">
      <w:pPr>
        <w:pStyle w:val="4"/>
        <w:rPr>
          <w:rFonts w:hAnsi="宋体"/>
          <w:bCs/>
          <w:color w:val="auto"/>
          <w:sz w:val="21"/>
          <w:highlight w:val="none"/>
        </w:rPr>
      </w:pPr>
    </w:p>
    <w:p w14:paraId="266B6803">
      <w:pPr>
        <w:pStyle w:val="4"/>
        <w:rPr>
          <w:rFonts w:hAnsi="宋体"/>
          <w:bCs/>
          <w:color w:val="auto"/>
          <w:sz w:val="21"/>
          <w:highlight w:val="none"/>
        </w:rPr>
      </w:pPr>
    </w:p>
    <w:p w14:paraId="575CC946">
      <w:pPr>
        <w:pStyle w:val="4"/>
        <w:rPr>
          <w:rFonts w:hAnsi="宋体"/>
          <w:bCs/>
          <w:color w:val="auto"/>
          <w:sz w:val="21"/>
          <w:highlight w:val="none"/>
        </w:rPr>
      </w:pPr>
    </w:p>
    <w:p w14:paraId="69AA74CE">
      <w:pPr>
        <w:pStyle w:val="4"/>
        <w:rPr>
          <w:rFonts w:hAnsi="宋体"/>
          <w:bCs/>
          <w:color w:val="auto"/>
          <w:sz w:val="21"/>
          <w:highlight w:val="none"/>
        </w:rPr>
      </w:pPr>
    </w:p>
    <w:p w14:paraId="721F63CD">
      <w:pPr>
        <w:pStyle w:val="4"/>
        <w:rPr>
          <w:rFonts w:hAnsi="宋体"/>
          <w:bCs/>
          <w:color w:val="auto"/>
          <w:sz w:val="21"/>
          <w:highlight w:val="none"/>
        </w:rPr>
      </w:pPr>
    </w:p>
    <w:p w14:paraId="7977F21F">
      <w:pPr>
        <w:pStyle w:val="4"/>
        <w:rPr>
          <w:rFonts w:hAnsi="宋体"/>
          <w:bCs/>
          <w:color w:val="auto"/>
          <w:sz w:val="21"/>
          <w:highlight w:val="none"/>
        </w:rPr>
      </w:pPr>
    </w:p>
    <w:p w14:paraId="41BEB71B">
      <w:pPr>
        <w:pStyle w:val="4"/>
        <w:rPr>
          <w:rFonts w:hAnsi="宋体"/>
          <w:bCs/>
          <w:color w:val="auto"/>
          <w:sz w:val="21"/>
          <w:highlight w:val="none"/>
        </w:rPr>
      </w:pPr>
    </w:p>
    <w:p w14:paraId="2FDDF606">
      <w:pPr>
        <w:pStyle w:val="4"/>
        <w:rPr>
          <w:rFonts w:hAnsi="宋体"/>
          <w:bCs/>
          <w:color w:val="auto"/>
          <w:sz w:val="21"/>
          <w:highlight w:val="none"/>
        </w:rPr>
      </w:pPr>
    </w:p>
    <w:p w14:paraId="7E17BD51">
      <w:pPr>
        <w:pStyle w:val="4"/>
        <w:rPr>
          <w:rFonts w:hAnsi="宋体"/>
          <w:bCs/>
          <w:color w:val="auto"/>
          <w:sz w:val="21"/>
          <w:highlight w:val="none"/>
        </w:rPr>
      </w:pPr>
    </w:p>
    <w:p w14:paraId="748A6D28">
      <w:pPr>
        <w:pStyle w:val="4"/>
        <w:rPr>
          <w:rFonts w:hAnsi="宋体"/>
          <w:bCs/>
          <w:color w:val="auto"/>
          <w:sz w:val="21"/>
          <w:highlight w:val="none"/>
        </w:rPr>
      </w:pPr>
    </w:p>
    <w:p w14:paraId="02FFBBDC">
      <w:pPr>
        <w:pStyle w:val="4"/>
        <w:rPr>
          <w:rFonts w:hAnsi="宋体"/>
          <w:bCs/>
          <w:color w:val="auto"/>
          <w:sz w:val="21"/>
          <w:highlight w:val="none"/>
        </w:rPr>
      </w:pPr>
    </w:p>
    <w:p w14:paraId="161DE359">
      <w:pPr>
        <w:pStyle w:val="4"/>
        <w:rPr>
          <w:rFonts w:hAnsi="宋体"/>
          <w:bCs/>
          <w:color w:val="auto"/>
          <w:sz w:val="21"/>
          <w:highlight w:val="none"/>
        </w:rPr>
      </w:pPr>
    </w:p>
    <w:p w14:paraId="6378DC97">
      <w:pPr>
        <w:pStyle w:val="4"/>
        <w:rPr>
          <w:rFonts w:hAnsi="宋体"/>
          <w:bCs/>
          <w:color w:val="auto"/>
          <w:sz w:val="21"/>
          <w:highlight w:val="none"/>
        </w:rPr>
      </w:pPr>
    </w:p>
    <w:p w14:paraId="40FCD867">
      <w:pPr>
        <w:pStyle w:val="4"/>
        <w:rPr>
          <w:rFonts w:hAnsi="宋体"/>
          <w:bCs/>
          <w:color w:val="auto"/>
          <w:sz w:val="21"/>
          <w:highlight w:val="none"/>
        </w:rPr>
      </w:pPr>
    </w:p>
    <w:p w14:paraId="07317DE8">
      <w:pPr>
        <w:pStyle w:val="4"/>
        <w:rPr>
          <w:rFonts w:hAnsi="宋体"/>
          <w:bCs/>
          <w:color w:val="auto"/>
          <w:sz w:val="21"/>
          <w:highlight w:val="none"/>
        </w:rPr>
      </w:pPr>
    </w:p>
    <w:p w14:paraId="3A76963C">
      <w:pPr>
        <w:pStyle w:val="4"/>
        <w:rPr>
          <w:rFonts w:hAnsi="宋体"/>
          <w:bCs/>
          <w:color w:val="auto"/>
          <w:sz w:val="21"/>
          <w:highlight w:val="none"/>
        </w:rPr>
      </w:pPr>
    </w:p>
    <w:p w14:paraId="36C19E8A">
      <w:pPr>
        <w:pStyle w:val="4"/>
        <w:rPr>
          <w:rFonts w:hAnsi="宋体"/>
          <w:bCs/>
          <w:color w:val="auto"/>
          <w:sz w:val="21"/>
          <w:highlight w:val="none"/>
        </w:rPr>
      </w:pPr>
    </w:p>
    <w:p w14:paraId="7FAB6DFB">
      <w:pPr>
        <w:pStyle w:val="4"/>
        <w:rPr>
          <w:rFonts w:hAnsi="宋体"/>
          <w:bCs/>
          <w:color w:val="auto"/>
          <w:sz w:val="21"/>
          <w:highlight w:val="none"/>
        </w:rPr>
      </w:pPr>
    </w:p>
    <w:p w14:paraId="165DFA57">
      <w:pPr>
        <w:pStyle w:val="4"/>
        <w:rPr>
          <w:rFonts w:hAnsi="宋体"/>
          <w:bCs/>
          <w:color w:val="auto"/>
          <w:sz w:val="21"/>
          <w:highlight w:val="none"/>
        </w:rPr>
      </w:pPr>
    </w:p>
    <w:p w14:paraId="542B94FA">
      <w:pPr>
        <w:pStyle w:val="4"/>
        <w:rPr>
          <w:rFonts w:hAnsi="宋体"/>
          <w:bCs/>
          <w:color w:val="auto"/>
          <w:sz w:val="21"/>
          <w:highlight w:val="none"/>
        </w:rPr>
      </w:pPr>
    </w:p>
    <w:p w14:paraId="359E9409">
      <w:pPr>
        <w:pStyle w:val="4"/>
        <w:rPr>
          <w:rFonts w:hAnsi="宋体"/>
          <w:bCs/>
          <w:color w:val="auto"/>
          <w:sz w:val="21"/>
          <w:highlight w:val="none"/>
        </w:rPr>
      </w:pPr>
    </w:p>
    <w:p w14:paraId="02BA3237">
      <w:pPr>
        <w:pStyle w:val="4"/>
        <w:rPr>
          <w:rFonts w:hAnsi="宋体"/>
          <w:bCs/>
          <w:color w:val="auto"/>
          <w:sz w:val="21"/>
          <w:highlight w:val="none"/>
        </w:rPr>
      </w:pPr>
    </w:p>
    <w:p w14:paraId="3CCE0432">
      <w:pPr>
        <w:pStyle w:val="4"/>
        <w:spacing w:line="440" w:lineRule="exact"/>
        <w:jc w:val="center"/>
        <w:rPr>
          <w:rFonts w:hAnsi="宋体"/>
          <w:bCs/>
          <w:color w:val="auto"/>
          <w:sz w:val="21"/>
          <w:highlight w:val="none"/>
        </w:rPr>
      </w:pPr>
    </w:p>
    <w:p w14:paraId="3C7A33A2">
      <w:pPr>
        <w:pStyle w:val="4"/>
        <w:spacing w:line="440" w:lineRule="exact"/>
        <w:ind w:firstLine="0"/>
        <w:jc w:val="both"/>
        <w:rPr>
          <w:rFonts w:hAnsi="宋体"/>
          <w:bCs/>
          <w:color w:val="auto"/>
          <w:sz w:val="21"/>
          <w:highlight w:val="none"/>
        </w:rPr>
      </w:pPr>
    </w:p>
    <w:p w14:paraId="1D7C4597">
      <w:pPr>
        <w:pStyle w:val="4"/>
        <w:spacing w:line="440" w:lineRule="exact"/>
        <w:jc w:val="center"/>
        <w:rPr>
          <w:rFonts w:hAnsi="宋体"/>
          <w:bCs/>
          <w:color w:val="auto"/>
          <w:sz w:val="21"/>
          <w:highlight w:val="none"/>
        </w:rPr>
      </w:pPr>
    </w:p>
    <w:p w14:paraId="2F798F72">
      <w:pPr>
        <w:pStyle w:val="4"/>
        <w:spacing w:line="360" w:lineRule="auto"/>
        <w:jc w:val="center"/>
        <w:rPr>
          <w:rFonts w:hint="eastAsia" w:hAnsi="宋体"/>
          <w:b/>
          <w:bCs/>
          <w:color w:val="auto"/>
          <w:sz w:val="52"/>
          <w:szCs w:val="52"/>
          <w:highlight w:val="none"/>
        </w:rPr>
      </w:pPr>
    </w:p>
    <w:p w14:paraId="0F052FB4">
      <w:pPr>
        <w:pStyle w:val="4"/>
        <w:spacing w:line="360" w:lineRule="auto"/>
        <w:jc w:val="center"/>
        <w:rPr>
          <w:rFonts w:hAnsi="宋体"/>
          <w:bCs/>
          <w:color w:val="auto"/>
          <w:sz w:val="52"/>
          <w:szCs w:val="52"/>
          <w:highlight w:val="none"/>
        </w:rPr>
      </w:pPr>
      <w:r>
        <w:rPr>
          <w:rFonts w:hint="eastAsia" w:hAnsi="宋体"/>
          <w:b/>
          <w:bCs/>
          <w:color w:val="auto"/>
          <w:sz w:val="52"/>
          <w:szCs w:val="52"/>
          <w:highlight w:val="none"/>
        </w:rPr>
        <w:t>投标文件（□正本、□副本</w:t>
      </w:r>
      <w:r>
        <w:rPr>
          <w:rFonts w:hint="eastAsia" w:hAnsi="宋体"/>
          <w:bCs/>
          <w:color w:val="auto"/>
          <w:sz w:val="52"/>
          <w:szCs w:val="52"/>
          <w:highlight w:val="none"/>
        </w:rPr>
        <w:t>）</w:t>
      </w:r>
    </w:p>
    <w:p w14:paraId="59A65334">
      <w:pPr>
        <w:pStyle w:val="4"/>
        <w:spacing w:line="360" w:lineRule="auto"/>
        <w:jc w:val="center"/>
        <w:rPr>
          <w:rFonts w:hAnsi="宋体"/>
          <w:bCs/>
          <w:color w:val="auto"/>
          <w:sz w:val="52"/>
          <w:szCs w:val="52"/>
          <w:highlight w:val="none"/>
        </w:rPr>
      </w:pPr>
      <w:r>
        <w:rPr>
          <w:rFonts w:hint="eastAsia" w:hAnsi="宋体"/>
          <w:b/>
          <w:color w:val="auto"/>
          <w:sz w:val="44"/>
          <w:szCs w:val="44"/>
          <w:highlight w:val="none"/>
        </w:rPr>
        <w:t>（商务及技术文件）</w:t>
      </w:r>
    </w:p>
    <w:p w14:paraId="54379B5A">
      <w:pPr>
        <w:pStyle w:val="4"/>
        <w:spacing w:line="360" w:lineRule="auto"/>
        <w:jc w:val="center"/>
        <w:rPr>
          <w:rFonts w:hAnsi="宋体"/>
          <w:bCs/>
          <w:color w:val="auto"/>
          <w:sz w:val="52"/>
          <w:szCs w:val="52"/>
          <w:highlight w:val="none"/>
        </w:rPr>
      </w:pPr>
    </w:p>
    <w:p w14:paraId="613D18A5">
      <w:pPr>
        <w:pStyle w:val="4"/>
        <w:spacing w:line="360" w:lineRule="auto"/>
        <w:jc w:val="center"/>
        <w:rPr>
          <w:rFonts w:hAnsi="宋体"/>
          <w:bCs/>
          <w:color w:val="auto"/>
          <w:sz w:val="52"/>
          <w:szCs w:val="52"/>
          <w:highlight w:val="none"/>
        </w:rPr>
      </w:pPr>
    </w:p>
    <w:p w14:paraId="7BF350FD">
      <w:pPr>
        <w:pStyle w:val="4"/>
        <w:spacing w:line="360" w:lineRule="auto"/>
        <w:jc w:val="center"/>
        <w:rPr>
          <w:rFonts w:hAnsi="宋体"/>
          <w:bCs/>
          <w:color w:val="auto"/>
          <w:sz w:val="52"/>
          <w:szCs w:val="52"/>
          <w:highlight w:val="none"/>
        </w:rPr>
      </w:pPr>
    </w:p>
    <w:p w14:paraId="338DB448">
      <w:pPr>
        <w:pStyle w:val="4"/>
        <w:spacing w:line="360" w:lineRule="auto"/>
        <w:jc w:val="center"/>
        <w:rPr>
          <w:rFonts w:hAnsi="宋体"/>
          <w:bCs/>
          <w:color w:val="auto"/>
          <w:sz w:val="52"/>
          <w:szCs w:val="52"/>
          <w:highlight w:val="none"/>
        </w:rPr>
      </w:pPr>
    </w:p>
    <w:p w14:paraId="2193F90F">
      <w:pPr>
        <w:pStyle w:val="4"/>
        <w:spacing w:line="360" w:lineRule="auto"/>
        <w:jc w:val="center"/>
        <w:rPr>
          <w:rFonts w:hAnsi="宋体"/>
          <w:bCs/>
          <w:color w:val="auto"/>
          <w:sz w:val="52"/>
          <w:szCs w:val="52"/>
          <w:highlight w:val="none"/>
        </w:rPr>
      </w:pPr>
    </w:p>
    <w:p w14:paraId="6AC76B9C">
      <w:pPr>
        <w:pStyle w:val="4"/>
        <w:spacing w:line="440" w:lineRule="exact"/>
        <w:jc w:val="center"/>
        <w:rPr>
          <w:rFonts w:hAnsi="宋体"/>
          <w:bCs/>
          <w:color w:val="auto"/>
          <w:sz w:val="21"/>
          <w:highlight w:val="none"/>
        </w:rPr>
      </w:pPr>
    </w:p>
    <w:p w14:paraId="2B196B12">
      <w:pPr>
        <w:pStyle w:val="4"/>
        <w:spacing w:line="440" w:lineRule="exact"/>
        <w:rPr>
          <w:rFonts w:hAnsi="宋体"/>
          <w:bCs/>
          <w:color w:val="auto"/>
          <w:sz w:val="21"/>
          <w:highlight w:val="none"/>
        </w:rPr>
      </w:pPr>
      <w:r>
        <w:rPr>
          <w:rFonts w:hint="eastAsia" w:hAnsi="宋体"/>
          <w:bCs/>
          <w:color w:val="auto"/>
          <w:sz w:val="21"/>
          <w:highlight w:val="none"/>
        </w:rPr>
        <w:t>项目编号：</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p>
    <w:p w14:paraId="06BEB6E5">
      <w:pPr>
        <w:pStyle w:val="4"/>
        <w:spacing w:line="440" w:lineRule="exact"/>
        <w:rPr>
          <w:rFonts w:hint="eastAsia" w:hAnsi="宋体"/>
          <w:bCs/>
          <w:color w:val="auto"/>
          <w:sz w:val="21"/>
          <w:highlight w:val="none"/>
          <w:lang w:val="en-US" w:eastAsia="zh-CN"/>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rPr>
        <w:t xml:space="preserve">                  </w:t>
      </w:r>
      <w:r>
        <w:rPr>
          <w:rFonts w:hint="eastAsia" w:hAnsi="宋体"/>
          <w:bCs/>
          <w:color w:val="auto"/>
          <w:sz w:val="21"/>
          <w:highlight w:val="none"/>
          <w:lang w:val="en-US" w:eastAsia="zh-CN"/>
        </w:rPr>
        <w:t xml:space="preserve">         </w:t>
      </w:r>
    </w:p>
    <w:p w14:paraId="69A6F888">
      <w:pPr>
        <w:pStyle w:val="4"/>
        <w:spacing w:line="440" w:lineRule="exact"/>
        <w:rPr>
          <w:rFonts w:hAnsi="宋体"/>
          <w:bCs/>
          <w:color w:val="auto"/>
          <w:sz w:val="21"/>
          <w:highlight w:val="none"/>
          <w:u w:val="single"/>
        </w:rPr>
      </w:pPr>
      <w:r>
        <w:rPr>
          <w:rFonts w:hint="eastAsia" w:hAnsi="宋体"/>
          <w:bCs/>
          <w:color w:val="auto"/>
          <w:sz w:val="21"/>
          <w:highlight w:val="none"/>
        </w:rPr>
        <w:t>项目名称：</w:t>
      </w:r>
      <w:r>
        <w:rPr>
          <w:rFonts w:hint="eastAsia" w:hAnsi="宋体"/>
          <w:bCs/>
          <w:color w:val="auto"/>
          <w:sz w:val="21"/>
          <w:highlight w:val="none"/>
          <w:u w:val="single"/>
        </w:rPr>
        <w:t xml:space="preserve">     </w:t>
      </w:r>
      <w:r>
        <w:rPr>
          <w:rFonts w:hint="eastAsia" w:hAnsi="宋体" w:cs="宋体"/>
          <w:color w:val="auto"/>
          <w:sz w:val="21"/>
          <w:szCs w:val="21"/>
          <w:highlight w:val="none"/>
          <w:u w:val="single"/>
        </w:rPr>
        <w:t>采购项目名称，由投标人填写</w:t>
      </w:r>
      <w:r>
        <w:rPr>
          <w:rFonts w:hint="eastAsia" w:hAnsi="宋体" w:cs="宋体"/>
          <w:b/>
          <w:color w:val="auto"/>
          <w:sz w:val="21"/>
          <w:szCs w:val="21"/>
          <w:highlight w:val="none"/>
          <w:u w:val="single"/>
        </w:rPr>
        <w:t xml:space="preserve">                    </w:t>
      </w:r>
      <w:r>
        <w:rPr>
          <w:rFonts w:hint="eastAsia" w:hAnsi="宋体"/>
          <w:bCs/>
          <w:color w:val="auto"/>
          <w:sz w:val="21"/>
          <w:highlight w:val="none"/>
          <w:u w:val="single"/>
        </w:rPr>
        <w:t xml:space="preserve">             </w:t>
      </w:r>
    </w:p>
    <w:p w14:paraId="063FE4CB">
      <w:pPr>
        <w:pStyle w:val="4"/>
        <w:spacing w:line="440" w:lineRule="exact"/>
        <w:rPr>
          <w:rFonts w:hAnsi="宋体"/>
          <w:bCs/>
          <w:color w:val="auto"/>
          <w:sz w:val="21"/>
          <w:highlight w:val="none"/>
          <w:u w:val="single"/>
        </w:rPr>
      </w:pPr>
      <w:r>
        <w:rPr>
          <w:rFonts w:hint="eastAsia" w:hAnsi="宋体"/>
          <w:bCs/>
          <w:color w:val="auto"/>
          <w:sz w:val="21"/>
          <w:highlight w:val="none"/>
        </w:rPr>
        <w:t>投标人名称（公章）：</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5638CA51">
      <w:pPr>
        <w:pStyle w:val="4"/>
        <w:spacing w:line="440" w:lineRule="exact"/>
        <w:rPr>
          <w:rFonts w:hAnsi="宋体"/>
          <w:bCs/>
          <w:color w:val="auto"/>
          <w:sz w:val="21"/>
          <w:highlight w:val="none"/>
          <w:u w:val="single"/>
        </w:rPr>
      </w:pPr>
      <w:r>
        <w:rPr>
          <w:rFonts w:hint="eastAsia" w:hAnsi="宋体"/>
          <w:bCs/>
          <w:color w:val="auto"/>
          <w:sz w:val="21"/>
          <w:highlight w:val="none"/>
        </w:rPr>
        <w:t>投标人地址：</w:t>
      </w:r>
      <w:r>
        <w:rPr>
          <w:rFonts w:hint="eastAsia" w:hAnsi="宋体"/>
          <w:bCs/>
          <w:color w:val="auto"/>
          <w:sz w:val="21"/>
          <w:highlight w:val="none"/>
          <w:u w:val="single"/>
        </w:rPr>
        <w:t xml:space="preserve">                                                              </w:t>
      </w:r>
    </w:p>
    <w:p w14:paraId="4BF921EB">
      <w:pPr>
        <w:pStyle w:val="4"/>
        <w:spacing w:line="440" w:lineRule="exact"/>
        <w:rPr>
          <w:rFonts w:hAnsi="宋体"/>
          <w:bCs/>
          <w:color w:val="auto"/>
          <w:sz w:val="21"/>
          <w:highlight w:val="none"/>
          <w:u w:val="single"/>
        </w:rPr>
      </w:pPr>
      <w:r>
        <w:rPr>
          <w:rFonts w:hint="eastAsia" w:hAnsi="宋体"/>
          <w:bCs/>
          <w:color w:val="auto"/>
          <w:sz w:val="21"/>
          <w:highlight w:val="none"/>
        </w:rPr>
        <w:t>法定代表人（负责人）或授权代理人（签字）</w:t>
      </w:r>
      <w:r>
        <w:rPr>
          <w:rFonts w:hAnsi="宋体"/>
          <w:bCs/>
          <w:color w:val="auto"/>
          <w:sz w:val="21"/>
          <w:highlight w:val="none"/>
        </w:rPr>
        <w:t>：</w:t>
      </w:r>
      <w:r>
        <w:rPr>
          <w:rFonts w:hAnsi="宋体"/>
          <w:bCs/>
          <w:color w:val="auto"/>
          <w:sz w:val="21"/>
          <w:highlight w:val="none"/>
          <w:u w:val="single"/>
        </w:rPr>
        <w:t xml:space="preserve">           </w:t>
      </w:r>
      <w:r>
        <w:rPr>
          <w:rFonts w:hint="eastAsia"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int="eastAsia" w:hAnsi="宋体"/>
          <w:bCs/>
          <w:color w:val="auto"/>
          <w:sz w:val="21"/>
          <w:highlight w:val="none"/>
          <w:u w:val="single"/>
        </w:rPr>
        <w:t xml:space="preserve">     </w:t>
      </w:r>
    </w:p>
    <w:p w14:paraId="52680D81">
      <w:pPr>
        <w:pStyle w:val="4"/>
        <w:spacing w:line="440" w:lineRule="exact"/>
        <w:rPr>
          <w:rFonts w:hAnsi="宋体"/>
          <w:bCs/>
          <w:color w:val="auto"/>
          <w:sz w:val="21"/>
          <w:highlight w:val="none"/>
          <w:u w:val="single"/>
        </w:rPr>
      </w:pPr>
      <w:r>
        <w:rPr>
          <w:rFonts w:hint="eastAsia" w:hAnsi="宋体"/>
          <w:bCs/>
          <w:color w:val="auto"/>
          <w:sz w:val="21"/>
          <w:highlight w:val="none"/>
        </w:rPr>
        <w:t>联系</w:t>
      </w:r>
      <w:r>
        <w:rPr>
          <w:rFonts w:hAnsi="宋体"/>
          <w:bCs/>
          <w:color w:val="auto"/>
          <w:sz w:val="21"/>
          <w:highlight w:val="none"/>
        </w:rPr>
        <w:t>电话：</w:t>
      </w:r>
      <w:r>
        <w:rPr>
          <w:rFonts w:hint="eastAsia" w:hAnsi="宋体"/>
          <w:bCs/>
          <w:color w:val="auto"/>
          <w:sz w:val="21"/>
          <w:highlight w:val="none"/>
          <w:u w:val="single"/>
        </w:rPr>
        <w:t xml:space="preserve">                           </w:t>
      </w:r>
      <w:r>
        <w:rPr>
          <w:rFonts w:hAnsi="宋体"/>
          <w:bCs/>
          <w:color w:val="auto"/>
          <w:sz w:val="21"/>
          <w:highlight w:val="none"/>
        </w:rPr>
        <w:t xml:space="preserve">   </w:t>
      </w:r>
      <w:r>
        <w:rPr>
          <w:rFonts w:hint="eastAsia" w:hAnsi="宋体"/>
          <w:bCs/>
          <w:color w:val="auto"/>
          <w:sz w:val="21"/>
          <w:highlight w:val="none"/>
        </w:rPr>
        <w:t>传真：</w:t>
      </w:r>
      <w:r>
        <w:rPr>
          <w:rFonts w:hint="eastAsia" w:hAnsi="宋体"/>
          <w:bCs/>
          <w:color w:val="auto"/>
          <w:sz w:val="21"/>
          <w:highlight w:val="none"/>
          <w:u w:val="single"/>
        </w:rPr>
        <w:t xml:space="preserve">                            </w:t>
      </w:r>
    </w:p>
    <w:p w14:paraId="38652C85">
      <w:pPr>
        <w:pStyle w:val="4"/>
        <w:spacing w:line="440" w:lineRule="exact"/>
        <w:rPr>
          <w:rFonts w:hAnsi="宋体"/>
          <w:bCs/>
          <w:color w:val="auto"/>
          <w:sz w:val="21"/>
          <w:highlight w:val="none"/>
          <w:u w:val="single"/>
        </w:rPr>
      </w:pPr>
      <w:r>
        <w:rPr>
          <w:rFonts w:hAnsi="宋体"/>
          <w:bCs/>
          <w:color w:val="auto"/>
          <w:sz w:val="21"/>
          <w:highlight w:val="none"/>
        </w:rPr>
        <w:t>邮编：</w:t>
      </w:r>
      <w:r>
        <w:rPr>
          <w:rFonts w:hint="eastAsia" w:hAnsi="宋体"/>
          <w:bCs/>
          <w:color w:val="auto"/>
          <w:sz w:val="21"/>
          <w:highlight w:val="none"/>
          <w:u w:val="single"/>
        </w:rPr>
        <w:t xml:space="preserve">                               </w:t>
      </w:r>
    </w:p>
    <w:p w14:paraId="4AEF4CAD">
      <w:pPr>
        <w:pStyle w:val="4"/>
        <w:spacing w:line="440" w:lineRule="exact"/>
        <w:rPr>
          <w:color w:val="auto"/>
          <w:highlight w:val="none"/>
        </w:rPr>
      </w:pPr>
      <w:r>
        <w:rPr>
          <w:rFonts w:hint="eastAsia" w:hAnsi="宋体"/>
          <w:bCs/>
          <w:color w:val="auto"/>
          <w:sz w:val="21"/>
          <w:highlight w:val="none"/>
        </w:rPr>
        <w:t>编制日期：</w:t>
      </w:r>
      <w:r>
        <w:rPr>
          <w:rFonts w:hint="eastAsia" w:hAnsi="宋体"/>
          <w:bCs/>
          <w:color w:val="auto"/>
          <w:sz w:val="21"/>
          <w:highlight w:val="none"/>
          <w:u w:val="single"/>
        </w:rPr>
        <w:t xml:space="preserve">      </w:t>
      </w:r>
      <w:r>
        <w:rPr>
          <w:rFonts w:hint="eastAsia" w:hAnsi="宋体"/>
          <w:bCs/>
          <w:color w:val="auto"/>
          <w:sz w:val="21"/>
          <w:highlight w:val="none"/>
        </w:rPr>
        <w:t>年</w:t>
      </w:r>
      <w:r>
        <w:rPr>
          <w:rFonts w:hint="eastAsia" w:hAnsi="宋体"/>
          <w:bCs/>
          <w:color w:val="auto"/>
          <w:sz w:val="21"/>
          <w:highlight w:val="none"/>
          <w:u w:val="single"/>
        </w:rPr>
        <w:t xml:space="preserve">      </w:t>
      </w:r>
      <w:r>
        <w:rPr>
          <w:rFonts w:hint="eastAsia" w:hAnsi="宋体"/>
          <w:bCs/>
          <w:color w:val="auto"/>
          <w:sz w:val="21"/>
          <w:highlight w:val="none"/>
        </w:rPr>
        <w:t>月</w:t>
      </w:r>
      <w:r>
        <w:rPr>
          <w:rFonts w:hint="eastAsia" w:hAnsi="宋体"/>
          <w:bCs/>
          <w:color w:val="auto"/>
          <w:sz w:val="21"/>
          <w:highlight w:val="none"/>
          <w:u w:val="single"/>
        </w:rPr>
        <w:t xml:space="preserve">      </w:t>
      </w:r>
      <w:r>
        <w:rPr>
          <w:rFonts w:hint="eastAsia" w:hAnsi="宋体"/>
          <w:bCs/>
          <w:color w:val="auto"/>
          <w:sz w:val="21"/>
          <w:highlight w:val="none"/>
        </w:rPr>
        <w:t>日</w:t>
      </w:r>
    </w:p>
    <w:p w14:paraId="1EA6FC38">
      <w:pPr>
        <w:tabs>
          <w:tab w:val="left" w:pos="1004"/>
          <w:tab w:val="left" w:pos="4267"/>
        </w:tabs>
        <w:spacing w:line="400" w:lineRule="exact"/>
        <w:rPr>
          <w:rFonts w:ascii="宋体" w:hAnsi="宋体"/>
          <w:bCs/>
          <w:color w:val="auto"/>
          <w:highlight w:val="none"/>
        </w:rPr>
      </w:pPr>
    </w:p>
    <w:p w14:paraId="1578A494">
      <w:pPr>
        <w:pStyle w:val="4"/>
        <w:rPr>
          <w:color w:val="auto"/>
          <w:highlight w:val="none"/>
        </w:rPr>
      </w:pPr>
    </w:p>
    <w:p w14:paraId="3F2B83E3">
      <w:pPr>
        <w:pStyle w:val="4"/>
        <w:ind w:firstLine="0"/>
        <w:rPr>
          <w:color w:val="auto"/>
          <w:highlight w:val="none"/>
        </w:rPr>
      </w:pPr>
    </w:p>
    <w:p w14:paraId="712219A6">
      <w:pPr>
        <w:pStyle w:val="3"/>
        <w:keepLines w:val="0"/>
        <w:numPr>
          <w:ilvl w:val="0"/>
          <w:numId w:val="0"/>
        </w:numPr>
        <w:tabs>
          <w:tab w:val="left" w:pos="4320"/>
        </w:tabs>
        <w:spacing w:before="240" w:after="60" w:line="360" w:lineRule="exact"/>
        <w:rPr>
          <w:rFonts w:ascii="宋体"/>
          <w:b/>
          <w:bCs w:val="0"/>
          <w:color w:val="auto"/>
          <w:szCs w:val="21"/>
          <w:highlight w:val="none"/>
        </w:rPr>
      </w:pPr>
      <w:bookmarkStart w:id="1664" w:name="_Toc2730"/>
      <w:r>
        <w:rPr>
          <w:rFonts w:hint="eastAsia" w:ascii="宋体"/>
          <w:b/>
          <w:bCs w:val="0"/>
          <w:color w:val="auto"/>
          <w:szCs w:val="21"/>
          <w:highlight w:val="none"/>
        </w:rPr>
        <w:t>符合性自查表</w:t>
      </w:r>
      <w:bookmarkEnd w:id="1664"/>
    </w:p>
    <w:p w14:paraId="635B978F">
      <w:pPr>
        <w:jc w:val="center"/>
        <w:rPr>
          <w:rFonts w:ascii="宋体" w:hAnsi="宋体"/>
          <w:b/>
          <w:bCs/>
          <w:color w:val="auto"/>
          <w:szCs w:val="21"/>
          <w:highlight w:val="none"/>
        </w:rPr>
      </w:pPr>
    </w:p>
    <w:tbl>
      <w:tblPr>
        <w:tblStyle w:val="46"/>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50"/>
      </w:tblGrid>
      <w:tr w14:paraId="2D3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FAD6C69">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1958" w:type="dxa"/>
            <w:vAlign w:val="center"/>
          </w:tcPr>
          <w:p w14:paraId="3661BEDB">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招标文件要求</w:t>
            </w:r>
          </w:p>
        </w:tc>
        <w:tc>
          <w:tcPr>
            <w:tcW w:w="1975" w:type="dxa"/>
            <w:vAlign w:val="center"/>
          </w:tcPr>
          <w:p w14:paraId="214E0300">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393EB516">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1950" w:type="dxa"/>
            <w:vAlign w:val="center"/>
          </w:tcPr>
          <w:p w14:paraId="4D1046F1">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7E5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3119062A">
            <w:pPr>
              <w:tabs>
                <w:tab w:val="left" w:pos="480"/>
              </w:tabs>
              <w:ind w:left="480" w:hanging="480"/>
              <w:jc w:val="center"/>
              <w:rPr>
                <w:rFonts w:ascii="宋体" w:hAnsi="宋体"/>
                <w:b/>
                <w:bCs/>
                <w:color w:val="auto"/>
                <w:szCs w:val="21"/>
                <w:highlight w:val="none"/>
              </w:rPr>
            </w:pPr>
            <w:r>
              <w:rPr>
                <w:rFonts w:hint="eastAsia" w:ascii="宋体" w:hAnsi="宋体"/>
                <w:color w:val="auto"/>
                <w:szCs w:val="21"/>
                <w:highlight w:val="none"/>
              </w:rPr>
              <w:t>符合性审查</w:t>
            </w:r>
          </w:p>
        </w:tc>
        <w:tc>
          <w:tcPr>
            <w:tcW w:w="2300" w:type="dxa"/>
            <w:vAlign w:val="center"/>
          </w:tcPr>
          <w:p w14:paraId="5C8F1851">
            <w:pPr>
              <w:tabs>
                <w:tab w:val="left" w:pos="146"/>
              </w:tabs>
              <w:ind w:left="146"/>
              <w:rPr>
                <w:rFonts w:ascii="宋体" w:hAnsi="宋体"/>
                <w:b/>
                <w:bCs/>
                <w:color w:val="auto"/>
                <w:szCs w:val="21"/>
                <w:highlight w:val="none"/>
              </w:rPr>
            </w:pPr>
            <w:r>
              <w:rPr>
                <w:rFonts w:hint="eastAsia" w:ascii="宋体" w:hAnsi="宋体"/>
                <w:color w:val="auto"/>
                <w:szCs w:val="21"/>
                <w:highlight w:val="none"/>
              </w:rPr>
              <w:t>须满足</w:t>
            </w:r>
            <w:r>
              <w:rPr>
                <w:rFonts w:hint="eastAsia" w:ascii="宋体" w:hAnsi="宋体"/>
                <w:color w:val="auto"/>
                <w:szCs w:val="21"/>
                <w:highlight w:val="none"/>
                <w:lang w:val="en-US" w:eastAsia="zh-CN"/>
              </w:rPr>
              <w:t>带“★”号</w:t>
            </w:r>
            <w:r>
              <w:rPr>
                <w:rFonts w:hint="eastAsia" w:ascii="宋体" w:hAnsi="宋体"/>
                <w:color w:val="auto"/>
                <w:szCs w:val="21"/>
                <w:highlight w:val="none"/>
              </w:rPr>
              <w:t>要求</w:t>
            </w:r>
          </w:p>
        </w:tc>
        <w:tc>
          <w:tcPr>
            <w:tcW w:w="1958" w:type="dxa"/>
            <w:vAlign w:val="center"/>
          </w:tcPr>
          <w:p w14:paraId="64E57E10">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14:paraId="0CDA02CB">
            <w:pPr>
              <w:tabs>
                <w:tab w:val="left" w:pos="480"/>
              </w:tabs>
              <w:ind w:left="480" w:hanging="480"/>
              <w:rPr>
                <w:rFonts w:ascii="宋体" w:hAnsi="宋体"/>
                <w:b/>
                <w:bCs/>
                <w:color w:val="auto"/>
                <w:szCs w:val="21"/>
                <w:highlight w:val="none"/>
              </w:rPr>
            </w:pPr>
          </w:p>
        </w:tc>
        <w:tc>
          <w:tcPr>
            <w:tcW w:w="1950" w:type="dxa"/>
            <w:vAlign w:val="center"/>
          </w:tcPr>
          <w:p w14:paraId="03B70319">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6FFEAB1F">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48F3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14:paraId="099995FA">
            <w:pPr>
              <w:tabs>
                <w:tab w:val="left" w:pos="480"/>
              </w:tabs>
              <w:ind w:left="480" w:hanging="480"/>
              <w:jc w:val="center"/>
              <w:rPr>
                <w:rFonts w:hint="eastAsia" w:ascii="宋体" w:hAnsi="宋体"/>
                <w:color w:val="auto"/>
                <w:szCs w:val="21"/>
                <w:highlight w:val="none"/>
              </w:rPr>
            </w:pPr>
          </w:p>
        </w:tc>
        <w:tc>
          <w:tcPr>
            <w:tcW w:w="2300" w:type="dxa"/>
            <w:vAlign w:val="center"/>
          </w:tcPr>
          <w:p w14:paraId="7605B102">
            <w:pPr>
              <w:tabs>
                <w:tab w:val="left" w:pos="146"/>
              </w:tabs>
              <w:ind w:left="146" w:leftChars="0"/>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服务期须满足要求</w:t>
            </w:r>
          </w:p>
        </w:tc>
        <w:tc>
          <w:tcPr>
            <w:tcW w:w="1958" w:type="dxa"/>
            <w:vAlign w:val="center"/>
          </w:tcPr>
          <w:p w14:paraId="2A430E33">
            <w:pPr>
              <w:tabs>
                <w:tab w:val="left" w:pos="0"/>
              </w:tabs>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按招标文件要求</w:t>
            </w:r>
          </w:p>
        </w:tc>
        <w:tc>
          <w:tcPr>
            <w:tcW w:w="1975" w:type="dxa"/>
            <w:vAlign w:val="center"/>
          </w:tcPr>
          <w:p w14:paraId="27798590">
            <w:pPr>
              <w:tabs>
                <w:tab w:val="left" w:pos="480"/>
              </w:tabs>
              <w:ind w:left="480" w:leftChars="0" w:hanging="480" w:firstLineChars="0"/>
              <w:rPr>
                <w:rFonts w:ascii="宋体" w:hAnsi="宋体" w:eastAsia="宋体" w:cs="Times New Roman"/>
                <w:b/>
                <w:bCs/>
                <w:color w:val="auto"/>
                <w:kern w:val="2"/>
                <w:sz w:val="21"/>
                <w:szCs w:val="21"/>
                <w:highlight w:val="none"/>
                <w:lang w:val="en-US" w:eastAsia="zh-CN" w:bidi="ar-SA"/>
              </w:rPr>
            </w:pPr>
          </w:p>
        </w:tc>
        <w:tc>
          <w:tcPr>
            <w:tcW w:w="1950" w:type="dxa"/>
            <w:vAlign w:val="center"/>
          </w:tcPr>
          <w:p w14:paraId="03F50CBC">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2580117">
            <w:pPr>
              <w:tabs>
                <w:tab w:val="left" w:pos="0"/>
              </w:tabs>
              <w:jc w:val="center"/>
              <w:rPr>
                <w:rFonts w:hint="eastAsia" w:ascii="宋体" w:hAnsi="宋体" w:eastAsia="宋体" w:cs="Times New Roman"/>
                <w:b/>
                <w:bCs/>
                <w:color w:val="auto"/>
                <w:kern w:val="2"/>
                <w:sz w:val="21"/>
                <w:szCs w:val="21"/>
                <w:highlight w:val="none"/>
                <w:lang w:val="en-US" w:eastAsia="zh-CN" w:bidi="ar-SA"/>
              </w:rPr>
            </w:pPr>
            <w:r>
              <w:rPr>
                <w:rFonts w:hint="eastAsia" w:ascii="宋体" w:hAnsi="宋体"/>
                <w:color w:val="auto"/>
                <w:szCs w:val="21"/>
                <w:highlight w:val="none"/>
              </w:rPr>
              <w:t>第（  ）页</w:t>
            </w:r>
          </w:p>
        </w:tc>
      </w:tr>
      <w:tr w14:paraId="01AB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1D489955">
            <w:pPr>
              <w:tabs>
                <w:tab w:val="left" w:pos="480"/>
              </w:tabs>
              <w:ind w:left="480" w:hanging="480"/>
              <w:jc w:val="center"/>
              <w:rPr>
                <w:rFonts w:ascii="宋体" w:hAnsi="宋体"/>
                <w:b/>
                <w:bCs/>
                <w:color w:val="auto"/>
                <w:szCs w:val="21"/>
                <w:highlight w:val="none"/>
              </w:rPr>
            </w:pPr>
          </w:p>
        </w:tc>
        <w:tc>
          <w:tcPr>
            <w:tcW w:w="2300" w:type="dxa"/>
            <w:vAlign w:val="center"/>
          </w:tcPr>
          <w:p w14:paraId="285F51B0">
            <w:pPr>
              <w:tabs>
                <w:tab w:val="left" w:pos="146"/>
              </w:tabs>
              <w:ind w:left="146"/>
              <w:rPr>
                <w:rFonts w:ascii="宋体" w:hAnsi="宋体"/>
                <w:b/>
                <w:bCs/>
                <w:color w:val="auto"/>
                <w:szCs w:val="21"/>
                <w:highlight w:val="none"/>
              </w:rPr>
            </w:pPr>
            <w:r>
              <w:rPr>
                <w:rFonts w:hint="eastAsia" w:ascii="宋体" w:hAnsi="宋体"/>
                <w:color w:val="auto"/>
                <w:szCs w:val="21"/>
                <w:highlight w:val="none"/>
              </w:rPr>
              <w:t>投标报价未超出报价上限</w:t>
            </w:r>
          </w:p>
        </w:tc>
        <w:tc>
          <w:tcPr>
            <w:tcW w:w="1958" w:type="dxa"/>
            <w:vAlign w:val="center"/>
          </w:tcPr>
          <w:p w14:paraId="2262883C">
            <w:pPr>
              <w:tabs>
                <w:tab w:val="left" w:pos="0"/>
              </w:tabs>
              <w:rPr>
                <w:rFonts w:ascii="宋体" w:hAnsi="宋体"/>
                <w:b/>
                <w:bCs/>
                <w:color w:val="auto"/>
                <w:szCs w:val="21"/>
                <w:highlight w:val="none"/>
              </w:rPr>
            </w:pPr>
            <w:r>
              <w:rPr>
                <w:rFonts w:hint="eastAsia" w:ascii="宋体" w:hAnsi="宋体"/>
                <w:color w:val="auto"/>
                <w:szCs w:val="21"/>
                <w:highlight w:val="none"/>
              </w:rPr>
              <w:t>按招标文件要求</w:t>
            </w:r>
          </w:p>
        </w:tc>
        <w:tc>
          <w:tcPr>
            <w:tcW w:w="1975" w:type="dxa"/>
            <w:vAlign w:val="center"/>
          </w:tcPr>
          <w:p w14:paraId="18766323">
            <w:pPr>
              <w:tabs>
                <w:tab w:val="left" w:pos="480"/>
              </w:tabs>
              <w:ind w:left="480" w:hanging="480"/>
              <w:rPr>
                <w:rFonts w:ascii="宋体" w:hAnsi="宋体"/>
                <w:b/>
                <w:bCs/>
                <w:color w:val="auto"/>
                <w:szCs w:val="21"/>
                <w:highlight w:val="none"/>
              </w:rPr>
            </w:pPr>
          </w:p>
        </w:tc>
        <w:tc>
          <w:tcPr>
            <w:tcW w:w="1950" w:type="dxa"/>
            <w:vAlign w:val="center"/>
          </w:tcPr>
          <w:p w14:paraId="7E25A73C">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6448666C">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0906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B1C74ED">
            <w:pPr>
              <w:tabs>
                <w:tab w:val="left" w:pos="480"/>
              </w:tabs>
              <w:ind w:left="480" w:hanging="480"/>
              <w:jc w:val="center"/>
              <w:rPr>
                <w:rFonts w:ascii="宋体" w:hAnsi="宋体"/>
                <w:b/>
                <w:bCs/>
                <w:color w:val="auto"/>
                <w:szCs w:val="21"/>
                <w:highlight w:val="none"/>
              </w:rPr>
            </w:pPr>
          </w:p>
        </w:tc>
        <w:tc>
          <w:tcPr>
            <w:tcW w:w="2300" w:type="dxa"/>
            <w:vAlign w:val="center"/>
          </w:tcPr>
          <w:p w14:paraId="0AA765F9">
            <w:pPr>
              <w:tabs>
                <w:tab w:val="left" w:pos="146"/>
              </w:tabs>
              <w:ind w:left="146"/>
              <w:rPr>
                <w:rFonts w:ascii="宋体" w:hAnsi="宋体"/>
                <w:color w:val="auto"/>
                <w:szCs w:val="21"/>
                <w:highlight w:val="none"/>
              </w:rPr>
            </w:pPr>
            <w:r>
              <w:rPr>
                <w:rFonts w:hint="eastAsia" w:ascii="宋体" w:hAnsi="宋体"/>
                <w:color w:val="auto"/>
                <w:szCs w:val="21"/>
                <w:highlight w:val="none"/>
              </w:rPr>
              <w:t>法定代表人/负责人资格证明书及授权委托书</w:t>
            </w:r>
          </w:p>
        </w:tc>
        <w:tc>
          <w:tcPr>
            <w:tcW w:w="1958" w:type="dxa"/>
            <w:vAlign w:val="center"/>
          </w:tcPr>
          <w:p w14:paraId="29038B4F">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975" w:type="dxa"/>
            <w:vAlign w:val="center"/>
          </w:tcPr>
          <w:p w14:paraId="38876692">
            <w:pPr>
              <w:pStyle w:val="8"/>
              <w:rPr>
                <w:rFonts w:ascii="宋体" w:hAnsi="宋体"/>
                <w:bCs/>
                <w:color w:val="auto"/>
                <w:szCs w:val="21"/>
                <w:highlight w:val="none"/>
              </w:rPr>
            </w:pPr>
          </w:p>
        </w:tc>
        <w:tc>
          <w:tcPr>
            <w:tcW w:w="1950" w:type="dxa"/>
            <w:vAlign w:val="center"/>
          </w:tcPr>
          <w:p w14:paraId="0440B33F">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3089B0B9">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35C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54E33803">
            <w:pPr>
              <w:tabs>
                <w:tab w:val="left" w:pos="480"/>
              </w:tabs>
              <w:ind w:left="480" w:hanging="480"/>
              <w:jc w:val="center"/>
              <w:rPr>
                <w:rFonts w:ascii="宋体" w:hAnsi="宋体"/>
                <w:b/>
                <w:bCs/>
                <w:color w:val="auto"/>
                <w:szCs w:val="21"/>
                <w:highlight w:val="none"/>
              </w:rPr>
            </w:pPr>
          </w:p>
        </w:tc>
        <w:tc>
          <w:tcPr>
            <w:tcW w:w="2300" w:type="dxa"/>
            <w:vAlign w:val="center"/>
          </w:tcPr>
          <w:p w14:paraId="67C75645">
            <w:pPr>
              <w:tabs>
                <w:tab w:val="left" w:pos="146"/>
              </w:tabs>
              <w:ind w:left="146"/>
              <w:rPr>
                <w:rFonts w:ascii="宋体" w:hAnsi="宋体"/>
                <w:color w:val="auto"/>
                <w:szCs w:val="21"/>
                <w:highlight w:val="none"/>
              </w:rPr>
            </w:pPr>
            <w:r>
              <w:rPr>
                <w:rFonts w:hint="eastAsia" w:ascii="宋体" w:hAnsi="宋体"/>
                <w:color w:val="auto"/>
                <w:szCs w:val="21"/>
                <w:highlight w:val="none"/>
              </w:rPr>
              <w:t>其他要求</w:t>
            </w:r>
          </w:p>
        </w:tc>
        <w:tc>
          <w:tcPr>
            <w:tcW w:w="1958" w:type="dxa"/>
            <w:vAlign w:val="center"/>
          </w:tcPr>
          <w:p w14:paraId="24B888AF">
            <w:pPr>
              <w:tabs>
                <w:tab w:val="left" w:pos="0"/>
              </w:tabs>
              <w:rPr>
                <w:rFonts w:ascii="宋体" w:hAnsi="宋体"/>
                <w:color w:val="auto"/>
                <w:szCs w:val="21"/>
                <w:highlight w:val="none"/>
              </w:rPr>
            </w:pPr>
            <w:r>
              <w:rPr>
                <w:rFonts w:hint="eastAsia" w:ascii="宋体" w:hAnsi="宋体"/>
                <w:color w:val="auto"/>
                <w:szCs w:val="21"/>
                <w:highlight w:val="none"/>
              </w:rPr>
              <w:t>按投标资料清单中规定提供“必须提交”的文件资料</w:t>
            </w:r>
          </w:p>
        </w:tc>
        <w:tc>
          <w:tcPr>
            <w:tcW w:w="1975" w:type="dxa"/>
            <w:vAlign w:val="center"/>
          </w:tcPr>
          <w:p w14:paraId="2DA812A0">
            <w:pPr>
              <w:tabs>
                <w:tab w:val="left" w:pos="480"/>
              </w:tabs>
              <w:ind w:left="480" w:hanging="480"/>
              <w:rPr>
                <w:color w:val="auto"/>
                <w:highlight w:val="none"/>
              </w:rPr>
            </w:pPr>
          </w:p>
        </w:tc>
        <w:tc>
          <w:tcPr>
            <w:tcW w:w="1950" w:type="dxa"/>
            <w:vAlign w:val="center"/>
          </w:tcPr>
          <w:p w14:paraId="42961204">
            <w:pPr>
              <w:tabs>
                <w:tab w:val="left" w:pos="0"/>
              </w:tabs>
              <w:jc w:val="center"/>
              <w:rPr>
                <w:rFonts w:ascii="宋体" w:hAnsi="宋体"/>
                <w:color w:val="auto"/>
                <w:szCs w:val="21"/>
                <w:highlight w:val="none"/>
              </w:rPr>
            </w:pPr>
            <w:r>
              <w:rPr>
                <w:rFonts w:hint="eastAsia" w:ascii="宋体" w:hAnsi="宋体"/>
                <w:color w:val="auto"/>
                <w:szCs w:val="21"/>
                <w:highlight w:val="none"/>
              </w:rPr>
              <w:t>见投标文件</w:t>
            </w:r>
          </w:p>
          <w:p w14:paraId="0A428041">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14:paraId="03BCD5C9">
      <w:pPr>
        <w:tabs>
          <w:tab w:val="center" w:pos="4483"/>
        </w:tabs>
        <w:ind w:left="315" w:leftChars="50" w:hanging="210" w:hangingChars="100"/>
        <w:rPr>
          <w:rFonts w:ascii="宋体" w:hAnsi="宋体"/>
          <w:color w:val="auto"/>
          <w:szCs w:val="21"/>
          <w:highlight w:val="none"/>
        </w:rPr>
      </w:pPr>
    </w:p>
    <w:p w14:paraId="27D6A69A">
      <w:pPr>
        <w:tabs>
          <w:tab w:val="center" w:pos="4483"/>
        </w:tabs>
        <w:rPr>
          <w:rFonts w:ascii="宋体" w:hAnsi="宋体"/>
          <w:color w:val="auto"/>
          <w:szCs w:val="21"/>
          <w:highlight w:val="none"/>
        </w:rPr>
      </w:pPr>
      <w:r>
        <w:rPr>
          <w:rFonts w:hint="eastAsia" w:ascii="宋体" w:hAnsi="宋体"/>
          <w:color w:val="auto"/>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44C9D2CF">
      <w:pPr>
        <w:tabs>
          <w:tab w:val="center" w:pos="4483"/>
        </w:tabs>
        <w:rPr>
          <w:rFonts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投标人的投标文件为法定代表人（负责人）签署并由法定代表人（负责人）亲自递交投标文件和参加开标会的，可不提供“法定代表人（负责人）授权书”及“代理人身份证”。</w:t>
      </w:r>
    </w:p>
    <w:p w14:paraId="51A14CF4">
      <w:pPr>
        <w:tabs>
          <w:tab w:val="center" w:pos="4483"/>
        </w:tabs>
        <w:ind w:left="525" w:leftChars="50" w:hanging="420" w:hangingChars="200"/>
        <w:rPr>
          <w:rFonts w:ascii="宋体" w:hAnsi="宋体"/>
          <w:bCs/>
          <w:color w:val="auto"/>
          <w:szCs w:val="21"/>
          <w:highlight w:val="none"/>
        </w:rPr>
      </w:pPr>
      <w:r>
        <w:rPr>
          <w:rFonts w:ascii="宋体" w:hAnsi="宋体"/>
          <w:bCs/>
          <w:color w:val="auto"/>
          <w:szCs w:val="21"/>
          <w:highlight w:val="none"/>
        </w:rPr>
        <w:t xml:space="preserve">   </w:t>
      </w:r>
      <w:r>
        <w:rPr>
          <w:rFonts w:hint="eastAsia" w:ascii="宋体" w:hAnsi="宋体"/>
          <w:bCs/>
          <w:color w:val="auto"/>
          <w:szCs w:val="21"/>
          <w:highlight w:val="none"/>
        </w:rPr>
        <w:t xml:space="preserve"> </w:t>
      </w:r>
    </w:p>
    <w:p w14:paraId="2FCE7C84">
      <w:pPr>
        <w:adjustRightInd w:val="0"/>
        <w:snapToGrid w:val="0"/>
        <w:spacing w:line="300" w:lineRule="auto"/>
        <w:rPr>
          <w:color w:val="auto"/>
          <w:szCs w:val="21"/>
          <w:highlight w:val="none"/>
        </w:rPr>
      </w:pPr>
    </w:p>
    <w:p w14:paraId="5413D412">
      <w:pPr>
        <w:adjustRightInd w:val="0"/>
        <w:snapToGrid w:val="0"/>
        <w:spacing w:line="300" w:lineRule="auto"/>
        <w:rPr>
          <w:color w:val="auto"/>
          <w:szCs w:val="21"/>
          <w:highlight w:val="none"/>
        </w:rPr>
      </w:pPr>
    </w:p>
    <w:p w14:paraId="0FB35BC8">
      <w:pPr>
        <w:adjustRightInd w:val="0"/>
        <w:snapToGrid w:val="0"/>
        <w:spacing w:line="30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5529C2BC">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4C76F47C">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3B0E7272">
      <w:pPr>
        <w:pStyle w:val="3"/>
        <w:keepLines w:val="0"/>
        <w:numPr>
          <w:ilvl w:val="0"/>
          <w:numId w:val="0"/>
        </w:numPr>
        <w:tabs>
          <w:tab w:val="left" w:pos="4320"/>
        </w:tabs>
        <w:spacing w:before="240" w:after="60" w:line="480" w:lineRule="exact"/>
        <w:rPr>
          <w:rFonts w:hint="eastAsia" w:ascii="宋体"/>
          <w:b/>
          <w:color w:val="auto"/>
          <w:szCs w:val="21"/>
          <w:highlight w:val="none"/>
        </w:rPr>
      </w:pPr>
      <w:r>
        <w:rPr>
          <w:rFonts w:ascii="宋体"/>
          <w:b/>
          <w:bCs w:val="0"/>
          <w:color w:val="auto"/>
          <w:szCs w:val="21"/>
          <w:highlight w:val="none"/>
        </w:rPr>
        <w:t xml:space="preserve">  </w:t>
      </w:r>
      <w:bookmarkStart w:id="1665" w:name="_Toc26704"/>
      <w:r>
        <w:rPr>
          <w:rFonts w:hint="eastAsia" w:ascii="宋体"/>
          <w:b/>
          <w:color w:val="auto"/>
          <w:szCs w:val="21"/>
          <w:highlight w:val="none"/>
        </w:rPr>
        <w:t xml:space="preserve"> </w:t>
      </w:r>
    </w:p>
    <w:p w14:paraId="6F2BBACE">
      <w:pPr>
        <w:rPr>
          <w:rFonts w:hint="eastAsia" w:ascii="宋体"/>
          <w:b/>
          <w:color w:val="auto"/>
          <w:szCs w:val="21"/>
          <w:highlight w:val="none"/>
        </w:rPr>
      </w:pPr>
      <w:r>
        <w:rPr>
          <w:rFonts w:hint="eastAsia" w:ascii="宋体"/>
          <w:b/>
          <w:color w:val="auto"/>
          <w:szCs w:val="21"/>
          <w:highlight w:val="none"/>
        </w:rPr>
        <w:br w:type="page"/>
      </w:r>
    </w:p>
    <w:p w14:paraId="69EDDACE">
      <w:pPr>
        <w:pStyle w:val="3"/>
        <w:keepLines w:val="0"/>
        <w:numPr>
          <w:ilvl w:val="0"/>
          <w:numId w:val="0"/>
        </w:numPr>
        <w:tabs>
          <w:tab w:val="left" w:pos="4320"/>
        </w:tabs>
        <w:spacing w:before="240" w:after="60" w:line="480" w:lineRule="exact"/>
        <w:rPr>
          <w:rFonts w:ascii="宋体"/>
          <w:b/>
          <w:color w:val="auto"/>
          <w:szCs w:val="21"/>
          <w:highlight w:val="none"/>
        </w:rPr>
      </w:pPr>
      <w:bookmarkStart w:id="1666" w:name="_Toc12547"/>
      <w:r>
        <w:rPr>
          <w:rFonts w:hint="eastAsia" w:ascii="宋体"/>
          <w:b/>
          <w:color w:val="auto"/>
          <w:szCs w:val="21"/>
          <w:highlight w:val="none"/>
        </w:rPr>
        <w:t>评审项目投标资料表</w:t>
      </w:r>
      <w:bookmarkEnd w:id="1665"/>
      <w:bookmarkEnd w:id="1666"/>
    </w:p>
    <w:p w14:paraId="44612020">
      <w:pPr>
        <w:jc w:val="center"/>
        <w:rPr>
          <w:rFonts w:ascii="宋体" w:hAnsi="宋体" w:eastAsia="黑体"/>
          <w:b/>
          <w:color w:val="auto"/>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1F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13C062C4">
            <w:pPr>
              <w:pStyle w:val="306"/>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评审分项</w:t>
            </w:r>
          </w:p>
        </w:tc>
        <w:tc>
          <w:tcPr>
            <w:tcW w:w="5202" w:type="dxa"/>
            <w:vAlign w:val="center"/>
          </w:tcPr>
          <w:p w14:paraId="05DE69D6">
            <w:pPr>
              <w:pStyle w:val="306"/>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评审细则</w:t>
            </w:r>
          </w:p>
        </w:tc>
        <w:tc>
          <w:tcPr>
            <w:tcW w:w="2300" w:type="dxa"/>
            <w:vAlign w:val="center"/>
          </w:tcPr>
          <w:p w14:paraId="051F3E8B">
            <w:pPr>
              <w:pStyle w:val="306"/>
              <w:keepNext w:val="0"/>
              <w:adjustRightInd/>
              <w:spacing w:before="0" w:after="0" w:line="240" w:lineRule="auto"/>
              <w:textAlignment w:val="auto"/>
              <w:rPr>
                <w:rFonts w:ascii="宋体" w:hAnsi="宋体"/>
                <w:snapToGrid/>
                <w:color w:val="auto"/>
                <w:spacing w:val="0"/>
                <w:kern w:val="2"/>
                <w:sz w:val="21"/>
                <w:szCs w:val="21"/>
                <w:highlight w:val="none"/>
              </w:rPr>
            </w:pPr>
            <w:r>
              <w:rPr>
                <w:rFonts w:hint="eastAsia" w:ascii="宋体" w:hAnsi="宋体"/>
                <w:snapToGrid/>
                <w:color w:val="auto"/>
                <w:spacing w:val="0"/>
                <w:kern w:val="2"/>
                <w:sz w:val="21"/>
                <w:szCs w:val="21"/>
                <w:highlight w:val="none"/>
              </w:rPr>
              <w:t>证明文件</w:t>
            </w:r>
          </w:p>
        </w:tc>
      </w:tr>
      <w:tr w14:paraId="196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5A99072A">
            <w:pPr>
              <w:pStyle w:val="240"/>
              <w:jc w:val="both"/>
              <w:rPr>
                <w:rFonts w:ascii="宋体" w:hAnsi="宋体" w:eastAsia="宋体" w:cs="Times New Roman"/>
                <w:color w:val="auto"/>
                <w:sz w:val="21"/>
                <w:szCs w:val="21"/>
                <w:highlight w:val="none"/>
              </w:rPr>
            </w:pPr>
          </w:p>
        </w:tc>
        <w:tc>
          <w:tcPr>
            <w:tcW w:w="5202" w:type="dxa"/>
            <w:vAlign w:val="center"/>
          </w:tcPr>
          <w:p w14:paraId="0748A7AB">
            <w:pPr>
              <w:pStyle w:val="32"/>
              <w:ind w:left="420" w:firstLine="420"/>
              <w:rPr>
                <w:rFonts w:ascii="宋体" w:hAnsi="宋体"/>
                <w:color w:val="auto"/>
                <w:szCs w:val="21"/>
                <w:highlight w:val="none"/>
              </w:rPr>
            </w:pPr>
          </w:p>
        </w:tc>
        <w:tc>
          <w:tcPr>
            <w:tcW w:w="2300" w:type="dxa"/>
            <w:vAlign w:val="center"/>
          </w:tcPr>
          <w:p w14:paraId="3361D012">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68D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FACF4CE">
            <w:pPr>
              <w:rPr>
                <w:rFonts w:ascii="宋体" w:hAnsi="宋体"/>
                <w:color w:val="auto"/>
                <w:szCs w:val="21"/>
                <w:highlight w:val="none"/>
              </w:rPr>
            </w:pPr>
          </w:p>
        </w:tc>
        <w:tc>
          <w:tcPr>
            <w:tcW w:w="5202" w:type="dxa"/>
            <w:vAlign w:val="center"/>
          </w:tcPr>
          <w:p w14:paraId="4F0A78B7">
            <w:pPr>
              <w:pStyle w:val="32"/>
              <w:ind w:left="420" w:firstLine="420"/>
              <w:rPr>
                <w:rFonts w:ascii="宋体" w:hAnsi="宋体"/>
                <w:color w:val="auto"/>
                <w:szCs w:val="21"/>
                <w:highlight w:val="none"/>
              </w:rPr>
            </w:pPr>
          </w:p>
        </w:tc>
        <w:tc>
          <w:tcPr>
            <w:tcW w:w="2300" w:type="dxa"/>
            <w:vAlign w:val="center"/>
          </w:tcPr>
          <w:p w14:paraId="590BDD28">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4C7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188BA91">
            <w:pPr>
              <w:rPr>
                <w:rFonts w:ascii="宋体" w:hAnsi="宋体"/>
                <w:color w:val="auto"/>
                <w:szCs w:val="21"/>
                <w:highlight w:val="none"/>
              </w:rPr>
            </w:pPr>
          </w:p>
        </w:tc>
        <w:tc>
          <w:tcPr>
            <w:tcW w:w="5202" w:type="dxa"/>
            <w:vAlign w:val="center"/>
          </w:tcPr>
          <w:p w14:paraId="7B9B88F7">
            <w:pPr>
              <w:pStyle w:val="32"/>
              <w:ind w:left="420" w:firstLine="420"/>
              <w:rPr>
                <w:rFonts w:ascii="宋体" w:hAnsi="宋体"/>
                <w:color w:val="auto"/>
                <w:szCs w:val="21"/>
                <w:highlight w:val="none"/>
              </w:rPr>
            </w:pPr>
          </w:p>
        </w:tc>
        <w:tc>
          <w:tcPr>
            <w:tcW w:w="2300" w:type="dxa"/>
            <w:vAlign w:val="center"/>
          </w:tcPr>
          <w:p w14:paraId="75C0C656">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5CE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0C4FD9">
            <w:pPr>
              <w:rPr>
                <w:rFonts w:ascii="宋体" w:hAnsi="宋体"/>
                <w:color w:val="auto"/>
                <w:szCs w:val="21"/>
                <w:highlight w:val="none"/>
              </w:rPr>
            </w:pPr>
          </w:p>
        </w:tc>
        <w:tc>
          <w:tcPr>
            <w:tcW w:w="5202" w:type="dxa"/>
            <w:vAlign w:val="center"/>
          </w:tcPr>
          <w:p w14:paraId="51C6DE18">
            <w:pPr>
              <w:pStyle w:val="32"/>
              <w:ind w:left="420" w:firstLine="420"/>
              <w:rPr>
                <w:rFonts w:ascii="宋体" w:hAnsi="宋体"/>
                <w:color w:val="auto"/>
                <w:szCs w:val="21"/>
                <w:highlight w:val="none"/>
              </w:rPr>
            </w:pPr>
          </w:p>
        </w:tc>
        <w:tc>
          <w:tcPr>
            <w:tcW w:w="2300" w:type="dxa"/>
            <w:vAlign w:val="center"/>
          </w:tcPr>
          <w:p w14:paraId="1F5FF4EB">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479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22D48A90">
            <w:pPr>
              <w:rPr>
                <w:rFonts w:ascii="宋体" w:hAnsi="宋体"/>
                <w:color w:val="auto"/>
                <w:szCs w:val="21"/>
                <w:highlight w:val="none"/>
              </w:rPr>
            </w:pPr>
          </w:p>
        </w:tc>
        <w:tc>
          <w:tcPr>
            <w:tcW w:w="5202" w:type="dxa"/>
            <w:vAlign w:val="center"/>
          </w:tcPr>
          <w:p w14:paraId="76C46963">
            <w:pPr>
              <w:pStyle w:val="32"/>
              <w:ind w:left="420" w:firstLine="420"/>
              <w:rPr>
                <w:rFonts w:ascii="宋体" w:hAnsi="宋体"/>
                <w:color w:val="auto"/>
                <w:szCs w:val="21"/>
                <w:highlight w:val="none"/>
              </w:rPr>
            </w:pPr>
          </w:p>
        </w:tc>
        <w:tc>
          <w:tcPr>
            <w:tcW w:w="2300" w:type="dxa"/>
            <w:vAlign w:val="center"/>
          </w:tcPr>
          <w:p w14:paraId="39413561">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62B1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417DD80C">
            <w:pPr>
              <w:rPr>
                <w:rFonts w:ascii="宋体" w:hAnsi="宋体"/>
                <w:color w:val="auto"/>
                <w:szCs w:val="21"/>
                <w:highlight w:val="none"/>
              </w:rPr>
            </w:pPr>
          </w:p>
        </w:tc>
        <w:tc>
          <w:tcPr>
            <w:tcW w:w="5202" w:type="dxa"/>
            <w:vAlign w:val="center"/>
          </w:tcPr>
          <w:p w14:paraId="476A4312">
            <w:pPr>
              <w:pStyle w:val="32"/>
              <w:ind w:left="420" w:firstLine="420"/>
              <w:rPr>
                <w:rFonts w:ascii="宋体" w:hAnsi="宋体"/>
                <w:color w:val="auto"/>
                <w:szCs w:val="21"/>
                <w:highlight w:val="none"/>
              </w:rPr>
            </w:pPr>
          </w:p>
        </w:tc>
        <w:tc>
          <w:tcPr>
            <w:tcW w:w="2300" w:type="dxa"/>
            <w:vAlign w:val="center"/>
          </w:tcPr>
          <w:p w14:paraId="78D7A351">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0E72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477E222">
            <w:pPr>
              <w:rPr>
                <w:rFonts w:ascii="宋体" w:hAnsi="宋体"/>
                <w:color w:val="auto"/>
                <w:szCs w:val="21"/>
                <w:highlight w:val="none"/>
              </w:rPr>
            </w:pPr>
          </w:p>
        </w:tc>
        <w:tc>
          <w:tcPr>
            <w:tcW w:w="5202" w:type="dxa"/>
            <w:vAlign w:val="center"/>
          </w:tcPr>
          <w:p w14:paraId="34E1D970">
            <w:pPr>
              <w:pStyle w:val="32"/>
              <w:ind w:left="420" w:firstLine="420"/>
              <w:rPr>
                <w:rFonts w:ascii="宋体" w:hAnsi="宋体"/>
                <w:color w:val="auto"/>
                <w:szCs w:val="21"/>
                <w:highlight w:val="none"/>
              </w:rPr>
            </w:pPr>
          </w:p>
        </w:tc>
        <w:tc>
          <w:tcPr>
            <w:tcW w:w="2300" w:type="dxa"/>
            <w:vAlign w:val="center"/>
          </w:tcPr>
          <w:p w14:paraId="5F0CD6B6">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29D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53B2B7DA">
            <w:pPr>
              <w:jc w:val="center"/>
              <w:rPr>
                <w:rFonts w:ascii="宋体" w:hAnsi="宋体"/>
                <w:color w:val="auto"/>
                <w:szCs w:val="21"/>
                <w:highlight w:val="none"/>
              </w:rPr>
            </w:pPr>
          </w:p>
        </w:tc>
        <w:tc>
          <w:tcPr>
            <w:tcW w:w="5202" w:type="dxa"/>
            <w:vAlign w:val="center"/>
          </w:tcPr>
          <w:p w14:paraId="158F5617">
            <w:pPr>
              <w:pStyle w:val="32"/>
              <w:ind w:left="420" w:firstLine="420"/>
              <w:rPr>
                <w:rFonts w:ascii="宋体" w:hAnsi="宋体"/>
                <w:color w:val="auto"/>
                <w:szCs w:val="21"/>
                <w:highlight w:val="none"/>
              </w:rPr>
            </w:pPr>
          </w:p>
        </w:tc>
        <w:tc>
          <w:tcPr>
            <w:tcW w:w="2300" w:type="dxa"/>
            <w:vAlign w:val="center"/>
          </w:tcPr>
          <w:p w14:paraId="3ED44BA2">
            <w:pPr>
              <w:pStyle w:val="32"/>
              <w:rPr>
                <w:rFonts w:ascii="宋体" w:hAnsi="宋体"/>
                <w:color w:val="auto"/>
                <w:szCs w:val="21"/>
                <w:highlight w:val="none"/>
              </w:rPr>
            </w:pPr>
            <w:r>
              <w:rPr>
                <w:rFonts w:hint="eastAsia" w:ascii="宋体" w:hAnsi="宋体"/>
                <w:color w:val="auto"/>
                <w:szCs w:val="21"/>
                <w:highlight w:val="none"/>
              </w:rPr>
              <w:t>见投标文件第（）页</w:t>
            </w:r>
          </w:p>
        </w:tc>
      </w:tr>
      <w:tr w14:paraId="7633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538F7919">
            <w:pPr>
              <w:rPr>
                <w:rFonts w:ascii="宋体" w:hAnsi="宋体"/>
                <w:color w:val="auto"/>
                <w:szCs w:val="21"/>
                <w:highlight w:val="none"/>
              </w:rPr>
            </w:pPr>
          </w:p>
        </w:tc>
        <w:tc>
          <w:tcPr>
            <w:tcW w:w="5202" w:type="dxa"/>
            <w:vAlign w:val="center"/>
          </w:tcPr>
          <w:p w14:paraId="4EBB7C23">
            <w:pPr>
              <w:rPr>
                <w:rFonts w:ascii="宋体" w:hAnsi="宋体"/>
                <w:color w:val="auto"/>
                <w:szCs w:val="21"/>
                <w:highlight w:val="none"/>
              </w:rPr>
            </w:pPr>
          </w:p>
        </w:tc>
        <w:tc>
          <w:tcPr>
            <w:tcW w:w="2300" w:type="dxa"/>
            <w:vAlign w:val="center"/>
          </w:tcPr>
          <w:p w14:paraId="1C5F0D52">
            <w:pPr>
              <w:rPr>
                <w:rFonts w:ascii="宋体" w:hAnsi="宋体"/>
                <w:color w:val="auto"/>
                <w:szCs w:val="21"/>
                <w:highlight w:val="none"/>
              </w:rPr>
            </w:pPr>
            <w:r>
              <w:rPr>
                <w:rFonts w:hint="eastAsia" w:ascii="宋体" w:hAnsi="宋体"/>
                <w:color w:val="auto"/>
                <w:szCs w:val="21"/>
                <w:highlight w:val="none"/>
              </w:rPr>
              <w:t>见投标文件第（）页</w:t>
            </w:r>
          </w:p>
        </w:tc>
      </w:tr>
      <w:tr w14:paraId="1878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6456E014">
            <w:pPr>
              <w:pStyle w:val="32"/>
              <w:ind w:left="420" w:firstLine="420"/>
              <w:jc w:val="center"/>
              <w:rPr>
                <w:rFonts w:ascii="宋体" w:hAnsi="宋体"/>
                <w:color w:val="auto"/>
                <w:szCs w:val="21"/>
                <w:highlight w:val="none"/>
              </w:rPr>
            </w:pPr>
          </w:p>
        </w:tc>
        <w:tc>
          <w:tcPr>
            <w:tcW w:w="5202" w:type="dxa"/>
            <w:vAlign w:val="center"/>
          </w:tcPr>
          <w:p w14:paraId="03405FC5">
            <w:pPr>
              <w:rPr>
                <w:rFonts w:ascii="宋体" w:hAnsi="宋体"/>
                <w:color w:val="auto"/>
                <w:szCs w:val="21"/>
                <w:highlight w:val="none"/>
              </w:rPr>
            </w:pPr>
          </w:p>
        </w:tc>
        <w:tc>
          <w:tcPr>
            <w:tcW w:w="2300" w:type="dxa"/>
            <w:vAlign w:val="center"/>
          </w:tcPr>
          <w:p w14:paraId="1EEA4635">
            <w:pPr>
              <w:rPr>
                <w:rFonts w:ascii="宋体" w:hAnsi="宋体"/>
                <w:color w:val="auto"/>
                <w:szCs w:val="21"/>
                <w:highlight w:val="none"/>
              </w:rPr>
            </w:pPr>
            <w:r>
              <w:rPr>
                <w:rFonts w:hint="eastAsia" w:ascii="宋体" w:hAnsi="宋体"/>
                <w:color w:val="auto"/>
                <w:szCs w:val="21"/>
                <w:highlight w:val="none"/>
              </w:rPr>
              <w:t>见投标文件第（）页</w:t>
            </w:r>
          </w:p>
        </w:tc>
      </w:tr>
      <w:tr w14:paraId="739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E8C7A9B">
            <w:pPr>
              <w:jc w:val="center"/>
              <w:rPr>
                <w:rFonts w:ascii="宋体" w:hAnsi="宋体"/>
                <w:color w:val="auto"/>
                <w:szCs w:val="21"/>
                <w:highlight w:val="none"/>
              </w:rPr>
            </w:pPr>
          </w:p>
        </w:tc>
        <w:tc>
          <w:tcPr>
            <w:tcW w:w="5202" w:type="dxa"/>
            <w:vAlign w:val="center"/>
          </w:tcPr>
          <w:p w14:paraId="7043C6A3">
            <w:pPr>
              <w:rPr>
                <w:rFonts w:ascii="宋体" w:hAnsi="宋体"/>
                <w:color w:val="auto"/>
                <w:szCs w:val="21"/>
                <w:highlight w:val="none"/>
              </w:rPr>
            </w:pPr>
          </w:p>
        </w:tc>
        <w:tc>
          <w:tcPr>
            <w:tcW w:w="2300" w:type="dxa"/>
            <w:vAlign w:val="center"/>
          </w:tcPr>
          <w:p w14:paraId="477FA227">
            <w:pPr>
              <w:rPr>
                <w:rFonts w:ascii="宋体" w:hAnsi="宋体"/>
                <w:color w:val="auto"/>
                <w:szCs w:val="21"/>
                <w:highlight w:val="none"/>
              </w:rPr>
            </w:pPr>
            <w:r>
              <w:rPr>
                <w:rFonts w:hint="eastAsia" w:ascii="宋体" w:hAnsi="宋体"/>
                <w:color w:val="auto"/>
                <w:szCs w:val="21"/>
                <w:highlight w:val="none"/>
              </w:rPr>
              <w:t>见投标文件第（）页</w:t>
            </w:r>
          </w:p>
        </w:tc>
      </w:tr>
      <w:tr w14:paraId="63F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AAAC8A9">
            <w:pPr>
              <w:jc w:val="center"/>
              <w:rPr>
                <w:rFonts w:ascii="宋体" w:hAnsi="宋体"/>
                <w:color w:val="auto"/>
                <w:szCs w:val="21"/>
                <w:highlight w:val="none"/>
              </w:rPr>
            </w:pPr>
          </w:p>
        </w:tc>
        <w:tc>
          <w:tcPr>
            <w:tcW w:w="5202" w:type="dxa"/>
            <w:vAlign w:val="center"/>
          </w:tcPr>
          <w:p w14:paraId="7A505E47">
            <w:pPr>
              <w:rPr>
                <w:rFonts w:ascii="宋体" w:hAnsi="宋体"/>
                <w:color w:val="auto"/>
                <w:szCs w:val="21"/>
                <w:highlight w:val="none"/>
              </w:rPr>
            </w:pPr>
          </w:p>
        </w:tc>
        <w:tc>
          <w:tcPr>
            <w:tcW w:w="2300" w:type="dxa"/>
            <w:vAlign w:val="center"/>
          </w:tcPr>
          <w:p w14:paraId="69DB2A25">
            <w:pPr>
              <w:rPr>
                <w:rFonts w:ascii="宋体" w:hAnsi="宋体"/>
                <w:color w:val="auto"/>
                <w:szCs w:val="21"/>
                <w:highlight w:val="none"/>
              </w:rPr>
            </w:pPr>
            <w:r>
              <w:rPr>
                <w:rFonts w:hint="eastAsia" w:ascii="宋体" w:hAnsi="宋体"/>
                <w:color w:val="auto"/>
                <w:szCs w:val="21"/>
                <w:highlight w:val="none"/>
              </w:rPr>
              <w:t>见投标文件第（）页</w:t>
            </w:r>
          </w:p>
        </w:tc>
      </w:tr>
      <w:tr w14:paraId="032F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F750A47">
            <w:pPr>
              <w:jc w:val="center"/>
              <w:rPr>
                <w:rFonts w:ascii="宋体" w:hAnsi="宋体"/>
                <w:color w:val="auto"/>
                <w:szCs w:val="21"/>
                <w:highlight w:val="none"/>
              </w:rPr>
            </w:pPr>
          </w:p>
        </w:tc>
        <w:tc>
          <w:tcPr>
            <w:tcW w:w="5202" w:type="dxa"/>
            <w:vAlign w:val="center"/>
          </w:tcPr>
          <w:p w14:paraId="01CC1585">
            <w:pPr>
              <w:rPr>
                <w:rFonts w:ascii="宋体" w:hAnsi="宋体"/>
                <w:color w:val="auto"/>
                <w:szCs w:val="21"/>
                <w:highlight w:val="none"/>
              </w:rPr>
            </w:pPr>
          </w:p>
        </w:tc>
        <w:tc>
          <w:tcPr>
            <w:tcW w:w="2300" w:type="dxa"/>
            <w:vAlign w:val="center"/>
          </w:tcPr>
          <w:p w14:paraId="7860D81E">
            <w:pPr>
              <w:rPr>
                <w:rFonts w:ascii="宋体" w:hAnsi="宋体"/>
                <w:color w:val="auto"/>
                <w:szCs w:val="21"/>
                <w:highlight w:val="none"/>
              </w:rPr>
            </w:pPr>
            <w:r>
              <w:rPr>
                <w:rFonts w:hint="eastAsia" w:ascii="宋体" w:hAnsi="宋体"/>
                <w:color w:val="auto"/>
                <w:szCs w:val="21"/>
                <w:highlight w:val="none"/>
              </w:rPr>
              <w:t>见投标文件第（）页</w:t>
            </w:r>
          </w:p>
        </w:tc>
      </w:tr>
      <w:tr w14:paraId="67A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00F40054">
            <w:pPr>
              <w:jc w:val="center"/>
              <w:rPr>
                <w:rFonts w:ascii="宋体" w:hAnsi="宋体"/>
                <w:color w:val="auto"/>
                <w:szCs w:val="21"/>
                <w:highlight w:val="none"/>
              </w:rPr>
            </w:pPr>
          </w:p>
        </w:tc>
        <w:tc>
          <w:tcPr>
            <w:tcW w:w="5202" w:type="dxa"/>
            <w:vAlign w:val="center"/>
          </w:tcPr>
          <w:p w14:paraId="7CCCDBE3">
            <w:pPr>
              <w:pStyle w:val="32"/>
              <w:ind w:left="420" w:firstLine="420"/>
              <w:rPr>
                <w:rFonts w:ascii="宋体" w:hAnsi="宋体"/>
                <w:color w:val="auto"/>
                <w:szCs w:val="21"/>
                <w:highlight w:val="none"/>
              </w:rPr>
            </w:pPr>
          </w:p>
        </w:tc>
        <w:tc>
          <w:tcPr>
            <w:tcW w:w="2300" w:type="dxa"/>
            <w:vAlign w:val="center"/>
          </w:tcPr>
          <w:p w14:paraId="4F39236E">
            <w:pPr>
              <w:pStyle w:val="32"/>
              <w:rPr>
                <w:rFonts w:ascii="宋体" w:hAnsi="宋体"/>
                <w:color w:val="auto"/>
                <w:szCs w:val="21"/>
                <w:highlight w:val="none"/>
              </w:rPr>
            </w:pPr>
            <w:r>
              <w:rPr>
                <w:rFonts w:hint="eastAsia" w:ascii="宋体" w:hAnsi="宋体"/>
                <w:color w:val="auto"/>
                <w:szCs w:val="21"/>
                <w:highlight w:val="none"/>
              </w:rPr>
              <w:t>见投标文件第（）页</w:t>
            </w:r>
          </w:p>
        </w:tc>
      </w:tr>
    </w:tbl>
    <w:p w14:paraId="6B2AF062">
      <w:pPr>
        <w:adjustRightInd w:val="0"/>
        <w:snapToGrid w:val="0"/>
        <w:spacing w:line="300" w:lineRule="auto"/>
        <w:rPr>
          <w:rFonts w:ascii="宋体" w:hAnsi="宋体"/>
          <w:color w:val="auto"/>
          <w:szCs w:val="21"/>
          <w:highlight w:val="none"/>
        </w:rPr>
      </w:pPr>
    </w:p>
    <w:p w14:paraId="03BE0E07">
      <w:pPr>
        <w:adjustRightInd w:val="0"/>
        <w:snapToGrid w:val="0"/>
        <w:spacing w:line="300" w:lineRule="auto"/>
        <w:rPr>
          <w:rFonts w:ascii="宋体" w:hAnsi="宋体"/>
          <w:color w:val="auto"/>
          <w:szCs w:val="21"/>
          <w:highlight w:val="none"/>
        </w:rPr>
      </w:pPr>
    </w:p>
    <w:p w14:paraId="4E4DC0C7">
      <w:pPr>
        <w:spacing w:line="360" w:lineRule="auto"/>
        <w:rPr>
          <w:rFonts w:ascii="宋体" w:hAnsi="宋体"/>
          <w:color w:val="auto"/>
          <w:szCs w:val="21"/>
          <w:highlight w:val="none"/>
          <w:u w:val="single"/>
        </w:rPr>
      </w:pPr>
      <w:r>
        <w:rPr>
          <w:rFonts w:hint="eastAsia"/>
          <w:color w:val="auto"/>
          <w:szCs w:val="21"/>
          <w:highlight w:val="none"/>
        </w:rPr>
        <w:t>投标人法定代表人（负责人）或授权代理人（签字）：</w:t>
      </w:r>
      <w:r>
        <w:rPr>
          <w:rFonts w:hint="eastAsia"/>
          <w:color w:val="auto"/>
          <w:szCs w:val="21"/>
          <w:highlight w:val="none"/>
          <w:u w:val="single"/>
        </w:rPr>
        <w:t xml:space="preserve">          </w:t>
      </w:r>
    </w:p>
    <w:p w14:paraId="7CCAFDBE">
      <w:pPr>
        <w:adjustRightInd w:val="0"/>
        <w:snapToGrid w:val="0"/>
        <w:spacing w:line="300" w:lineRule="auto"/>
        <w:rPr>
          <w:rFonts w:ascii="宋体" w:hAnsi="宋体"/>
          <w:color w:val="auto"/>
          <w:szCs w:val="21"/>
          <w:highlight w:val="none"/>
          <w:u w:val="single"/>
        </w:rPr>
      </w:pPr>
      <w:r>
        <w:rPr>
          <w:rFonts w:hint="eastAsia" w:ascii="宋体" w:hAnsi="宋体"/>
          <w:color w:val="auto"/>
          <w:szCs w:val="21"/>
          <w:highlight w:val="none"/>
        </w:rPr>
        <w:t>投标人名称（签章）：</w:t>
      </w:r>
      <w:r>
        <w:rPr>
          <w:rFonts w:hint="eastAsia" w:ascii="宋体" w:hAnsi="宋体"/>
          <w:color w:val="auto"/>
          <w:szCs w:val="21"/>
          <w:highlight w:val="none"/>
          <w:u w:val="single"/>
        </w:rPr>
        <w:t xml:space="preserve">                        </w:t>
      </w:r>
    </w:p>
    <w:p w14:paraId="3A1C2A2F">
      <w:p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日期：   年   月   日</w:t>
      </w:r>
    </w:p>
    <w:p w14:paraId="56B690F7">
      <w:pPr>
        <w:pStyle w:val="4"/>
        <w:rPr>
          <w:color w:val="auto"/>
          <w:highlight w:val="none"/>
        </w:rPr>
      </w:pPr>
    </w:p>
    <w:p w14:paraId="46C83E5A">
      <w:pPr>
        <w:pStyle w:val="4"/>
        <w:rPr>
          <w:color w:val="auto"/>
          <w:highlight w:val="none"/>
        </w:rPr>
      </w:pPr>
    </w:p>
    <w:bookmarkEnd w:id="1332"/>
    <w:bookmarkEnd w:id="1333"/>
    <w:bookmarkEnd w:id="1334"/>
    <w:bookmarkEnd w:id="1335"/>
    <w:bookmarkEnd w:id="1336"/>
    <w:p w14:paraId="2D2D86A7">
      <w:pPr>
        <w:tabs>
          <w:tab w:val="center" w:pos="4483"/>
        </w:tabs>
        <w:rPr>
          <w:rFonts w:ascii="宋体" w:hAnsi="宋体"/>
          <w:bCs/>
          <w:color w:val="auto"/>
          <w:szCs w:val="21"/>
          <w:highlight w:val="none"/>
        </w:rPr>
      </w:pPr>
      <w:bookmarkStart w:id="1667" w:name="_Toc500861026"/>
      <w:bookmarkStart w:id="1668" w:name="_Toc454701405"/>
      <w:bookmarkStart w:id="1669" w:name="_Toc6727971"/>
      <w:bookmarkStart w:id="1670" w:name="_Toc468606057"/>
      <w:bookmarkStart w:id="1671" w:name="_Toc6397150"/>
      <w:bookmarkStart w:id="1672" w:name="_Toc467236768"/>
      <w:bookmarkStart w:id="1673" w:name="_Toc479991610"/>
      <w:bookmarkStart w:id="1674" w:name="_Toc480021081"/>
      <w:bookmarkStart w:id="1675" w:name="_Toc458262638"/>
      <w:bookmarkStart w:id="1676" w:name="_Toc467987851"/>
      <w:bookmarkStart w:id="1677" w:name="_Toc491658679"/>
      <w:bookmarkStart w:id="1678" w:name="_Toc480010736"/>
      <w:bookmarkStart w:id="1679" w:name="_Toc468157564"/>
      <w:bookmarkStart w:id="1680" w:name="_Toc480020285"/>
    </w:p>
    <w:p w14:paraId="4EDF8F1F">
      <w:pPr>
        <w:pStyle w:val="3"/>
        <w:numPr>
          <w:ilvl w:val="0"/>
          <w:numId w:val="0"/>
        </w:numPr>
        <w:rPr>
          <w:color w:val="auto"/>
          <w:highlight w:val="none"/>
        </w:rPr>
      </w:pPr>
      <w:bookmarkStart w:id="1681" w:name="_Toc13455"/>
      <w:bookmarkStart w:id="1682" w:name="_Toc7686"/>
      <w:r>
        <w:rPr>
          <w:rFonts w:hint="eastAsia"/>
          <w:color w:val="auto"/>
          <w:highlight w:val="none"/>
        </w:rPr>
        <w:t>（一）法定代表人（负责人）证明书</w:t>
      </w:r>
      <w:bookmarkEnd w:id="1681"/>
      <w:bookmarkEnd w:id="1682"/>
    </w:p>
    <w:p w14:paraId="59CCE183">
      <w:pPr>
        <w:pStyle w:val="4"/>
        <w:rPr>
          <w:color w:val="auto"/>
          <w:highlight w:val="none"/>
        </w:rPr>
      </w:pPr>
    </w:p>
    <w:p w14:paraId="087F6FC0">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单位法定代表人（负责人）姓名     </w:t>
      </w:r>
      <w:r>
        <w:rPr>
          <w:rFonts w:hint="eastAsia" w:ascii="宋体" w:hAnsi="宋体"/>
          <w:color w:val="auto"/>
          <w:highlight w:val="none"/>
        </w:rPr>
        <w:t>同志，现任</w:t>
      </w:r>
      <w:r>
        <w:rPr>
          <w:rFonts w:hint="eastAsia" w:ascii="宋体" w:hAnsi="宋体"/>
          <w:color w:val="auto"/>
          <w:highlight w:val="none"/>
          <w:u w:val="single"/>
        </w:rPr>
        <w:t xml:space="preserve">       投标人名称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，为法定代表人（负责人），特此证明。</w:t>
      </w:r>
    </w:p>
    <w:p w14:paraId="6433B14C">
      <w:pPr>
        <w:spacing w:line="560" w:lineRule="exact"/>
        <w:ind w:firstLine="420" w:firstLineChars="200"/>
        <w:rPr>
          <w:rFonts w:ascii="宋体" w:hAnsi="宋体"/>
          <w:color w:val="auto"/>
          <w:highlight w:val="none"/>
        </w:rPr>
      </w:pPr>
      <w:r>
        <w:rPr>
          <w:rFonts w:hint="eastAsia" w:ascii="宋体" w:hAnsi="宋体"/>
          <w:color w:val="auto"/>
          <w:highlight w:val="none"/>
        </w:rPr>
        <w:t xml:space="preserve">      </w:t>
      </w:r>
    </w:p>
    <w:p w14:paraId="7EAD85EF">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14:paraId="3E52BCC9">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01E6EBDF">
      <w:pPr>
        <w:spacing w:line="560" w:lineRule="exact"/>
        <w:ind w:firstLine="420" w:firstLineChars="200"/>
        <w:rPr>
          <w:rFonts w:ascii="宋体" w:hAnsi="宋体"/>
          <w:color w:val="auto"/>
          <w:highlight w:val="none"/>
        </w:rPr>
      </w:pPr>
    </w:p>
    <w:p w14:paraId="5552FA89">
      <w:pPr>
        <w:spacing w:line="560" w:lineRule="exact"/>
        <w:ind w:firstLine="420" w:firstLineChars="200"/>
        <w:rPr>
          <w:rFonts w:ascii="宋体" w:hAnsi="宋体"/>
          <w:color w:val="auto"/>
          <w:highlight w:val="none"/>
        </w:rPr>
      </w:pPr>
      <w:r>
        <w:rPr>
          <w:rFonts w:hint="eastAsia" w:ascii="宋体" w:hAnsi="宋体"/>
          <w:color w:val="auto"/>
          <w:highlight w:val="none"/>
        </w:rPr>
        <w:t>附：代表人性别：</w:t>
      </w:r>
      <w:r>
        <w:rPr>
          <w:rFonts w:hint="eastAsia" w:ascii="宋体" w:hAnsi="宋体"/>
          <w:color w:val="auto"/>
          <w:highlight w:val="none"/>
          <w:u w:val="single"/>
        </w:rPr>
        <w:t xml:space="preserve">           </w:t>
      </w:r>
      <w:r>
        <w:rPr>
          <w:rFonts w:hint="eastAsia" w:ascii="宋体" w:hAnsi="宋体"/>
          <w:color w:val="auto"/>
          <w:highlight w:val="none"/>
        </w:rPr>
        <w:t xml:space="preserve">    年龄：</w:t>
      </w:r>
      <w:r>
        <w:rPr>
          <w:rFonts w:hint="eastAsia" w:ascii="宋体" w:hAnsi="宋体"/>
          <w:color w:val="auto"/>
          <w:highlight w:val="none"/>
          <w:u w:val="single"/>
        </w:rPr>
        <w:t xml:space="preserve">       </w:t>
      </w:r>
      <w:r>
        <w:rPr>
          <w:rFonts w:hint="eastAsia" w:ascii="宋体" w:hAnsi="宋体"/>
          <w:color w:val="auto"/>
          <w:highlight w:val="none"/>
        </w:rPr>
        <w:t xml:space="preserve">岁    </w:t>
      </w:r>
    </w:p>
    <w:p w14:paraId="7FC24C9B">
      <w:pPr>
        <w:spacing w:line="480" w:lineRule="exact"/>
        <w:ind w:firstLine="420" w:firstLineChars="200"/>
        <w:rPr>
          <w:rFonts w:ascii="宋体" w:hAnsi="宋体"/>
          <w:color w:val="auto"/>
          <w:highlight w:val="none"/>
        </w:rPr>
      </w:pPr>
    </w:p>
    <w:p w14:paraId="278D0412">
      <w:pPr>
        <w:spacing w:line="480" w:lineRule="exact"/>
        <w:ind w:firstLine="420" w:firstLineChars="200"/>
        <w:rPr>
          <w:rFonts w:ascii="宋体" w:hAnsi="宋体"/>
          <w:color w:val="auto"/>
          <w:highlight w:val="none"/>
        </w:rPr>
      </w:pPr>
      <w:r>
        <w:rPr>
          <w:rFonts w:hint="eastAsia" w:ascii="宋体" w:hAnsi="宋体"/>
          <w:color w:val="auto"/>
          <w:highlight w:val="none"/>
        </w:rPr>
        <w:t>说明： 内容必须填写真实、清楚，涂改无效，不得转让、买卖。</w:t>
      </w:r>
    </w:p>
    <w:p w14:paraId="10D7BD1F">
      <w:pPr>
        <w:spacing w:line="480" w:lineRule="exact"/>
        <w:ind w:firstLine="420" w:firstLineChars="200"/>
        <w:rPr>
          <w:rFonts w:ascii="宋体" w:hAnsi="宋体"/>
          <w:color w:val="auto"/>
          <w:highlight w:val="none"/>
        </w:rPr>
      </w:pPr>
    </w:p>
    <w:p w14:paraId="5CB33FD3">
      <w:pPr>
        <w:pStyle w:val="4"/>
        <w:rPr>
          <w:rFonts w:hAnsi="宋体"/>
          <w:color w:val="auto"/>
          <w:sz w:val="21"/>
          <w:highlight w:val="none"/>
        </w:rPr>
      </w:pPr>
    </w:p>
    <w:p w14:paraId="5FB981EB">
      <w:pPr>
        <w:pStyle w:val="4"/>
        <w:rPr>
          <w:color w:val="auto"/>
          <w:highlight w:val="none"/>
        </w:rPr>
        <w:sectPr>
          <w:footerReference r:id="rId10" w:type="first"/>
          <w:footerReference r:id="rId9" w:type="default"/>
          <w:pgSz w:w="11906" w:h="16838"/>
          <w:pgMar w:top="1474" w:right="1418" w:bottom="1474" w:left="1418" w:header="851" w:footer="851" w:gutter="0"/>
          <w:cols w:space="720" w:num="1"/>
          <w:titlePg/>
          <w:docGrid w:linePitch="312" w:charSpace="0"/>
        </w:sectPr>
      </w:pPr>
      <w:r>
        <w:rPr>
          <w:color w:val="auto"/>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021CD25"/>
                <w:p w14:paraId="07D2A68E"/>
                <w:p w14:paraId="2D40D5CF">
                  <w:pPr>
                    <w:jc w:val="center"/>
                  </w:pPr>
                  <w:r>
                    <w:rPr>
                      <w:rFonts w:hint="eastAsia"/>
                    </w:rPr>
                    <w:t>身份证正反面复印件</w:t>
                  </w:r>
                </w:p>
              </w:txbxContent>
            </v:textbox>
          </v:shape>
        </w:pict>
      </w:r>
    </w:p>
    <w:p w14:paraId="67ED7524">
      <w:pPr>
        <w:pStyle w:val="3"/>
        <w:numPr>
          <w:ilvl w:val="0"/>
          <w:numId w:val="0"/>
        </w:numPr>
        <w:rPr>
          <w:color w:val="auto"/>
          <w:highlight w:val="none"/>
        </w:rPr>
      </w:pPr>
      <w:bookmarkStart w:id="1683" w:name="_Toc27194"/>
      <w:bookmarkStart w:id="1684" w:name="_Toc19656"/>
      <w:r>
        <w:rPr>
          <w:rFonts w:hint="eastAsia"/>
          <w:color w:val="auto"/>
          <w:highlight w:val="none"/>
        </w:rPr>
        <w:t>（二）法定代表人（负责人）授权书</w:t>
      </w:r>
      <w:bookmarkEnd w:id="1683"/>
      <w:bookmarkEnd w:id="1684"/>
    </w:p>
    <w:p w14:paraId="36467B7F">
      <w:pPr>
        <w:spacing w:line="360" w:lineRule="auto"/>
        <w:ind w:firstLine="420" w:firstLineChars="200"/>
        <w:rPr>
          <w:rFonts w:ascii="宋体" w:hAnsi="宋体"/>
          <w:bCs/>
          <w:color w:val="auto"/>
          <w:kern w:val="0"/>
          <w:highlight w:val="none"/>
        </w:rPr>
      </w:pPr>
    </w:p>
    <w:p w14:paraId="163B8FF2">
      <w:pPr>
        <w:spacing w:line="360" w:lineRule="auto"/>
        <w:ind w:firstLine="420" w:firstLineChars="200"/>
        <w:rPr>
          <w:color w:val="auto"/>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（单位法定代表人（负责人）姓名）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的法定代表人（负责人），现授权委托</w:t>
      </w:r>
      <w:r>
        <w:rPr>
          <w:rFonts w:hint="eastAsia" w:ascii="宋体" w:hAnsi="宋体"/>
          <w:bCs/>
          <w:color w:val="auto"/>
          <w:kern w:val="0"/>
          <w:highlight w:val="none"/>
          <w:u w:val="single"/>
        </w:rPr>
        <w:t xml:space="preserve">                        （投标人名称）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color w:val="auto"/>
          <w:szCs w:val="21"/>
          <w:highlight w:val="none"/>
        </w:rPr>
        <w:t>（项目名称：</w:t>
      </w:r>
      <w:r>
        <w:rPr>
          <w:rFonts w:hint="eastAsia"/>
          <w:color w:val="auto"/>
          <w:szCs w:val="21"/>
          <w:highlight w:val="none"/>
          <w:u w:val="single"/>
        </w:rPr>
        <w:t xml:space="preserve">                      </w:t>
      </w:r>
      <w:r>
        <w:rPr>
          <w:rFonts w:hint="eastAsia"/>
          <w:color w:val="auto"/>
          <w:szCs w:val="21"/>
          <w:highlight w:val="none"/>
        </w:rPr>
        <w:t>）</w:t>
      </w:r>
      <w:r>
        <w:rPr>
          <w:rFonts w:hint="eastAsia" w:ascii="宋体" w:hAnsi="宋体"/>
          <w:bCs/>
          <w:color w:val="auto"/>
          <w:highlight w:val="none"/>
        </w:rPr>
        <w:t>招标（</w:t>
      </w:r>
      <w:r>
        <w:rPr>
          <w:rFonts w:hint="eastAsia"/>
          <w:color w:val="auto"/>
          <w:szCs w:val="21"/>
          <w:highlight w:val="none"/>
        </w:rPr>
        <w:t>项目编号：</w:t>
      </w:r>
      <w:r>
        <w:rPr>
          <w:rFonts w:hint="eastAsia" w:ascii="宋体" w:hAnsi="宋体"/>
          <w:bCs/>
          <w:color w:val="auto"/>
          <w:highlight w:val="none"/>
          <w:u w:val="single"/>
        </w:rPr>
        <w:t xml:space="preserve">            </w:t>
      </w: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14:paraId="2E6144E7">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14:paraId="52DF1569">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14:paraId="51071F39">
      <w:pPr>
        <w:autoSpaceDE w:val="0"/>
        <w:autoSpaceDN w:val="0"/>
        <w:adjustRightInd w:val="0"/>
        <w:snapToGrid w:val="0"/>
        <w:spacing w:line="440" w:lineRule="exact"/>
        <w:ind w:firstLine="600"/>
        <w:jc w:val="left"/>
        <w:rPr>
          <w:rFonts w:ascii="宋体" w:hAnsi="宋体"/>
          <w:bCs/>
          <w:color w:val="auto"/>
          <w:kern w:val="0"/>
          <w:highlight w:val="none"/>
        </w:rPr>
      </w:pPr>
    </w:p>
    <w:p w14:paraId="5BCF22B2">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w:t>
      </w:r>
      <w:r>
        <w:rPr>
          <w:rFonts w:hint="eastAsia" w:ascii="宋体" w:hAnsi="宋体"/>
          <w:bCs/>
          <w:color w:val="auto"/>
          <w:kern w:val="0"/>
          <w:highlight w:val="none"/>
          <w:u w:val="single"/>
        </w:rPr>
        <w:t xml:space="preserve">   </w:t>
      </w:r>
      <w:r>
        <w:rPr>
          <w:rFonts w:ascii="宋体" w:hAnsi="宋体"/>
          <w:bCs/>
          <w:color w:val="auto"/>
          <w:kern w:val="0"/>
          <w:highlight w:val="none"/>
          <w:u w:val="single"/>
        </w:rPr>
        <w:t xml:space="preserve"> </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性别：</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年龄：</w:t>
      </w:r>
      <w:r>
        <w:rPr>
          <w:rFonts w:hint="eastAsia" w:ascii="宋体" w:hAnsi="宋体"/>
          <w:bCs/>
          <w:color w:val="auto"/>
          <w:kern w:val="0"/>
          <w:highlight w:val="none"/>
          <w:u w:val="single"/>
        </w:rPr>
        <w:t xml:space="preserve">           </w:t>
      </w:r>
      <w:r>
        <w:rPr>
          <w:rFonts w:hint="eastAsia" w:ascii="宋体" w:hAnsi="宋体"/>
          <w:bCs/>
          <w:color w:val="auto"/>
          <w:kern w:val="0"/>
          <w:highlight w:val="none"/>
        </w:rPr>
        <w:t xml:space="preserve">   职务：</w:t>
      </w:r>
      <w:r>
        <w:rPr>
          <w:rFonts w:hint="eastAsia" w:ascii="宋体" w:hAnsi="宋体"/>
          <w:bCs/>
          <w:color w:val="auto"/>
          <w:kern w:val="0"/>
          <w:highlight w:val="none"/>
          <w:u w:val="single"/>
        </w:rPr>
        <w:t xml:space="preserve">           </w:t>
      </w:r>
    </w:p>
    <w:p w14:paraId="06B314C8">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投标人：</w:t>
      </w:r>
      <w:r>
        <w:rPr>
          <w:rFonts w:hint="eastAsia" w:ascii="宋体" w:hAnsi="宋体"/>
          <w:bCs/>
          <w:color w:val="auto"/>
          <w:kern w:val="0"/>
          <w:highlight w:val="none"/>
          <w:u w:val="single"/>
        </w:rPr>
        <w:t xml:space="preserve">          （名称并加盖公章）                                         </w:t>
      </w:r>
    </w:p>
    <w:p w14:paraId="470A135E">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法定代表人（负责人）：</w:t>
      </w:r>
      <w:r>
        <w:rPr>
          <w:rFonts w:hint="eastAsia" w:ascii="宋体" w:hAnsi="宋体"/>
          <w:bCs/>
          <w:color w:val="auto"/>
          <w:kern w:val="0"/>
          <w:highlight w:val="none"/>
          <w:u w:val="single"/>
        </w:rPr>
        <w:t xml:space="preserve">    （签字或盖章）         </w:t>
      </w:r>
    </w:p>
    <w:p w14:paraId="50B7289C">
      <w:pPr>
        <w:spacing w:line="560" w:lineRule="exact"/>
        <w:ind w:firstLine="420" w:firstLineChars="200"/>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 xml:space="preserve">  有效日期至：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14:paraId="20A8DB27">
      <w:pPr>
        <w:autoSpaceDE w:val="0"/>
        <w:autoSpaceDN w:val="0"/>
        <w:adjustRightInd w:val="0"/>
        <w:snapToGrid w:val="0"/>
        <w:spacing w:line="360" w:lineRule="auto"/>
        <w:ind w:firstLine="630"/>
        <w:rPr>
          <w:rFonts w:ascii="宋体" w:hAnsi="宋体"/>
          <w:bCs/>
          <w:color w:val="auto"/>
          <w:kern w:val="0"/>
          <w:highlight w:val="none"/>
        </w:rPr>
      </w:pPr>
    </w:p>
    <w:p w14:paraId="2209943A">
      <w:pPr>
        <w:rPr>
          <w:rFonts w:ascii="宋体" w:hAnsi="宋体"/>
          <w:b/>
          <w:color w:val="auto"/>
          <w:szCs w:val="21"/>
          <w:highlight w:val="none"/>
        </w:rPr>
      </w:pPr>
      <w:r>
        <w:rPr>
          <w:rFonts w:hint="eastAsia" w:ascii="宋体" w:hAnsi="宋体"/>
          <w:b/>
          <w:color w:val="auto"/>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C70FC03">
      <w:pPr>
        <w:rPr>
          <w:color w:val="auto"/>
          <w:highlight w:val="none"/>
        </w:rPr>
      </w:pPr>
    </w:p>
    <w:p w14:paraId="65901072">
      <w:pPr>
        <w:rPr>
          <w:color w:val="auto"/>
          <w:highlight w:val="none"/>
        </w:rPr>
      </w:pPr>
    </w:p>
    <w:p w14:paraId="68B13E27">
      <w:pPr>
        <w:rPr>
          <w:color w:val="auto"/>
          <w:highlight w:val="none"/>
        </w:rPr>
      </w:pPr>
      <w:r>
        <w:rPr>
          <w:color w:val="auto"/>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05D64343"/>
                <w:p w14:paraId="5DFFFC98"/>
                <w:p w14:paraId="45E85E03"/>
                <w:p w14:paraId="71EDEDBE">
                  <w:pPr>
                    <w:jc w:val="center"/>
                  </w:pPr>
                  <w:r>
                    <w:rPr>
                      <w:rFonts w:hint="eastAsia"/>
                    </w:rPr>
                    <w:t>身份证正反面复印件</w:t>
                  </w:r>
                </w:p>
              </w:txbxContent>
            </v:textbox>
          </v:shape>
        </w:pict>
      </w:r>
    </w:p>
    <w:p w14:paraId="0057B8AE">
      <w:pPr>
        <w:rPr>
          <w:color w:val="auto"/>
          <w:highlight w:val="none"/>
        </w:rPr>
      </w:pPr>
    </w:p>
    <w:p w14:paraId="768C1198">
      <w:pPr>
        <w:rPr>
          <w:color w:val="auto"/>
          <w:highlight w:val="none"/>
        </w:rPr>
      </w:pPr>
    </w:p>
    <w:p w14:paraId="61A315F2">
      <w:pPr>
        <w:rPr>
          <w:color w:val="auto"/>
          <w:highlight w:val="none"/>
        </w:rPr>
      </w:pPr>
    </w:p>
    <w:p w14:paraId="3F3A06E7">
      <w:pPr>
        <w:rPr>
          <w:color w:val="auto"/>
          <w:highlight w:val="none"/>
        </w:rPr>
      </w:pPr>
    </w:p>
    <w:p w14:paraId="16492B53">
      <w:pPr>
        <w:rPr>
          <w:color w:val="auto"/>
          <w:highlight w:val="none"/>
        </w:rPr>
      </w:pPr>
    </w:p>
    <w:p w14:paraId="6D0E4F25">
      <w:pPr>
        <w:rPr>
          <w:color w:val="auto"/>
          <w:highlight w:val="none"/>
        </w:rPr>
      </w:pPr>
    </w:p>
    <w:p w14:paraId="05DA0D1D">
      <w:pPr>
        <w:rPr>
          <w:color w:val="auto"/>
          <w:highlight w:val="none"/>
        </w:rPr>
      </w:pPr>
    </w:p>
    <w:p w14:paraId="2DA5A9A2">
      <w:pPr>
        <w:rPr>
          <w:color w:val="auto"/>
          <w:highlight w:val="none"/>
        </w:rPr>
      </w:pPr>
    </w:p>
    <w:p w14:paraId="358327A9">
      <w:pPr>
        <w:tabs>
          <w:tab w:val="center" w:pos="4483"/>
        </w:tabs>
        <w:rPr>
          <w:rFonts w:ascii="宋体" w:hAnsi="宋体"/>
          <w:bCs/>
          <w:color w:val="auto"/>
          <w:szCs w:val="21"/>
          <w:highlight w:val="none"/>
        </w:rPr>
      </w:pPr>
    </w:p>
    <w:p w14:paraId="3C6E57F4">
      <w:pPr>
        <w:tabs>
          <w:tab w:val="center" w:pos="4483"/>
        </w:tabs>
        <w:rPr>
          <w:rFonts w:ascii="宋体" w:hAnsi="宋体"/>
          <w:bCs/>
          <w:color w:val="auto"/>
          <w:szCs w:val="21"/>
          <w:highlight w:val="none"/>
        </w:rPr>
      </w:pPr>
    </w:p>
    <w:p w14:paraId="53DD5E87">
      <w:pPr>
        <w:tabs>
          <w:tab w:val="center" w:pos="4483"/>
        </w:tabs>
        <w:rPr>
          <w:rFonts w:ascii="宋体" w:hAnsi="宋体"/>
          <w:bCs/>
          <w:color w:val="auto"/>
          <w:szCs w:val="21"/>
          <w:highlight w:val="none"/>
        </w:rPr>
      </w:pPr>
    </w:p>
    <w:p w14:paraId="6273AA55">
      <w:pPr>
        <w:tabs>
          <w:tab w:val="center" w:pos="4483"/>
        </w:tabs>
        <w:rPr>
          <w:rFonts w:ascii="宋体" w:hAnsi="宋体"/>
          <w:bCs/>
          <w:color w:val="auto"/>
          <w:szCs w:val="21"/>
          <w:highlight w:val="none"/>
        </w:rPr>
        <w:sectPr>
          <w:footerReference r:id="rId11" w:type="default"/>
          <w:pgSz w:w="11906" w:h="16838"/>
          <w:pgMar w:top="1418" w:right="1474" w:bottom="1418" w:left="1474" w:header="851" w:footer="851" w:gutter="0"/>
          <w:cols w:space="720" w:num="1"/>
          <w:titlePg/>
          <w:docGrid w:linePitch="312" w:charSpace="0"/>
        </w:sectPr>
      </w:pPr>
    </w:p>
    <w:p w14:paraId="5D7F6087">
      <w:pPr>
        <w:pStyle w:val="3"/>
        <w:numPr>
          <w:ilvl w:val="0"/>
          <w:numId w:val="0"/>
        </w:numPr>
        <w:rPr>
          <w:color w:val="auto"/>
          <w:highlight w:val="none"/>
        </w:rPr>
      </w:pPr>
      <w:bookmarkStart w:id="1685" w:name="_Toc343612941"/>
      <w:bookmarkStart w:id="1686" w:name="_Toc342296782"/>
      <w:bookmarkStart w:id="1687" w:name="_Toc340677091"/>
      <w:bookmarkStart w:id="1688" w:name="_Toc350438770"/>
      <w:bookmarkStart w:id="1689" w:name="_Toc333935708"/>
      <w:bookmarkStart w:id="1690" w:name="_Toc365967093"/>
      <w:bookmarkStart w:id="1691" w:name="_Toc365985199"/>
      <w:bookmarkStart w:id="1692" w:name="_Toc336681601"/>
      <w:bookmarkStart w:id="1693" w:name="_Toc343248439"/>
      <w:bookmarkStart w:id="1694" w:name="_Toc339019910"/>
      <w:bookmarkStart w:id="1695" w:name="_Toc339020254"/>
      <w:bookmarkStart w:id="1696" w:name="_Toc339362321"/>
      <w:bookmarkStart w:id="1697" w:name="_Toc332206730"/>
      <w:bookmarkStart w:id="1698" w:name="_Toc339441108"/>
      <w:bookmarkStart w:id="1699" w:name="_Toc342398151"/>
      <w:bookmarkStart w:id="1700" w:name="_Toc350756471"/>
      <w:bookmarkStart w:id="1701" w:name="_Toc339020116"/>
      <w:bookmarkStart w:id="1702" w:name="_Toc339020036"/>
      <w:bookmarkStart w:id="1703" w:name="_Toc333237810"/>
      <w:bookmarkStart w:id="1704" w:name="_Toc342060396"/>
      <w:bookmarkStart w:id="1705" w:name="_Toc336681956"/>
      <w:bookmarkStart w:id="1706" w:name="_Toc342312464"/>
      <w:bookmarkStart w:id="1707" w:name="_Toc333238655"/>
      <w:bookmarkStart w:id="1708" w:name="_Toc333237699"/>
      <w:bookmarkStart w:id="1709" w:name="_Toc341348361"/>
      <w:bookmarkStart w:id="1710" w:name="_Toc331684063"/>
      <w:bookmarkStart w:id="1711" w:name="_Toc337632379"/>
      <w:bookmarkStart w:id="1712" w:name="_Toc340507463"/>
      <w:bookmarkStart w:id="1713" w:name="_Toc343247121"/>
      <w:bookmarkStart w:id="1714" w:name="_Toc333935367"/>
      <w:bookmarkStart w:id="1715" w:name="_Toc330460007"/>
      <w:bookmarkStart w:id="1716" w:name="_Toc345312618"/>
      <w:bookmarkStart w:id="1717" w:name="_Toc332270368"/>
      <w:bookmarkStart w:id="1718" w:name="_Toc331512922"/>
      <w:bookmarkStart w:id="1719" w:name="_Toc340672890"/>
      <w:bookmarkStart w:id="1720" w:name="_Toc366072550"/>
      <w:bookmarkStart w:id="1721" w:name="_Toc23891"/>
      <w:r>
        <w:rPr>
          <w:rFonts w:hint="eastAsia"/>
          <w:color w:val="auto"/>
          <w:highlight w:val="none"/>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auto"/>
          <w:highlight w:val="none"/>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14:paraId="665102F5">
      <w:pPr>
        <w:widowControl/>
        <w:spacing w:line="400" w:lineRule="exact"/>
        <w:jc w:val="left"/>
        <w:rPr>
          <w:rFonts w:ascii="宋体" w:hAnsi="宋体" w:cs="宋体"/>
          <w:b/>
          <w:color w:val="auto"/>
          <w:kern w:val="0"/>
          <w:sz w:val="24"/>
          <w:highlight w:val="none"/>
          <w:u w:val="single"/>
        </w:rPr>
      </w:pPr>
      <w:r>
        <w:rPr>
          <w:rFonts w:ascii="宋体" w:hAnsi="宋体"/>
          <w:b/>
          <w:bCs/>
          <w:color w:val="auto"/>
          <w:highlight w:val="none"/>
        </w:rPr>
        <w:t>致</w:t>
      </w:r>
      <w:r>
        <w:rPr>
          <w:rFonts w:ascii="宋体" w:hAnsi="宋体"/>
          <w:b/>
          <w:bCs/>
          <w:color w:val="auto"/>
          <w:highlight w:val="none"/>
          <w:u w:val="single"/>
        </w:rPr>
        <w:t>（采购人</w:t>
      </w:r>
      <w:r>
        <w:rPr>
          <w:rFonts w:hint="eastAsia" w:ascii="宋体" w:hAnsi="宋体"/>
          <w:b/>
          <w:bCs/>
          <w:color w:val="auto"/>
          <w:highlight w:val="none"/>
          <w:u w:val="single"/>
        </w:rPr>
        <w:t>名称</w:t>
      </w:r>
      <w:r>
        <w:rPr>
          <w:rFonts w:ascii="宋体" w:hAnsi="宋体"/>
          <w:b/>
          <w:bCs/>
          <w:color w:val="auto"/>
          <w:highlight w:val="none"/>
          <w:u w:val="single"/>
        </w:rPr>
        <w:t>）           </w:t>
      </w:r>
      <w:r>
        <w:rPr>
          <w:rFonts w:ascii="宋体" w:hAnsi="宋体" w:cs="宋体"/>
          <w:b/>
          <w:color w:val="auto"/>
          <w:kern w:val="0"/>
          <w:sz w:val="24"/>
          <w:highlight w:val="none"/>
        </w:rPr>
        <w:t xml:space="preserve">： </w:t>
      </w:r>
    </w:p>
    <w:p w14:paraId="127AD800">
      <w:pPr>
        <w:adjustRightInd w:val="0"/>
        <w:snapToGrid w:val="0"/>
        <w:spacing w:line="400" w:lineRule="exact"/>
        <w:ind w:firstLine="420"/>
        <w:rPr>
          <w:rFonts w:ascii="宋体" w:hAnsi="宋体"/>
          <w:b/>
          <w:bCs/>
          <w:color w:val="auto"/>
          <w:highlight w:val="none"/>
        </w:rPr>
      </w:pPr>
      <w:r>
        <w:rPr>
          <w:rFonts w:hint="eastAsia" w:ascii="宋体" w:hAnsi="宋体"/>
          <w:b/>
          <w:bCs/>
          <w:color w:val="auto"/>
          <w:highlight w:val="none"/>
        </w:rPr>
        <w:t>根据贵方就</w:t>
      </w:r>
      <w:r>
        <w:rPr>
          <w:rFonts w:hint="eastAsia" w:hAnsi="宋体" w:cs="宋体"/>
          <w:b/>
          <w:color w:val="auto"/>
          <w:szCs w:val="21"/>
          <w:highlight w:val="none"/>
          <w:u w:val="single"/>
        </w:rPr>
        <w:t>项目名称</w:t>
      </w:r>
      <w:r>
        <w:rPr>
          <w:rFonts w:hint="eastAsia" w:ascii="宋体" w:hAnsi="宋体" w:cs="宋体"/>
          <w:b/>
          <w:color w:val="auto"/>
          <w:szCs w:val="21"/>
          <w:highlight w:val="none"/>
          <w:u w:val="single"/>
        </w:rPr>
        <w:t xml:space="preserve">，由投标人填写    </w:t>
      </w:r>
      <w:r>
        <w:rPr>
          <w:rFonts w:hint="eastAsia" w:ascii="宋体" w:hAnsi="宋体"/>
          <w:b/>
          <w:bCs/>
          <w:color w:val="auto"/>
          <w:highlight w:val="none"/>
        </w:rPr>
        <w:t>的投标邀请（项目编号:</w:t>
      </w:r>
      <w:r>
        <w:rPr>
          <w:rFonts w:hint="eastAsia" w:ascii="宋体" w:hAnsi="宋体"/>
          <w:b/>
          <w:bCs/>
          <w:color w:val="auto"/>
          <w:highlight w:val="none"/>
          <w:u w:val="single"/>
        </w:rPr>
        <w:t xml:space="preserve">            </w:t>
      </w:r>
      <w:r>
        <w:rPr>
          <w:rFonts w:hint="eastAsia" w:hAnsi="宋体"/>
          <w:b/>
          <w:bCs w:val="0"/>
          <w:color w:val="auto"/>
          <w:sz w:val="21"/>
          <w:highlight w:val="none"/>
          <w:lang w:val="en-US" w:eastAsia="zh-CN"/>
        </w:rPr>
        <w:t>包组号：</w:t>
      </w:r>
      <w:r>
        <w:rPr>
          <w:rFonts w:hint="eastAsia" w:hAnsi="宋体"/>
          <w:b/>
          <w:bCs w:val="0"/>
          <w:color w:val="auto"/>
          <w:sz w:val="21"/>
          <w:highlight w:val="none"/>
        </w:rPr>
        <w:t xml:space="preserve"> </w:t>
      </w:r>
      <w:r>
        <w:rPr>
          <w:rFonts w:hint="eastAsia" w:hAnsi="宋体"/>
          <w:b/>
          <w:bCs w:val="0"/>
          <w:color w:val="auto"/>
          <w:sz w:val="21"/>
          <w:highlight w:val="none"/>
          <w:u w:val="single"/>
        </w:rPr>
        <w:t xml:space="preserve">  </w:t>
      </w:r>
      <w:r>
        <w:rPr>
          <w:rFonts w:hAnsi="宋体"/>
          <w:b/>
          <w:bCs w:val="0"/>
          <w:color w:val="auto"/>
          <w:sz w:val="21"/>
          <w:highlight w:val="none"/>
          <w:u w:val="single"/>
        </w:rPr>
        <w:t xml:space="preserve">     </w:t>
      </w:r>
      <w:r>
        <w:rPr>
          <w:rFonts w:hint="eastAsia" w:ascii="宋体" w:hAnsi="宋体"/>
          <w:b/>
          <w:bCs/>
          <w:color w:val="auto"/>
          <w:highlight w:val="none"/>
        </w:rPr>
        <w:t>），我方正式响应投标并提交投标文件</w:t>
      </w:r>
      <w:r>
        <w:rPr>
          <w:rFonts w:hint="eastAsia" w:ascii="宋体" w:hAnsi="宋体"/>
          <w:b/>
          <w:bCs/>
          <w:color w:val="auto"/>
          <w:highlight w:val="none"/>
          <w:u w:val="single"/>
        </w:rPr>
        <w:t xml:space="preserve">    </w:t>
      </w:r>
      <w:r>
        <w:rPr>
          <w:rFonts w:hint="eastAsia" w:ascii="宋体" w:hAnsi="宋体"/>
          <w:b/>
          <w:bCs/>
          <w:color w:val="auto"/>
          <w:highlight w:val="none"/>
        </w:rPr>
        <w:t>份正本和</w:t>
      </w:r>
      <w:r>
        <w:rPr>
          <w:rFonts w:hint="eastAsia" w:ascii="宋体" w:hAnsi="宋体"/>
          <w:b/>
          <w:bCs/>
          <w:color w:val="auto"/>
          <w:highlight w:val="none"/>
          <w:u w:val="single"/>
        </w:rPr>
        <w:t xml:space="preserve">    </w:t>
      </w:r>
      <w:r>
        <w:rPr>
          <w:rFonts w:hint="eastAsia" w:ascii="宋体" w:hAnsi="宋体"/>
          <w:b/>
          <w:bCs/>
          <w:color w:val="auto"/>
          <w:highlight w:val="none"/>
        </w:rPr>
        <w:t>份副本，</w:t>
      </w:r>
      <w:r>
        <w:rPr>
          <w:rFonts w:hint="eastAsia" w:ascii="宋体" w:hAnsi="宋体"/>
          <w:b/>
          <w:color w:val="auto"/>
          <w:kern w:val="0"/>
          <w:szCs w:val="21"/>
          <w:highlight w:val="none"/>
        </w:rPr>
        <w:t>电子文件</w:t>
      </w:r>
      <w:r>
        <w:rPr>
          <w:rFonts w:hint="eastAsia" w:ascii="宋体" w:hAnsi="宋体"/>
          <w:b/>
          <w:color w:val="auto"/>
          <w:kern w:val="0"/>
          <w:szCs w:val="21"/>
          <w:highlight w:val="none"/>
          <w:u w:val="single"/>
        </w:rPr>
        <w:t xml:space="preserve">    </w:t>
      </w:r>
      <w:r>
        <w:rPr>
          <w:rFonts w:hint="eastAsia" w:ascii="宋体" w:hAnsi="宋体"/>
          <w:b/>
          <w:color w:val="auto"/>
          <w:kern w:val="0"/>
          <w:szCs w:val="21"/>
          <w:highlight w:val="none"/>
        </w:rPr>
        <w:t>份</w:t>
      </w:r>
      <w:r>
        <w:rPr>
          <w:rFonts w:hint="eastAsia" w:ascii="宋体" w:hAnsi="宋体"/>
          <w:b/>
          <w:bCs/>
          <w:color w:val="auto"/>
          <w:highlight w:val="none"/>
        </w:rPr>
        <w:t>。</w:t>
      </w:r>
    </w:p>
    <w:p w14:paraId="74E29E56">
      <w:pPr>
        <w:widowControl/>
        <w:tabs>
          <w:tab w:val="left" w:pos="840"/>
        </w:tabs>
        <w:adjustRightInd w:val="0"/>
        <w:snapToGrid w:val="0"/>
        <w:rPr>
          <w:rFonts w:ascii="宋体" w:hAnsi="宋体"/>
          <w:b/>
          <w:bCs/>
          <w:color w:val="auto"/>
          <w:highlight w:val="none"/>
        </w:rPr>
      </w:pPr>
    </w:p>
    <w:p w14:paraId="73D2D8B7">
      <w:pPr>
        <w:widowControl/>
        <w:tabs>
          <w:tab w:val="left" w:pos="502"/>
        </w:tabs>
        <w:adjustRightInd w:val="0"/>
        <w:snapToGrid w:val="0"/>
        <w:spacing w:line="360" w:lineRule="auto"/>
        <w:ind w:left="374" w:leftChars="177" w:hanging="2" w:hangingChars="1"/>
        <w:rPr>
          <w:rFonts w:ascii="宋体" w:hAnsi="宋体"/>
          <w:b/>
          <w:bCs/>
          <w:color w:val="auto"/>
          <w:highlight w:val="none"/>
        </w:rPr>
      </w:pPr>
      <w:r>
        <w:rPr>
          <w:rFonts w:hint="eastAsia" w:ascii="宋体" w:hAnsi="宋体"/>
          <w:b/>
          <w:bCs/>
          <w:color w:val="auto"/>
          <w:highlight w:val="none"/>
        </w:rPr>
        <w:t>据此函，签字代表宣布同意如下：</w:t>
      </w:r>
    </w:p>
    <w:p w14:paraId="6AD11FC9">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所附投标价格表中规定的应提交和交付的投标</w:t>
      </w:r>
      <w:r>
        <w:rPr>
          <w:rFonts w:hint="eastAsia" w:ascii="宋体" w:hAnsi="宋体"/>
          <w:color w:val="auto"/>
          <w:highlight w:val="none"/>
          <w:lang w:val="en-US" w:eastAsia="zh-CN"/>
        </w:rPr>
        <w:t>折扣率</w:t>
      </w:r>
      <w:r>
        <w:rPr>
          <w:rFonts w:hint="eastAsia" w:ascii="宋体" w:hAnsi="宋体"/>
          <w:color w:val="auto"/>
          <w:highlight w:val="none"/>
        </w:rPr>
        <w:t>为人民币：</w:t>
      </w:r>
      <w:r>
        <w:rPr>
          <w:rFonts w:hint="eastAsia"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w:t>
      </w:r>
    </w:p>
    <w:p w14:paraId="346C180B">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单位负责人为同一人或者存在直接控股、管理关系的不同供应商，不得参加同一合同项下的政府采购活动。</w:t>
      </w:r>
    </w:p>
    <w:p w14:paraId="4EA258CD">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为采购项目提供整体设计、规范编制或者项目管理、监理、检测等服务的供应商，不得再参加采购项目的其他采购活动。</w:t>
      </w:r>
    </w:p>
    <w:p w14:paraId="62814A25">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4.</w:t>
      </w:r>
      <w:r>
        <w:rPr>
          <w:rFonts w:hint="eastAsia" w:ascii="宋体" w:hAnsi="宋体"/>
          <w:bCs/>
          <w:color w:val="auto"/>
          <w:highlight w:val="none"/>
        </w:rPr>
        <w:t>本次投标所报内容完全按照招标文件要求填报，所有内容都是真实、准确的。</w:t>
      </w:r>
    </w:p>
    <w:p w14:paraId="56143FB2">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5.</w:t>
      </w:r>
      <w:r>
        <w:rPr>
          <w:rFonts w:hint="eastAsia" w:ascii="宋体" w:hAnsi="宋体"/>
          <w:bCs/>
          <w:color w:val="auto"/>
          <w:highlight w:val="none"/>
        </w:rPr>
        <w:t>投标人将按招标文件的规定履行全部合同责任和义务。</w:t>
      </w:r>
    </w:p>
    <w:p w14:paraId="28C240D3">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6.</w:t>
      </w:r>
      <w:r>
        <w:rPr>
          <w:rFonts w:hint="eastAsia" w:ascii="宋体" w:hAnsi="宋体"/>
          <w:bCs/>
          <w:color w:val="auto"/>
          <w:highlight w:val="none"/>
        </w:rPr>
        <w:t>投标人已详细审查全部招标文件，包括修改文件（如有的话）以及全部参考资料和有关附件。我们完全理解并同意放弃对这方面有不明及误解的权利。</w:t>
      </w:r>
    </w:p>
    <w:p w14:paraId="3766741D">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7.</w:t>
      </w:r>
      <w:r>
        <w:rPr>
          <w:rFonts w:hint="eastAsia" w:ascii="宋体" w:hAnsi="宋体"/>
          <w:bCs/>
          <w:color w:val="auto"/>
          <w:highlight w:val="none"/>
        </w:rPr>
        <w:t>本次投标自开标日起有效期为90天。</w:t>
      </w:r>
    </w:p>
    <w:p w14:paraId="13D16E14">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8.</w:t>
      </w:r>
      <w:r>
        <w:rPr>
          <w:rFonts w:hint="eastAsia" w:ascii="宋体" w:hAnsi="宋体"/>
          <w:bCs/>
          <w:color w:val="auto"/>
          <w:highlight w:val="none"/>
        </w:rPr>
        <w:t>如果在规定的开标时间后，投标人在投标有效期内撤回投标文件，投标保证金将被贵</w:t>
      </w:r>
      <w:r>
        <w:rPr>
          <w:rFonts w:hint="eastAsia" w:ascii="宋体" w:hAnsi="宋体"/>
          <w:color w:val="auto"/>
          <w:szCs w:val="21"/>
          <w:highlight w:val="none"/>
        </w:rPr>
        <w:t>方</w:t>
      </w:r>
      <w:r>
        <w:rPr>
          <w:rFonts w:hint="eastAsia" w:ascii="宋体" w:hAnsi="宋体"/>
          <w:bCs/>
          <w:color w:val="auto"/>
          <w:highlight w:val="none"/>
        </w:rPr>
        <w:t>不予退还。</w:t>
      </w:r>
    </w:p>
    <w:p w14:paraId="04ED8172">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9.</w:t>
      </w:r>
      <w:r>
        <w:rPr>
          <w:rFonts w:hint="eastAsia" w:ascii="宋体" w:hAnsi="宋体"/>
          <w:bCs/>
          <w:color w:val="auto"/>
          <w:highlight w:val="none"/>
        </w:rPr>
        <w:t>投标人同意提供按照贵方可能要求与其投标有关的一切数据或资料，完全理解贵方不一定接受最低价的投标或收到的任何投标。</w:t>
      </w:r>
    </w:p>
    <w:p w14:paraId="2170922F">
      <w:pPr>
        <w:widowControl/>
        <w:numPr>
          <w:ilvl w:val="0"/>
          <w:numId w:val="0"/>
        </w:numPr>
        <w:tabs>
          <w:tab w:val="left" w:pos="840"/>
        </w:tabs>
        <w:adjustRightInd w:val="0"/>
        <w:snapToGrid w:val="0"/>
        <w:spacing w:line="360" w:lineRule="auto"/>
        <w:ind w:left="420" w:leftChars="0"/>
        <w:rPr>
          <w:rFonts w:ascii="宋体" w:hAnsi="宋体"/>
          <w:bCs/>
          <w:color w:val="auto"/>
          <w:highlight w:val="none"/>
        </w:rPr>
      </w:pPr>
      <w:r>
        <w:rPr>
          <w:rFonts w:hint="eastAsia" w:ascii="宋体" w:hAnsi="宋体"/>
          <w:bCs/>
          <w:color w:val="auto"/>
          <w:highlight w:val="none"/>
          <w:lang w:val="en-US" w:eastAsia="zh-CN"/>
        </w:rPr>
        <w:t>10.</w:t>
      </w:r>
      <w:r>
        <w:rPr>
          <w:rFonts w:hint="eastAsia" w:ascii="宋体" w:hAnsi="宋体"/>
          <w:bCs/>
          <w:color w:val="auto"/>
          <w:highlight w:val="none"/>
        </w:rPr>
        <w:t>与本投标有关的一切正式往来通讯请寄至投标文件封面指定地址、联系方式。</w:t>
      </w:r>
    </w:p>
    <w:p w14:paraId="1EC0D960">
      <w:pPr>
        <w:adjustRightInd w:val="0"/>
        <w:snapToGrid w:val="0"/>
        <w:spacing w:line="400" w:lineRule="exact"/>
        <w:rPr>
          <w:rFonts w:ascii="宋体" w:hAnsi="宋体"/>
          <w:bCs/>
          <w:color w:val="auto"/>
          <w:highlight w:val="none"/>
        </w:rPr>
      </w:pPr>
    </w:p>
    <w:p w14:paraId="68D462B9">
      <w:pPr>
        <w:adjustRightInd w:val="0"/>
        <w:snapToGrid w:val="0"/>
        <w:spacing w:line="400" w:lineRule="exact"/>
        <w:rPr>
          <w:rFonts w:ascii="宋体" w:hAnsi="宋体"/>
          <w:bCs/>
          <w:color w:val="auto"/>
          <w:highlight w:val="none"/>
        </w:rPr>
      </w:pPr>
    </w:p>
    <w:p w14:paraId="0DB0A177">
      <w:pPr>
        <w:adjustRightInd w:val="0"/>
        <w:snapToGrid w:val="0"/>
        <w:spacing w:line="400" w:lineRule="exact"/>
        <w:rPr>
          <w:rFonts w:ascii="宋体" w:hAnsi="宋体"/>
          <w:bCs/>
          <w:color w:val="auto"/>
          <w:highlight w:val="none"/>
        </w:rPr>
      </w:pPr>
    </w:p>
    <w:p w14:paraId="5B1DE9DD">
      <w:pPr>
        <w:adjustRightInd w:val="0"/>
        <w:snapToGrid w:val="0"/>
        <w:spacing w:line="400" w:lineRule="exact"/>
        <w:rPr>
          <w:rFonts w:ascii="宋体" w:hAnsi="宋体"/>
          <w:bCs/>
          <w:color w:val="auto"/>
          <w:highlight w:val="none"/>
        </w:rPr>
      </w:pPr>
    </w:p>
    <w:p w14:paraId="41C1BF17">
      <w:pPr>
        <w:adjustRightInd w:val="0"/>
        <w:snapToGrid w:val="0"/>
        <w:spacing w:line="400" w:lineRule="exact"/>
        <w:rPr>
          <w:rFonts w:ascii="宋体" w:hAnsi="宋体"/>
          <w:bCs/>
          <w:color w:val="auto"/>
          <w:highlight w:val="none"/>
        </w:rPr>
      </w:pPr>
    </w:p>
    <w:p w14:paraId="55B9513D">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4DDAB557">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299D0E9B">
      <w:pPr>
        <w:adjustRightInd w:val="0"/>
        <w:snapToGrid w:val="0"/>
        <w:spacing w:line="40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1C98F74">
      <w:pPr>
        <w:pStyle w:val="23"/>
        <w:spacing w:line="400" w:lineRule="exact"/>
        <w:rPr>
          <w:rFonts w:hAnsi="宋体"/>
          <w:color w:val="auto"/>
          <w:highlight w:val="none"/>
        </w:rPr>
      </w:pPr>
      <w:r>
        <w:rPr>
          <w:rFonts w:hint="eastAsia" w:hAnsi="宋体"/>
          <w:color w:val="auto"/>
          <w:highlight w:val="none"/>
        </w:rPr>
        <w:t>注：本投标函为投标人响应本次招标项目的郑重承诺，投标人不得改动且必须满足。</w:t>
      </w:r>
    </w:p>
    <w:p w14:paraId="06515931">
      <w:pPr>
        <w:pStyle w:val="23"/>
        <w:spacing w:line="400" w:lineRule="exact"/>
        <w:rPr>
          <w:rFonts w:hAnsi="宋体"/>
          <w:color w:val="auto"/>
          <w:highlight w:val="none"/>
        </w:rPr>
      </w:pPr>
    </w:p>
    <w:p w14:paraId="210BA398">
      <w:pPr>
        <w:pStyle w:val="3"/>
        <w:numPr>
          <w:ilvl w:val="0"/>
          <w:numId w:val="0"/>
        </w:numPr>
        <w:spacing w:line="400" w:lineRule="exact"/>
        <w:rPr>
          <w:color w:val="auto"/>
          <w:highlight w:val="none"/>
        </w:rPr>
      </w:pPr>
      <w:bookmarkStart w:id="1722" w:name="_Hlt16935467"/>
      <w:bookmarkEnd w:id="1722"/>
      <w:bookmarkStart w:id="1723" w:name="_Toc339019911"/>
      <w:bookmarkStart w:id="1724" w:name="_Toc333237700"/>
      <w:bookmarkStart w:id="1725" w:name="_Toc333935709"/>
      <w:bookmarkStart w:id="1726" w:name="_Toc336681602"/>
      <w:bookmarkStart w:id="1727" w:name="_Toc339020255"/>
      <w:bookmarkStart w:id="1728" w:name="_Toc340677092"/>
      <w:bookmarkStart w:id="1729" w:name="_Toc341348362"/>
      <w:bookmarkStart w:id="1730" w:name="_Toc342296783"/>
      <w:bookmarkStart w:id="1731" w:name="_Toc339020117"/>
      <w:bookmarkStart w:id="1732" w:name="_Toc330460008"/>
      <w:bookmarkStart w:id="1733" w:name="_Toc345312619"/>
      <w:bookmarkStart w:id="1734" w:name="_Toc350438771"/>
      <w:bookmarkStart w:id="1735" w:name="_Toc332270369"/>
      <w:bookmarkStart w:id="1736" w:name="_Toc78816017"/>
      <w:bookmarkStart w:id="1737" w:name="_Toc342060397"/>
      <w:bookmarkStart w:id="1738" w:name="_Toc339020037"/>
      <w:bookmarkStart w:id="1739" w:name="_Toc339362322"/>
      <w:bookmarkStart w:id="1740" w:name="_Toc333238656"/>
      <w:bookmarkStart w:id="1741" w:name="_Toc342398152"/>
      <w:bookmarkStart w:id="1742" w:name="_Toc343247122"/>
      <w:bookmarkStart w:id="1743" w:name="_Toc331512923"/>
      <w:bookmarkStart w:id="1744" w:name="_Toc343612942"/>
      <w:bookmarkStart w:id="1745" w:name="_Toc332206731"/>
      <w:bookmarkStart w:id="1746" w:name="_Toc333237811"/>
      <w:bookmarkStart w:id="1747" w:name="_Toc365985200"/>
      <w:bookmarkStart w:id="1748" w:name="_Toc333935368"/>
      <w:bookmarkStart w:id="1749" w:name="_Toc331684064"/>
      <w:bookmarkStart w:id="1750" w:name="_Toc342312465"/>
      <w:bookmarkStart w:id="1751" w:name="_Toc337632380"/>
      <w:bookmarkStart w:id="1752" w:name="_Toc350756472"/>
      <w:bookmarkStart w:id="1753" w:name="_Toc366072551"/>
      <w:bookmarkStart w:id="1754" w:name="_Toc340672891"/>
      <w:bookmarkStart w:id="1755" w:name="_Toc6826"/>
      <w:bookmarkStart w:id="1756" w:name="_Toc336681957"/>
      <w:bookmarkStart w:id="1757" w:name="_Toc343248440"/>
      <w:bookmarkStart w:id="1758" w:name="_Toc365967094"/>
      <w:bookmarkStart w:id="1759" w:name="_Toc339441109"/>
      <w:bookmarkStart w:id="1760" w:name="_Toc340507464"/>
      <w:r>
        <w:rPr>
          <w:rFonts w:hint="eastAsia"/>
          <w:color w:val="auto"/>
          <w:highlight w:val="none"/>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14:paraId="3ED939D8">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5ADAF591">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35C304CC">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872"/>
      </w:tblGrid>
      <w:tr w14:paraId="15D2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C6DA171">
            <w:pPr>
              <w:spacing w:line="360" w:lineRule="auto"/>
              <w:jc w:val="center"/>
              <w:rPr>
                <w:rFonts w:ascii="宋体" w:hAnsi="宋体"/>
                <w:bCs/>
                <w:color w:val="auto"/>
                <w:highlight w:val="none"/>
              </w:rPr>
            </w:pPr>
            <w:r>
              <w:rPr>
                <w:rFonts w:hint="eastAsia" w:ascii="宋体" w:hAnsi="宋体"/>
                <w:bCs/>
                <w:color w:val="auto"/>
                <w:highlight w:val="none"/>
              </w:rPr>
              <w:t>项目编号</w:t>
            </w:r>
          </w:p>
        </w:tc>
        <w:tc>
          <w:tcPr>
            <w:tcW w:w="2873" w:type="dxa"/>
            <w:vAlign w:val="center"/>
          </w:tcPr>
          <w:p w14:paraId="3B38F093">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719" w:type="dxa"/>
            <w:vAlign w:val="center"/>
          </w:tcPr>
          <w:p w14:paraId="71C1B6A9">
            <w:pPr>
              <w:jc w:val="center"/>
              <w:rPr>
                <w:rFonts w:ascii="宋体" w:hAnsi="宋体"/>
                <w:bCs/>
                <w:color w:val="auto"/>
                <w:highlight w:val="none"/>
              </w:rPr>
            </w:pPr>
            <w:r>
              <w:rPr>
                <w:rFonts w:hint="eastAsia" w:ascii="宋体" w:hAnsi="宋体" w:cs="宋体"/>
                <w:color w:val="auto"/>
                <w:kern w:val="0"/>
                <w:szCs w:val="21"/>
                <w:highlight w:val="none"/>
              </w:rPr>
              <w:t>折扣率</w:t>
            </w:r>
          </w:p>
        </w:tc>
        <w:tc>
          <w:tcPr>
            <w:tcW w:w="1673" w:type="dxa"/>
            <w:vAlign w:val="center"/>
          </w:tcPr>
          <w:p w14:paraId="34307878">
            <w:pPr>
              <w:jc w:val="center"/>
              <w:rPr>
                <w:rFonts w:ascii="宋体" w:hAnsi="宋体"/>
                <w:bCs/>
                <w:color w:val="auto"/>
                <w:highlight w:val="none"/>
              </w:rPr>
            </w:pPr>
            <w:r>
              <w:rPr>
                <w:rFonts w:hint="eastAsia" w:ascii="宋体" w:hAnsi="宋体"/>
                <w:bCs/>
                <w:color w:val="auto"/>
                <w:highlight w:val="none"/>
              </w:rPr>
              <w:t>服务期</w:t>
            </w:r>
          </w:p>
        </w:tc>
        <w:tc>
          <w:tcPr>
            <w:tcW w:w="872" w:type="dxa"/>
            <w:vAlign w:val="center"/>
          </w:tcPr>
          <w:p w14:paraId="743200F3">
            <w:pPr>
              <w:spacing w:line="360" w:lineRule="auto"/>
              <w:jc w:val="center"/>
              <w:rPr>
                <w:rFonts w:ascii="宋体" w:hAnsi="宋体"/>
                <w:bCs/>
                <w:color w:val="auto"/>
                <w:highlight w:val="none"/>
              </w:rPr>
            </w:pPr>
            <w:r>
              <w:rPr>
                <w:rFonts w:hint="eastAsia" w:ascii="宋体" w:hAnsi="宋体"/>
                <w:bCs/>
                <w:color w:val="auto"/>
                <w:highlight w:val="none"/>
              </w:rPr>
              <w:t>备注</w:t>
            </w:r>
          </w:p>
        </w:tc>
      </w:tr>
      <w:tr w14:paraId="73A5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C0E4AD7">
            <w:pPr>
              <w:adjustRightInd w:val="0"/>
              <w:snapToGrid w:val="0"/>
              <w:spacing w:line="300" w:lineRule="exact"/>
              <w:jc w:val="center"/>
              <w:rPr>
                <w:rFonts w:ascii="宋体" w:hAnsi="宋体"/>
                <w:bCs/>
                <w:color w:val="auto"/>
                <w:highlight w:val="none"/>
              </w:rPr>
            </w:pPr>
          </w:p>
        </w:tc>
        <w:tc>
          <w:tcPr>
            <w:tcW w:w="2873" w:type="dxa"/>
            <w:vAlign w:val="center"/>
          </w:tcPr>
          <w:p w14:paraId="3BEC9F93">
            <w:pPr>
              <w:adjustRightInd w:val="0"/>
              <w:snapToGrid w:val="0"/>
              <w:spacing w:line="300" w:lineRule="exact"/>
              <w:jc w:val="center"/>
              <w:rPr>
                <w:rFonts w:ascii="宋体" w:hAnsi="宋体"/>
                <w:bCs/>
                <w:color w:val="auto"/>
                <w:highlight w:val="none"/>
              </w:rPr>
            </w:pPr>
          </w:p>
        </w:tc>
        <w:tc>
          <w:tcPr>
            <w:tcW w:w="2719" w:type="dxa"/>
            <w:vAlign w:val="center"/>
          </w:tcPr>
          <w:p w14:paraId="360272EC">
            <w:pPr>
              <w:spacing w:line="260" w:lineRule="exact"/>
              <w:jc w:val="center"/>
              <w:rPr>
                <w:rFonts w:hint="eastAsia" w:ascii="宋体" w:hAnsi="宋体" w:eastAsia="宋体"/>
                <w:bCs/>
                <w:color w:val="auto"/>
                <w:highlight w:val="none"/>
                <w:lang w:val="en-US" w:eastAsia="zh-CN"/>
              </w:rPr>
            </w:pPr>
            <w:r>
              <w:rPr>
                <w:rFonts w:hint="eastAsia" w:ascii="宋体" w:hAnsi="宋体"/>
                <w:bCs/>
                <w:color w:val="auto"/>
                <w:highlight w:val="none"/>
                <w:lang w:val="en-US" w:eastAsia="zh-CN"/>
              </w:rPr>
              <w:t>%</w:t>
            </w:r>
          </w:p>
        </w:tc>
        <w:tc>
          <w:tcPr>
            <w:tcW w:w="1673" w:type="dxa"/>
            <w:vAlign w:val="center"/>
          </w:tcPr>
          <w:p w14:paraId="151BEC3A">
            <w:pPr>
              <w:topLinePunct/>
              <w:jc w:val="left"/>
              <w:rPr>
                <w:rFonts w:ascii="宋体" w:hAnsi="宋体"/>
                <w:bCs/>
                <w:color w:val="auto"/>
                <w:highlight w:val="none"/>
                <w:u w:val="single"/>
              </w:rPr>
            </w:pPr>
          </w:p>
        </w:tc>
        <w:tc>
          <w:tcPr>
            <w:tcW w:w="872" w:type="dxa"/>
            <w:vAlign w:val="center"/>
          </w:tcPr>
          <w:p w14:paraId="2008598E">
            <w:pPr>
              <w:rPr>
                <w:rFonts w:ascii="宋体" w:hAnsi="宋体"/>
                <w:bCs/>
                <w:color w:val="auto"/>
                <w:highlight w:val="none"/>
              </w:rPr>
            </w:pPr>
          </w:p>
        </w:tc>
      </w:tr>
    </w:tbl>
    <w:p w14:paraId="4D5AB34B">
      <w:pPr>
        <w:spacing w:line="360" w:lineRule="auto"/>
        <w:rPr>
          <w:rFonts w:ascii="宋体" w:hAnsi="宋体"/>
          <w:bCs/>
          <w:color w:val="auto"/>
          <w:highlight w:val="none"/>
        </w:rPr>
      </w:pPr>
      <w:r>
        <w:rPr>
          <w:rFonts w:hint="eastAsia" w:ascii="宋体" w:hAnsi="宋体"/>
          <w:bCs/>
          <w:color w:val="auto"/>
          <w:highlight w:val="none"/>
        </w:rPr>
        <w:t>注：</w:t>
      </w:r>
    </w:p>
    <w:p w14:paraId="218A50F6">
      <w:pPr>
        <w:numPr>
          <w:ilvl w:val="0"/>
          <w:numId w:val="4"/>
        </w:numPr>
        <w:tabs>
          <w:tab w:val="left" w:pos="1365"/>
        </w:tabs>
        <w:spacing w:line="360" w:lineRule="auto"/>
        <w:rPr>
          <w:rFonts w:ascii="宋体" w:hAnsi="宋体"/>
          <w:bCs/>
          <w:color w:val="auto"/>
          <w:highlight w:val="none"/>
        </w:rPr>
      </w:pPr>
      <w:r>
        <w:rPr>
          <w:rFonts w:hint="eastAsia" w:ascii="宋体" w:hAnsi="宋体"/>
          <w:color w:val="auto"/>
          <w:highlight w:val="none"/>
        </w:rPr>
        <w:t>投标人填写此表时不得改变表格的形式。</w:t>
      </w:r>
    </w:p>
    <w:p w14:paraId="4B31A52E">
      <w:pPr>
        <w:numPr>
          <w:ilvl w:val="0"/>
          <w:numId w:val="4"/>
        </w:numPr>
        <w:tabs>
          <w:tab w:val="left" w:pos="1365"/>
        </w:tabs>
        <w:spacing w:line="360" w:lineRule="auto"/>
        <w:rPr>
          <w:rFonts w:ascii="宋体" w:hAnsi="宋体"/>
          <w:bCs/>
          <w:color w:val="auto"/>
          <w:highlight w:val="none"/>
        </w:rPr>
      </w:pPr>
      <w:r>
        <w:rPr>
          <w:rFonts w:hint="eastAsia"/>
          <w:bCs/>
          <w:color w:val="auto"/>
          <w:highlight w:val="none"/>
        </w:rPr>
        <w:t>如果投标人认为有应当说明而本表中无相应栏目的内容，请在“备注”栏中添加说明。</w:t>
      </w:r>
    </w:p>
    <w:p w14:paraId="0A9DB22B">
      <w:pPr>
        <w:numPr>
          <w:ilvl w:val="0"/>
          <w:numId w:val="4"/>
        </w:numPr>
        <w:tabs>
          <w:tab w:val="left" w:pos="1365"/>
        </w:tabs>
        <w:spacing w:line="360" w:lineRule="auto"/>
        <w:rPr>
          <w:rFonts w:ascii="宋体" w:hAnsi="宋体"/>
          <w:bCs/>
          <w:color w:val="auto"/>
          <w:highlight w:val="none"/>
        </w:rPr>
      </w:pPr>
      <w:r>
        <w:rPr>
          <w:rFonts w:hint="eastAsia" w:ascii="宋体" w:hAnsi="宋体"/>
          <w:bCs/>
          <w:color w:val="auto"/>
          <w:highlight w:val="none"/>
        </w:rPr>
        <w:t>投标人应将 “开标一览表”（加盖公章并由法定代表人（负责人）或其授权代理人签字），一份单独密封于一信封内，一份装订入投标文件正本。</w:t>
      </w:r>
    </w:p>
    <w:p w14:paraId="7B1E29D3">
      <w:pPr>
        <w:spacing w:line="360" w:lineRule="auto"/>
        <w:rPr>
          <w:rFonts w:ascii="宋体" w:hAnsi="宋体"/>
          <w:bCs/>
          <w:color w:val="auto"/>
          <w:highlight w:val="none"/>
          <w:u w:val="single"/>
        </w:rPr>
      </w:pPr>
    </w:p>
    <w:p w14:paraId="5D97085E">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525B9942">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CB59CD1">
      <w:pPr>
        <w:adjustRightInd w:val="0"/>
        <w:snapToGrid w:val="0"/>
        <w:spacing w:line="40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C861D5E">
      <w:pPr>
        <w:adjustRightInd w:val="0"/>
        <w:snapToGrid w:val="0"/>
        <w:spacing w:line="400" w:lineRule="exact"/>
        <w:rPr>
          <w:rFonts w:ascii="宋体" w:hAnsi="宋体"/>
          <w:bCs/>
          <w:color w:val="auto"/>
          <w:highlight w:val="none"/>
        </w:rPr>
      </w:pPr>
    </w:p>
    <w:p w14:paraId="33001E68">
      <w:pPr>
        <w:adjustRightInd w:val="0"/>
        <w:snapToGrid w:val="0"/>
        <w:spacing w:line="400" w:lineRule="exact"/>
        <w:rPr>
          <w:rFonts w:ascii="宋体" w:hAnsi="宋体"/>
          <w:bCs/>
          <w:color w:val="auto"/>
          <w:highlight w:val="none"/>
        </w:rPr>
      </w:pPr>
    </w:p>
    <w:p w14:paraId="302D6BCD">
      <w:pPr>
        <w:adjustRightInd w:val="0"/>
        <w:snapToGrid w:val="0"/>
        <w:spacing w:line="400" w:lineRule="exact"/>
        <w:rPr>
          <w:rFonts w:ascii="宋体" w:hAnsi="宋体"/>
          <w:bCs/>
          <w:color w:val="auto"/>
          <w:highlight w:val="none"/>
        </w:rPr>
      </w:pPr>
    </w:p>
    <w:p w14:paraId="07DBA347">
      <w:pPr>
        <w:adjustRightInd w:val="0"/>
        <w:snapToGrid w:val="0"/>
        <w:spacing w:line="400" w:lineRule="exact"/>
        <w:rPr>
          <w:rFonts w:ascii="宋体" w:hAnsi="宋体"/>
          <w:bCs/>
          <w:color w:val="auto"/>
          <w:highlight w:val="none"/>
        </w:rPr>
      </w:pPr>
    </w:p>
    <w:p w14:paraId="7B65F9C1">
      <w:pPr>
        <w:adjustRightInd w:val="0"/>
        <w:snapToGrid w:val="0"/>
        <w:spacing w:line="400" w:lineRule="exact"/>
        <w:rPr>
          <w:rFonts w:ascii="宋体" w:hAnsi="宋体"/>
          <w:bCs/>
          <w:color w:val="auto"/>
          <w:highlight w:val="none"/>
        </w:rPr>
      </w:pPr>
    </w:p>
    <w:p w14:paraId="5316CCA8">
      <w:pPr>
        <w:adjustRightInd w:val="0"/>
        <w:snapToGrid w:val="0"/>
        <w:spacing w:line="400" w:lineRule="exact"/>
        <w:rPr>
          <w:rFonts w:ascii="宋体" w:hAnsi="宋体"/>
          <w:bCs/>
          <w:color w:val="auto"/>
          <w:highlight w:val="none"/>
        </w:rPr>
      </w:pPr>
    </w:p>
    <w:p w14:paraId="1C62AC3C">
      <w:pPr>
        <w:adjustRightInd w:val="0"/>
        <w:snapToGrid w:val="0"/>
        <w:spacing w:line="400" w:lineRule="exact"/>
        <w:rPr>
          <w:rFonts w:ascii="宋体" w:hAnsi="宋体"/>
          <w:bCs/>
          <w:color w:val="auto"/>
          <w:highlight w:val="none"/>
        </w:rPr>
      </w:pPr>
    </w:p>
    <w:p w14:paraId="116F6AD1">
      <w:pPr>
        <w:adjustRightInd w:val="0"/>
        <w:snapToGrid w:val="0"/>
        <w:spacing w:line="400" w:lineRule="exact"/>
        <w:rPr>
          <w:rFonts w:ascii="宋体" w:hAnsi="宋体"/>
          <w:bCs/>
          <w:color w:val="auto"/>
          <w:highlight w:val="none"/>
        </w:rPr>
      </w:pPr>
    </w:p>
    <w:p w14:paraId="389F9C8E">
      <w:pPr>
        <w:adjustRightInd w:val="0"/>
        <w:snapToGrid w:val="0"/>
        <w:spacing w:line="400" w:lineRule="exact"/>
        <w:rPr>
          <w:rFonts w:ascii="宋体" w:hAnsi="宋体"/>
          <w:bCs/>
          <w:color w:val="auto"/>
          <w:highlight w:val="none"/>
        </w:rPr>
      </w:pPr>
    </w:p>
    <w:p w14:paraId="514EB1FB">
      <w:pPr>
        <w:adjustRightInd w:val="0"/>
        <w:snapToGrid w:val="0"/>
        <w:spacing w:line="400" w:lineRule="exact"/>
        <w:rPr>
          <w:rFonts w:ascii="宋体" w:hAnsi="宋体"/>
          <w:bCs/>
          <w:color w:val="auto"/>
          <w:highlight w:val="none"/>
        </w:rPr>
      </w:pPr>
    </w:p>
    <w:p w14:paraId="66FA254E">
      <w:pPr>
        <w:adjustRightInd w:val="0"/>
        <w:snapToGrid w:val="0"/>
        <w:spacing w:line="400" w:lineRule="exact"/>
        <w:rPr>
          <w:rFonts w:ascii="宋体" w:hAnsi="宋体"/>
          <w:bCs/>
          <w:color w:val="auto"/>
          <w:highlight w:val="none"/>
        </w:rPr>
      </w:pPr>
    </w:p>
    <w:p w14:paraId="0F9EFAA8">
      <w:pPr>
        <w:adjustRightInd w:val="0"/>
        <w:snapToGrid w:val="0"/>
        <w:spacing w:line="400" w:lineRule="exact"/>
        <w:rPr>
          <w:rFonts w:ascii="宋体" w:hAnsi="宋体"/>
          <w:bCs/>
          <w:color w:val="auto"/>
          <w:highlight w:val="none"/>
        </w:rPr>
      </w:pPr>
    </w:p>
    <w:p w14:paraId="76E38DD3">
      <w:pPr>
        <w:adjustRightInd w:val="0"/>
        <w:snapToGrid w:val="0"/>
        <w:spacing w:line="400" w:lineRule="exact"/>
        <w:rPr>
          <w:rFonts w:ascii="宋体" w:hAnsi="宋体"/>
          <w:bCs/>
          <w:color w:val="auto"/>
          <w:highlight w:val="none"/>
        </w:rPr>
      </w:pPr>
    </w:p>
    <w:p w14:paraId="052D63AE">
      <w:pPr>
        <w:adjustRightInd w:val="0"/>
        <w:snapToGrid w:val="0"/>
        <w:spacing w:line="400" w:lineRule="exact"/>
        <w:rPr>
          <w:rFonts w:ascii="宋体" w:hAnsi="宋体"/>
          <w:bCs/>
          <w:color w:val="auto"/>
          <w:highlight w:val="none"/>
        </w:rPr>
      </w:pPr>
    </w:p>
    <w:p w14:paraId="2994C6DF">
      <w:pPr>
        <w:pStyle w:val="3"/>
        <w:numPr>
          <w:ilvl w:val="0"/>
          <w:numId w:val="0"/>
        </w:numPr>
        <w:spacing w:line="400" w:lineRule="exact"/>
        <w:rPr>
          <w:color w:val="auto"/>
          <w:highlight w:val="none"/>
        </w:rPr>
      </w:pPr>
      <w:bookmarkStart w:id="1761" w:name="_Toc332270371"/>
      <w:bookmarkStart w:id="1762" w:name="_Toc342398154"/>
      <w:bookmarkStart w:id="1763" w:name="_Toc331512925"/>
      <w:bookmarkStart w:id="1764" w:name="_Toc330460010"/>
      <w:bookmarkStart w:id="1765" w:name="_Toc340677094"/>
      <w:bookmarkStart w:id="1766" w:name="_Toc333237813"/>
      <w:bookmarkStart w:id="1767" w:name="_Toc342296785"/>
      <w:bookmarkStart w:id="1768" w:name="_Toc333935370"/>
      <w:bookmarkStart w:id="1769" w:name="_Toc339020257"/>
      <w:bookmarkStart w:id="1770" w:name="_Toc332206733"/>
      <w:bookmarkStart w:id="1771" w:name="_Toc339020039"/>
      <w:bookmarkStart w:id="1772" w:name="_Toc333237702"/>
      <w:bookmarkStart w:id="1773" w:name="_Toc342312467"/>
      <w:bookmarkStart w:id="1774" w:name="_Toc341348364"/>
      <w:bookmarkStart w:id="1775" w:name="_Toc339019913"/>
      <w:bookmarkStart w:id="1776" w:name="_Toc1389"/>
      <w:bookmarkStart w:id="1777" w:name="_Toc333238658"/>
      <w:bookmarkStart w:id="1778" w:name="_Toc340507466"/>
      <w:bookmarkStart w:id="1779" w:name="_Toc336681959"/>
      <w:bookmarkStart w:id="1780" w:name="_Toc343247124"/>
      <w:bookmarkStart w:id="1781" w:name="_Toc365967096"/>
      <w:bookmarkStart w:id="1782" w:name="_Toc343612944"/>
      <w:bookmarkStart w:id="1783" w:name="_Toc339441111"/>
      <w:bookmarkStart w:id="1784" w:name="_Toc331684066"/>
      <w:bookmarkStart w:id="1785" w:name="_Toc343248442"/>
      <w:bookmarkStart w:id="1786" w:name="_Toc339362324"/>
      <w:bookmarkStart w:id="1787" w:name="_Toc340672893"/>
      <w:bookmarkStart w:id="1788" w:name="_Toc350756474"/>
      <w:bookmarkStart w:id="1789" w:name="_Toc345312621"/>
      <w:bookmarkStart w:id="1790" w:name="_Toc336681604"/>
      <w:bookmarkStart w:id="1791" w:name="_Toc365985202"/>
      <w:bookmarkStart w:id="1792" w:name="_Toc342060399"/>
      <w:bookmarkStart w:id="1793" w:name="_Toc337632382"/>
      <w:bookmarkStart w:id="1794" w:name="_Toc366072553"/>
      <w:bookmarkStart w:id="1795" w:name="_Toc333935711"/>
      <w:bookmarkStart w:id="1796" w:name="_Toc350438773"/>
      <w:bookmarkStart w:id="1797" w:name="_Toc339020119"/>
      <w:r>
        <w:rPr>
          <w:rFonts w:hint="eastAsia"/>
          <w:color w:val="auto"/>
          <w:highlight w:val="none"/>
        </w:rPr>
        <w:t>附件</w:t>
      </w:r>
      <w:r>
        <w:rPr>
          <w:rFonts w:hint="eastAsia"/>
          <w:color w:val="auto"/>
          <w:highlight w:val="none"/>
          <w:lang w:val="en-US" w:eastAsia="zh-CN"/>
        </w:rPr>
        <w:t>三</w:t>
      </w:r>
      <w:r>
        <w:rPr>
          <w:rFonts w:hint="eastAsia"/>
          <w:color w:val="auto"/>
          <w:highlight w:val="none"/>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14:paraId="1D6F3EEF">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3C1496CD">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3A79F43E">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7DEF35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96F007">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58E9867">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F152B18">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B4B345">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C367035">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0BB73F6F">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B986315">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01DA893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99793F">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D1BE994">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992A68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AC782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216F2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ECDD7B">
            <w:pPr>
              <w:adjustRightInd w:val="0"/>
              <w:snapToGrid w:val="0"/>
              <w:jc w:val="center"/>
              <w:rPr>
                <w:rFonts w:ascii="宋体" w:hAnsi="宋体"/>
                <w:bCs/>
                <w:color w:val="auto"/>
                <w:highlight w:val="none"/>
              </w:rPr>
            </w:pPr>
          </w:p>
        </w:tc>
      </w:tr>
      <w:tr w14:paraId="0EE649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A763E3">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13F510">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C2819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A82A7B">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D8A13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43FA714">
            <w:pPr>
              <w:adjustRightInd w:val="0"/>
              <w:snapToGrid w:val="0"/>
              <w:jc w:val="center"/>
              <w:rPr>
                <w:rFonts w:ascii="宋体" w:hAnsi="宋体"/>
                <w:bCs/>
                <w:color w:val="auto"/>
                <w:highlight w:val="none"/>
              </w:rPr>
            </w:pPr>
          </w:p>
        </w:tc>
      </w:tr>
      <w:tr w14:paraId="48231B0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E9B5AB0">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75F2368">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56E2D17">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28E85D">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F926A5">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D602C">
            <w:pPr>
              <w:adjustRightInd w:val="0"/>
              <w:snapToGrid w:val="0"/>
              <w:jc w:val="center"/>
              <w:rPr>
                <w:rFonts w:ascii="宋体" w:hAnsi="宋体"/>
                <w:bCs/>
                <w:color w:val="auto"/>
                <w:highlight w:val="none"/>
              </w:rPr>
            </w:pPr>
          </w:p>
        </w:tc>
      </w:tr>
      <w:tr w14:paraId="625508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1E7282">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33F2A81">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1B7689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63233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C4FEE4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958778">
            <w:pPr>
              <w:adjustRightInd w:val="0"/>
              <w:snapToGrid w:val="0"/>
              <w:jc w:val="center"/>
              <w:rPr>
                <w:rFonts w:ascii="宋体" w:hAnsi="宋体"/>
                <w:bCs/>
                <w:color w:val="auto"/>
                <w:highlight w:val="none"/>
              </w:rPr>
            </w:pPr>
          </w:p>
        </w:tc>
      </w:tr>
      <w:tr w14:paraId="61E2154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B63E2A">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99CE6FD">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C37BD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CD19C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7C3384">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8CB95F">
            <w:pPr>
              <w:adjustRightInd w:val="0"/>
              <w:snapToGrid w:val="0"/>
              <w:jc w:val="center"/>
              <w:rPr>
                <w:rFonts w:ascii="宋体" w:hAnsi="宋体"/>
                <w:bCs/>
                <w:color w:val="auto"/>
                <w:highlight w:val="none"/>
              </w:rPr>
            </w:pPr>
          </w:p>
        </w:tc>
      </w:tr>
      <w:tr w14:paraId="029685F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11BF2A">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2BAEE0">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50BC4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957AD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1CC79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1E1954">
            <w:pPr>
              <w:adjustRightInd w:val="0"/>
              <w:snapToGrid w:val="0"/>
              <w:jc w:val="center"/>
              <w:rPr>
                <w:rFonts w:ascii="宋体" w:hAnsi="宋体"/>
                <w:bCs/>
                <w:color w:val="auto"/>
                <w:highlight w:val="none"/>
              </w:rPr>
            </w:pPr>
          </w:p>
        </w:tc>
      </w:tr>
      <w:tr w14:paraId="7F942BC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88E31E">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435B16B">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52C718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3ED056">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169FE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A04EA9">
            <w:pPr>
              <w:adjustRightInd w:val="0"/>
              <w:snapToGrid w:val="0"/>
              <w:jc w:val="center"/>
              <w:rPr>
                <w:rFonts w:ascii="宋体" w:hAnsi="宋体"/>
                <w:bCs/>
                <w:color w:val="auto"/>
                <w:highlight w:val="none"/>
              </w:rPr>
            </w:pPr>
          </w:p>
        </w:tc>
      </w:tr>
      <w:tr w14:paraId="51C0A1F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B18A6D">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475723B">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C2F1F6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B42A6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359BC9">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91B5F2">
            <w:pPr>
              <w:adjustRightInd w:val="0"/>
              <w:snapToGrid w:val="0"/>
              <w:jc w:val="center"/>
              <w:rPr>
                <w:rFonts w:ascii="宋体" w:hAnsi="宋体"/>
                <w:bCs/>
                <w:color w:val="auto"/>
                <w:highlight w:val="none"/>
              </w:rPr>
            </w:pPr>
          </w:p>
        </w:tc>
      </w:tr>
      <w:tr w14:paraId="594438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532BB">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230A13E">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87D3F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42D4D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31E5C">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2AA438">
            <w:pPr>
              <w:adjustRightInd w:val="0"/>
              <w:snapToGrid w:val="0"/>
              <w:jc w:val="center"/>
              <w:rPr>
                <w:rFonts w:ascii="宋体" w:hAnsi="宋体"/>
                <w:bCs/>
                <w:color w:val="auto"/>
                <w:highlight w:val="none"/>
              </w:rPr>
            </w:pPr>
          </w:p>
        </w:tc>
      </w:tr>
      <w:tr w14:paraId="01F1CC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A43C26">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F768A0F">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005A0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2ED50">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5F396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21E23E">
            <w:pPr>
              <w:adjustRightInd w:val="0"/>
              <w:snapToGrid w:val="0"/>
              <w:jc w:val="center"/>
              <w:rPr>
                <w:rFonts w:ascii="宋体" w:hAnsi="宋体"/>
                <w:bCs/>
                <w:color w:val="auto"/>
                <w:highlight w:val="none"/>
              </w:rPr>
            </w:pPr>
          </w:p>
        </w:tc>
      </w:tr>
      <w:tr w14:paraId="61CA1F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31A5C54">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5E2D13F">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A74BB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5A17B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8CF38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9BE931">
            <w:pPr>
              <w:adjustRightInd w:val="0"/>
              <w:snapToGrid w:val="0"/>
              <w:jc w:val="center"/>
              <w:rPr>
                <w:rFonts w:ascii="宋体" w:hAnsi="宋体"/>
                <w:bCs/>
                <w:color w:val="auto"/>
                <w:highlight w:val="none"/>
              </w:rPr>
            </w:pPr>
          </w:p>
        </w:tc>
      </w:tr>
      <w:tr w14:paraId="42F39BB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4D411D1">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D309D7">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B89D9D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BB70B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414A74">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0AD3E2">
            <w:pPr>
              <w:adjustRightInd w:val="0"/>
              <w:snapToGrid w:val="0"/>
              <w:jc w:val="center"/>
              <w:rPr>
                <w:rFonts w:ascii="宋体" w:hAnsi="宋体"/>
                <w:bCs/>
                <w:color w:val="auto"/>
                <w:highlight w:val="none"/>
              </w:rPr>
            </w:pPr>
          </w:p>
        </w:tc>
      </w:tr>
      <w:tr w14:paraId="25B699E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0D4DD5">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668EE90">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E1ED3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94E1B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E3B6B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1D88BA">
            <w:pPr>
              <w:adjustRightInd w:val="0"/>
              <w:snapToGrid w:val="0"/>
              <w:jc w:val="center"/>
              <w:rPr>
                <w:rFonts w:ascii="宋体" w:hAnsi="宋体"/>
                <w:bCs/>
                <w:color w:val="auto"/>
                <w:highlight w:val="none"/>
              </w:rPr>
            </w:pPr>
          </w:p>
        </w:tc>
      </w:tr>
      <w:tr w14:paraId="21CB727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EED17E">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E44FEAE">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E7E07F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9A4F7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B013C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D7E7C2">
            <w:pPr>
              <w:adjustRightInd w:val="0"/>
              <w:snapToGrid w:val="0"/>
              <w:jc w:val="center"/>
              <w:rPr>
                <w:rFonts w:ascii="宋体" w:hAnsi="宋体"/>
                <w:bCs/>
                <w:color w:val="auto"/>
                <w:highlight w:val="none"/>
              </w:rPr>
            </w:pPr>
          </w:p>
        </w:tc>
      </w:tr>
      <w:tr w14:paraId="317B76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84B498">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E10F11B">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BF156E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9AE07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CACB3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2DA70CC">
            <w:pPr>
              <w:adjustRightInd w:val="0"/>
              <w:snapToGrid w:val="0"/>
              <w:jc w:val="center"/>
              <w:rPr>
                <w:rFonts w:ascii="宋体" w:hAnsi="宋体"/>
                <w:bCs/>
                <w:color w:val="auto"/>
                <w:highlight w:val="none"/>
              </w:rPr>
            </w:pPr>
          </w:p>
        </w:tc>
      </w:tr>
    </w:tbl>
    <w:p w14:paraId="65BF56D6">
      <w:pPr>
        <w:adjustRightInd w:val="0"/>
        <w:snapToGrid w:val="0"/>
        <w:spacing w:line="360" w:lineRule="auto"/>
        <w:rPr>
          <w:rFonts w:ascii="宋体" w:hAnsi="宋体"/>
          <w:bCs/>
          <w:color w:val="auto"/>
          <w:highlight w:val="none"/>
        </w:rPr>
      </w:pPr>
    </w:p>
    <w:p w14:paraId="16233EA2">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14:paraId="4FE3804C">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2）对招标文件中商务条款按上列格式逐条说明。</w:t>
      </w:r>
    </w:p>
    <w:p w14:paraId="0225A2B9">
      <w:pPr>
        <w:adjustRightInd w:val="0"/>
        <w:snapToGrid w:val="0"/>
        <w:spacing w:line="360" w:lineRule="auto"/>
        <w:rPr>
          <w:rFonts w:ascii="宋体" w:hAnsi="宋体"/>
          <w:b/>
          <w:bCs/>
          <w:color w:val="auto"/>
          <w:highlight w:val="none"/>
        </w:rPr>
      </w:pPr>
      <w:r>
        <w:rPr>
          <w:rFonts w:hint="eastAsia" w:ascii="宋体" w:hAnsi="宋体"/>
          <w:b/>
          <w:bCs/>
          <w:color w:val="auto"/>
          <w:highlight w:val="none"/>
        </w:rPr>
        <w:t>投标人声明：表中未列全的商务条款，我方均表示完全响应招标文件商务条款的所有要求。</w:t>
      </w:r>
    </w:p>
    <w:p w14:paraId="4C4239C8">
      <w:pPr>
        <w:adjustRightInd w:val="0"/>
        <w:snapToGrid w:val="0"/>
        <w:spacing w:line="360" w:lineRule="auto"/>
        <w:rPr>
          <w:rFonts w:ascii="宋体" w:hAnsi="宋体"/>
          <w:bCs/>
          <w:color w:val="auto"/>
          <w:highlight w:val="none"/>
        </w:rPr>
      </w:pPr>
    </w:p>
    <w:p w14:paraId="1DB8526B">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30D2E5E8">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207C7F58">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05D52930">
      <w:pPr>
        <w:pStyle w:val="3"/>
        <w:numPr>
          <w:ilvl w:val="0"/>
          <w:numId w:val="0"/>
        </w:numPr>
        <w:spacing w:line="400" w:lineRule="exact"/>
        <w:rPr>
          <w:color w:val="auto"/>
          <w:highlight w:val="none"/>
        </w:rPr>
      </w:pPr>
      <w:bookmarkStart w:id="1798" w:name="_Toc19901"/>
      <w:bookmarkStart w:id="1799" w:name="_Toc333935371"/>
      <w:bookmarkStart w:id="1800" w:name="_Toc333238659"/>
      <w:bookmarkStart w:id="1801" w:name="_Toc366072554"/>
      <w:bookmarkStart w:id="1802" w:name="_Toc343247125"/>
      <w:bookmarkStart w:id="1803" w:name="_Toc340677095"/>
      <w:bookmarkStart w:id="1804" w:name="_Toc331684067"/>
      <w:bookmarkStart w:id="1805" w:name="_Toc333935712"/>
      <w:bookmarkStart w:id="1806" w:name="_Toc342060400"/>
      <w:bookmarkStart w:id="1807" w:name="_Toc336681605"/>
      <w:bookmarkStart w:id="1808" w:name="_Toc339020120"/>
      <w:bookmarkStart w:id="1809" w:name="_Toc330460011"/>
      <w:bookmarkStart w:id="1810" w:name="_Toc343248443"/>
      <w:bookmarkStart w:id="1811" w:name="_Toc333237703"/>
      <w:bookmarkStart w:id="1812" w:name="_Toc339020040"/>
      <w:bookmarkStart w:id="1813" w:name="_Toc332270372"/>
      <w:bookmarkStart w:id="1814" w:name="_Toc333237814"/>
      <w:bookmarkStart w:id="1815" w:name="_Toc336681960"/>
      <w:bookmarkStart w:id="1816" w:name="_Toc342296786"/>
      <w:bookmarkStart w:id="1817" w:name="_Toc332206734"/>
      <w:bookmarkStart w:id="1818" w:name="_Toc365985203"/>
      <w:bookmarkStart w:id="1819" w:name="_Toc340672894"/>
      <w:bookmarkStart w:id="1820" w:name="_Toc341348365"/>
      <w:bookmarkStart w:id="1821" w:name="_Toc342398155"/>
      <w:bookmarkStart w:id="1822" w:name="_Toc339441112"/>
      <w:bookmarkStart w:id="1823" w:name="_Toc339362325"/>
      <w:bookmarkStart w:id="1824" w:name="_Toc331512926"/>
      <w:bookmarkStart w:id="1825" w:name="_Toc342312468"/>
      <w:bookmarkStart w:id="1826" w:name="_Toc350756475"/>
      <w:bookmarkStart w:id="1827" w:name="_Toc340507467"/>
      <w:bookmarkStart w:id="1828" w:name="_Toc365967097"/>
      <w:bookmarkStart w:id="1829" w:name="_Toc350438774"/>
      <w:bookmarkStart w:id="1830" w:name="_Toc337632383"/>
      <w:bookmarkStart w:id="1831" w:name="_Toc345312622"/>
      <w:bookmarkStart w:id="1832" w:name="_Toc339020258"/>
      <w:bookmarkStart w:id="1833" w:name="_Toc343612945"/>
      <w:bookmarkStart w:id="1834" w:name="_Toc339019914"/>
      <w:r>
        <w:rPr>
          <w:rFonts w:hint="eastAsia"/>
          <w:color w:val="auto"/>
          <w:highlight w:val="none"/>
        </w:rPr>
        <w:t>附件</w:t>
      </w:r>
      <w:r>
        <w:rPr>
          <w:rFonts w:hint="eastAsia"/>
          <w:color w:val="auto"/>
          <w:highlight w:val="none"/>
          <w:lang w:val="en-US" w:eastAsia="zh-CN"/>
        </w:rPr>
        <w:t>四</w:t>
      </w:r>
      <w:r>
        <w:rPr>
          <w:rFonts w:hint="eastAsia"/>
          <w:color w:val="auto"/>
          <w:highlight w:val="none"/>
        </w:rPr>
        <w:t>：技术条款偏离一览表</w:t>
      </w:r>
      <w:bookmarkEnd w:id="1798"/>
    </w:p>
    <w:p w14:paraId="7A343AFB">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highlight w:val="none"/>
        </w:rPr>
        <w:t xml:space="preserve">             </w:t>
      </w:r>
    </w:p>
    <w:p w14:paraId="5D538A79">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4D71A485">
      <w:pPr>
        <w:adjustRightInd w:val="0"/>
        <w:snapToGrid w:val="0"/>
        <w:spacing w:line="360" w:lineRule="auto"/>
        <w:ind w:left="1050" w:hanging="1050" w:hangingChars="500"/>
        <w:jc w:val="left"/>
        <w:rPr>
          <w:rFonts w:ascii="宋体" w:hAnsi="宋体"/>
          <w:b/>
          <w:bCs/>
          <w:caps/>
          <w:color w:val="auto"/>
          <w:highlight w:val="none"/>
          <w:u w:val="single"/>
        </w:rPr>
      </w:pPr>
      <w:r>
        <w:rPr>
          <w:rFonts w:hint="eastAsia" w:ascii="宋体" w:hAnsi="宋体"/>
          <w:bCs/>
          <w:color w:val="auto"/>
          <w:highlight w:val="none"/>
        </w:rPr>
        <w:t>项目名称：</w:t>
      </w:r>
      <w:r>
        <w:rPr>
          <w:rFonts w:hint="eastAsia"/>
          <w:color w:val="auto"/>
          <w:szCs w:val="21"/>
          <w:highlight w:val="none"/>
          <w:u w:val="single"/>
        </w:rPr>
        <w:t xml:space="preserve">                              </w:t>
      </w:r>
      <w:r>
        <w:rPr>
          <w:rFonts w:hint="eastAsia" w:ascii="宋体" w:hAnsi="宋体"/>
          <w:b/>
          <w:bCs/>
          <w:caps/>
          <w:color w:val="auto"/>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2727262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711630D">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8FD937C">
            <w:pPr>
              <w:adjustRightInd w:val="0"/>
              <w:snapToGrid w:val="0"/>
              <w:jc w:val="center"/>
              <w:rPr>
                <w:rFonts w:ascii="宋体" w:hAnsi="宋体"/>
                <w:bCs/>
                <w:color w:val="auto"/>
                <w:highlight w:val="none"/>
              </w:rPr>
            </w:pPr>
            <w:r>
              <w:rPr>
                <w:rFonts w:hint="eastAsia" w:ascii="宋体" w:hAnsi="宋体"/>
                <w:bCs/>
                <w:color w:val="auto"/>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06AE07F7">
            <w:pPr>
              <w:adjustRightInd w:val="0"/>
              <w:snapToGrid w:val="0"/>
              <w:jc w:val="center"/>
              <w:rPr>
                <w:rFonts w:ascii="宋体" w:hAnsi="宋体"/>
                <w:bCs/>
                <w:color w:val="auto"/>
                <w:highlight w:val="none"/>
              </w:rPr>
            </w:pPr>
            <w:r>
              <w:rPr>
                <w:rFonts w:hAnsi="宋体"/>
                <w:color w:val="auto"/>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110A95">
            <w:pPr>
              <w:adjustRightInd w:val="0"/>
              <w:snapToGrid w:val="0"/>
              <w:jc w:val="center"/>
              <w:rPr>
                <w:rFonts w:ascii="宋体" w:hAnsi="宋体"/>
                <w:bCs/>
                <w:color w:val="auto"/>
                <w:highlight w:val="none"/>
              </w:rPr>
            </w:pPr>
            <w:r>
              <w:rPr>
                <w:rFonts w:hint="eastAsia" w:ascii="宋体" w:hAnsi="宋体"/>
                <w:bCs/>
                <w:color w:val="auto"/>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2D35C8">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565DE22E">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CE3B51B">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7EBD9B3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17864A">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8598F7F">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8A671A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977F7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6385D7">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488FAE">
            <w:pPr>
              <w:adjustRightInd w:val="0"/>
              <w:snapToGrid w:val="0"/>
              <w:jc w:val="center"/>
              <w:rPr>
                <w:rFonts w:ascii="宋体" w:hAnsi="宋体"/>
                <w:bCs/>
                <w:color w:val="auto"/>
                <w:highlight w:val="none"/>
              </w:rPr>
            </w:pPr>
          </w:p>
        </w:tc>
      </w:tr>
      <w:tr w14:paraId="6C4114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565053">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6D4CC61">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1F9098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09B41A">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73CACD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C3E1E9">
            <w:pPr>
              <w:adjustRightInd w:val="0"/>
              <w:snapToGrid w:val="0"/>
              <w:jc w:val="center"/>
              <w:rPr>
                <w:rFonts w:ascii="宋体" w:hAnsi="宋体"/>
                <w:bCs/>
                <w:color w:val="auto"/>
                <w:highlight w:val="none"/>
              </w:rPr>
            </w:pPr>
          </w:p>
        </w:tc>
      </w:tr>
      <w:tr w14:paraId="72CAB65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E9B450">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C985A8">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2C9A3A">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A0F447">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AF805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B1C9EC">
            <w:pPr>
              <w:adjustRightInd w:val="0"/>
              <w:snapToGrid w:val="0"/>
              <w:jc w:val="center"/>
              <w:rPr>
                <w:rFonts w:ascii="宋体" w:hAnsi="宋体"/>
                <w:bCs/>
                <w:color w:val="auto"/>
                <w:highlight w:val="none"/>
              </w:rPr>
            </w:pPr>
          </w:p>
        </w:tc>
      </w:tr>
      <w:tr w14:paraId="170618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778801">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9185CA2">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1DB6EE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0F797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929B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7E27B3">
            <w:pPr>
              <w:adjustRightInd w:val="0"/>
              <w:snapToGrid w:val="0"/>
              <w:jc w:val="center"/>
              <w:rPr>
                <w:rFonts w:ascii="宋体" w:hAnsi="宋体"/>
                <w:bCs/>
                <w:color w:val="auto"/>
                <w:highlight w:val="none"/>
              </w:rPr>
            </w:pPr>
          </w:p>
        </w:tc>
      </w:tr>
      <w:tr w14:paraId="0E5673E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4A51C8F">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D05239">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01259C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227F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42EEA8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451C24A">
            <w:pPr>
              <w:adjustRightInd w:val="0"/>
              <w:snapToGrid w:val="0"/>
              <w:jc w:val="center"/>
              <w:rPr>
                <w:rFonts w:ascii="宋体" w:hAnsi="宋体"/>
                <w:bCs/>
                <w:color w:val="auto"/>
                <w:highlight w:val="none"/>
              </w:rPr>
            </w:pPr>
          </w:p>
        </w:tc>
      </w:tr>
      <w:tr w14:paraId="5A7C8B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B036E2E">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47504D">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BE83B1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EE558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996B5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70BECE">
            <w:pPr>
              <w:adjustRightInd w:val="0"/>
              <w:snapToGrid w:val="0"/>
              <w:jc w:val="center"/>
              <w:rPr>
                <w:rFonts w:ascii="宋体" w:hAnsi="宋体"/>
                <w:bCs/>
                <w:color w:val="auto"/>
                <w:highlight w:val="none"/>
              </w:rPr>
            </w:pPr>
          </w:p>
        </w:tc>
      </w:tr>
      <w:tr w14:paraId="20E2655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FD947D4">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8D27AFA">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B40EA4F">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DE68B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D1C8C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E8E22A">
            <w:pPr>
              <w:adjustRightInd w:val="0"/>
              <w:snapToGrid w:val="0"/>
              <w:jc w:val="center"/>
              <w:rPr>
                <w:rFonts w:ascii="宋体" w:hAnsi="宋体"/>
                <w:bCs/>
                <w:color w:val="auto"/>
                <w:highlight w:val="none"/>
              </w:rPr>
            </w:pPr>
          </w:p>
        </w:tc>
      </w:tr>
      <w:tr w14:paraId="06D8684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F00153C">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E790B57">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C0BA6B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D8594E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DDE1DD">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412503">
            <w:pPr>
              <w:adjustRightInd w:val="0"/>
              <w:snapToGrid w:val="0"/>
              <w:jc w:val="center"/>
              <w:rPr>
                <w:rFonts w:ascii="宋体" w:hAnsi="宋体"/>
                <w:bCs/>
                <w:color w:val="auto"/>
                <w:highlight w:val="none"/>
              </w:rPr>
            </w:pPr>
          </w:p>
        </w:tc>
      </w:tr>
      <w:tr w14:paraId="128459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2B26BF6">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1A36FC9">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1BBC93F">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4D198D">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39EB1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334E9E">
            <w:pPr>
              <w:adjustRightInd w:val="0"/>
              <w:snapToGrid w:val="0"/>
              <w:jc w:val="center"/>
              <w:rPr>
                <w:rFonts w:ascii="宋体" w:hAnsi="宋体"/>
                <w:bCs/>
                <w:color w:val="auto"/>
                <w:highlight w:val="none"/>
              </w:rPr>
            </w:pPr>
          </w:p>
        </w:tc>
      </w:tr>
      <w:tr w14:paraId="398AF4E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CA8E07">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C429C33">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77CFB5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AB5F8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5D313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FC6470">
            <w:pPr>
              <w:adjustRightInd w:val="0"/>
              <w:snapToGrid w:val="0"/>
              <w:jc w:val="center"/>
              <w:rPr>
                <w:rFonts w:ascii="宋体" w:hAnsi="宋体"/>
                <w:bCs/>
                <w:color w:val="auto"/>
                <w:highlight w:val="none"/>
              </w:rPr>
            </w:pPr>
          </w:p>
        </w:tc>
      </w:tr>
      <w:tr w14:paraId="6A69A23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86298">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D309865">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0C7C3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F72F9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D2E5B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95150D">
            <w:pPr>
              <w:adjustRightInd w:val="0"/>
              <w:snapToGrid w:val="0"/>
              <w:jc w:val="center"/>
              <w:rPr>
                <w:rFonts w:ascii="宋体" w:hAnsi="宋体"/>
                <w:bCs/>
                <w:color w:val="auto"/>
                <w:highlight w:val="none"/>
              </w:rPr>
            </w:pPr>
          </w:p>
        </w:tc>
      </w:tr>
      <w:tr w14:paraId="2EE882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5FCB477">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7F5751">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54165A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55FC99">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E3E60">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387114">
            <w:pPr>
              <w:adjustRightInd w:val="0"/>
              <w:snapToGrid w:val="0"/>
              <w:jc w:val="center"/>
              <w:rPr>
                <w:rFonts w:ascii="宋体" w:hAnsi="宋体"/>
                <w:bCs/>
                <w:color w:val="auto"/>
                <w:highlight w:val="none"/>
              </w:rPr>
            </w:pPr>
          </w:p>
        </w:tc>
      </w:tr>
      <w:tr w14:paraId="70D3F17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985870">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510349">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CFFB5B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9B84F1">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9A3249">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793062">
            <w:pPr>
              <w:adjustRightInd w:val="0"/>
              <w:snapToGrid w:val="0"/>
              <w:jc w:val="center"/>
              <w:rPr>
                <w:rFonts w:ascii="宋体" w:hAnsi="宋体"/>
                <w:bCs/>
                <w:color w:val="auto"/>
                <w:highlight w:val="none"/>
              </w:rPr>
            </w:pPr>
          </w:p>
        </w:tc>
      </w:tr>
      <w:tr w14:paraId="432874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D56437">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651DB3">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A477DF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C4C51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C5F8A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E9FEA4">
            <w:pPr>
              <w:adjustRightInd w:val="0"/>
              <w:snapToGrid w:val="0"/>
              <w:jc w:val="center"/>
              <w:rPr>
                <w:rFonts w:ascii="宋体" w:hAnsi="宋体"/>
                <w:bCs/>
                <w:color w:val="auto"/>
                <w:highlight w:val="none"/>
              </w:rPr>
            </w:pPr>
          </w:p>
        </w:tc>
      </w:tr>
      <w:tr w14:paraId="39B0577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A27EB82">
            <w:pPr>
              <w:adjustRightInd w:val="0"/>
              <w:snapToGrid w:val="0"/>
              <w:jc w:val="center"/>
              <w:rPr>
                <w:rFonts w:ascii="宋体" w:hAnsi="宋体"/>
                <w:bCs/>
                <w:color w:val="auto"/>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6EBEF6">
            <w:pPr>
              <w:adjustRightInd w:val="0"/>
              <w:snapToGrid w:val="0"/>
              <w:jc w:val="center"/>
              <w:rPr>
                <w:rFonts w:ascii="宋体" w:hAnsi="宋体"/>
                <w:bCs/>
                <w:color w:val="auto"/>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DC2E702">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9A2C32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317312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41FD8C">
            <w:pPr>
              <w:adjustRightInd w:val="0"/>
              <w:snapToGrid w:val="0"/>
              <w:jc w:val="center"/>
              <w:rPr>
                <w:rFonts w:ascii="宋体" w:hAnsi="宋体"/>
                <w:bCs/>
                <w:color w:val="auto"/>
                <w:highlight w:val="none"/>
              </w:rPr>
            </w:pPr>
          </w:p>
        </w:tc>
      </w:tr>
    </w:tbl>
    <w:p w14:paraId="681986C1">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说明：1）对“偏离”一栏，填写“无偏离、正偏离、负偏离”；</w:t>
      </w:r>
    </w:p>
    <w:p w14:paraId="63DA67AC">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2）对招标文件中技术条款按上列格式逐条说明。</w:t>
      </w:r>
    </w:p>
    <w:p w14:paraId="2C45E730">
      <w:pPr>
        <w:adjustRightInd w:val="0"/>
        <w:snapToGrid w:val="0"/>
        <w:spacing w:line="360" w:lineRule="auto"/>
        <w:ind w:firstLine="630" w:firstLineChars="300"/>
        <w:rPr>
          <w:rFonts w:ascii="宋体" w:hAnsi="宋体"/>
          <w:bCs/>
          <w:color w:val="auto"/>
          <w:highlight w:val="none"/>
        </w:rPr>
      </w:pPr>
    </w:p>
    <w:p w14:paraId="15DF7191">
      <w:pPr>
        <w:adjustRightInd w:val="0"/>
        <w:snapToGrid w:val="0"/>
        <w:spacing w:line="360" w:lineRule="auto"/>
        <w:rPr>
          <w:rFonts w:ascii="宋体" w:hAnsi="宋体"/>
          <w:b/>
          <w:bCs/>
          <w:color w:val="auto"/>
          <w:highlight w:val="none"/>
        </w:rPr>
      </w:pPr>
    </w:p>
    <w:p w14:paraId="0D880011">
      <w:pPr>
        <w:adjustRightInd w:val="0"/>
        <w:snapToGrid w:val="0"/>
        <w:spacing w:line="360" w:lineRule="auto"/>
        <w:rPr>
          <w:rFonts w:ascii="宋体" w:hAnsi="宋体"/>
          <w:b/>
          <w:bCs/>
          <w:color w:val="auto"/>
          <w:highlight w:val="none"/>
        </w:rPr>
      </w:pPr>
      <w:r>
        <w:rPr>
          <w:rFonts w:hint="eastAsia" w:ascii="宋体" w:hAnsi="宋体"/>
          <w:b/>
          <w:bCs/>
          <w:color w:val="auto"/>
          <w:highlight w:val="none"/>
        </w:rPr>
        <w:t>投标人声明：表中未列全的技术条款，我方均表示完全响应招标文件技术条款的所有要求。</w:t>
      </w:r>
    </w:p>
    <w:p w14:paraId="033E2EEF">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630A52B5">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51AB147D">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14:paraId="783A94D2">
      <w:pPr>
        <w:pStyle w:val="3"/>
        <w:numPr>
          <w:ilvl w:val="1"/>
          <w:numId w:val="0"/>
        </w:numPr>
        <w:spacing w:line="400" w:lineRule="exact"/>
        <w:rPr>
          <w:color w:val="auto"/>
          <w:highlight w:val="none"/>
        </w:rPr>
        <w:sectPr>
          <w:footerReference r:id="rId12" w:type="default"/>
          <w:pgSz w:w="11906" w:h="16838"/>
          <w:pgMar w:top="1474" w:right="1418" w:bottom="1474" w:left="1418" w:header="851" w:footer="850" w:gutter="0"/>
          <w:cols w:space="0" w:num="1"/>
          <w:titlePg/>
          <w:docGrid w:linePitch="312" w:charSpace="0"/>
        </w:sectPr>
      </w:pPr>
      <w:bookmarkStart w:id="1835" w:name="_Toc332206738"/>
      <w:bookmarkStart w:id="1836" w:name="_Toc336681609"/>
      <w:bookmarkStart w:id="1837" w:name="_Toc339020124"/>
      <w:bookmarkStart w:id="1838" w:name="_Toc331684071"/>
      <w:bookmarkStart w:id="1839" w:name="_Toc333237707"/>
      <w:bookmarkStart w:id="1840" w:name="_Toc340672898"/>
      <w:bookmarkStart w:id="1841" w:name="_Toc343612949"/>
      <w:bookmarkStart w:id="1842" w:name="_Toc333935716"/>
      <w:bookmarkStart w:id="1843" w:name="_Toc336681964"/>
      <w:bookmarkStart w:id="1844" w:name="_Toc339362329"/>
      <w:bookmarkStart w:id="1845" w:name="_Toc340677099"/>
      <w:bookmarkStart w:id="1846" w:name="_Toc365985210"/>
      <w:bookmarkStart w:id="1847" w:name="_Toc365967104"/>
      <w:bookmarkStart w:id="1848" w:name="_Toc366072561"/>
      <w:bookmarkStart w:id="1849" w:name="_Toc339019918"/>
      <w:bookmarkStart w:id="1850" w:name="_Toc339441116"/>
      <w:bookmarkStart w:id="1851" w:name="_Toc350756479"/>
      <w:bookmarkStart w:id="1852" w:name="_Toc339020262"/>
      <w:bookmarkStart w:id="1853" w:name="_Toc345312626"/>
      <w:bookmarkStart w:id="1854" w:name="_Toc342398159"/>
      <w:bookmarkStart w:id="1855" w:name="_Toc333237818"/>
      <w:bookmarkStart w:id="1856" w:name="_Toc330460015"/>
      <w:bookmarkStart w:id="1857" w:name="_Toc341348369"/>
      <w:bookmarkStart w:id="1858" w:name="_Toc333935375"/>
      <w:bookmarkStart w:id="1859" w:name="_Toc331512930"/>
      <w:bookmarkStart w:id="1860" w:name="_Toc337632387"/>
      <w:bookmarkStart w:id="1861" w:name="_Toc343247129"/>
      <w:bookmarkStart w:id="1862" w:name="_Toc339020044"/>
      <w:bookmarkStart w:id="1863" w:name="_Toc340507471"/>
      <w:bookmarkStart w:id="1864" w:name="_Toc332270376"/>
      <w:bookmarkStart w:id="1865" w:name="_Toc432695228"/>
      <w:bookmarkStart w:id="1866" w:name="_Toc342060404"/>
      <w:bookmarkStart w:id="1867" w:name="_Toc350438778"/>
      <w:bookmarkStart w:id="1868" w:name="_Toc333238663"/>
      <w:bookmarkStart w:id="1869" w:name="_Toc342312472"/>
      <w:bookmarkStart w:id="1870" w:name="_Toc342296790"/>
      <w:bookmarkStart w:id="1871" w:name="_Toc343248447"/>
    </w:p>
    <w:p w14:paraId="4E28BAA0">
      <w:pPr>
        <w:pStyle w:val="3"/>
        <w:numPr>
          <w:ilvl w:val="1"/>
          <w:numId w:val="0"/>
        </w:numPr>
        <w:spacing w:line="400" w:lineRule="exact"/>
        <w:rPr>
          <w:color w:val="auto"/>
          <w:highlight w:val="none"/>
        </w:rPr>
      </w:pPr>
      <w:bookmarkStart w:id="1872" w:name="_Toc18482"/>
      <w:r>
        <w:rPr>
          <w:rFonts w:hint="eastAsia"/>
          <w:color w:val="auto"/>
          <w:highlight w:val="none"/>
        </w:rPr>
        <w:t>附件</w:t>
      </w:r>
      <w:r>
        <w:rPr>
          <w:rFonts w:hint="eastAsia"/>
          <w:color w:val="auto"/>
          <w:highlight w:val="none"/>
          <w:lang w:val="en-US" w:eastAsia="zh-CN"/>
        </w:rPr>
        <w:t>五</w:t>
      </w:r>
      <w:r>
        <w:rPr>
          <w:rFonts w:hint="eastAsia"/>
          <w:color w:val="auto"/>
          <w:highlight w:val="none"/>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14:paraId="16B839FE">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14:paraId="2BBE283D">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6844E93A">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196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698C5E8">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序号</w:t>
            </w:r>
          </w:p>
        </w:tc>
        <w:tc>
          <w:tcPr>
            <w:tcW w:w="1215" w:type="dxa"/>
            <w:vAlign w:val="center"/>
          </w:tcPr>
          <w:p w14:paraId="4A1AC0B1">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项目名称</w:t>
            </w:r>
          </w:p>
        </w:tc>
        <w:tc>
          <w:tcPr>
            <w:tcW w:w="1267" w:type="dxa"/>
            <w:vAlign w:val="center"/>
          </w:tcPr>
          <w:p w14:paraId="52E4CB03">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内容</w:t>
            </w:r>
          </w:p>
        </w:tc>
        <w:tc>
          <w:tcPr>
            <w:tcW w:w="1117" w:type="dxa"/>
            <w:vAlign w:val="center"/>
          </w:tcPr>
          <w:p w14:paraId="5377C0C2">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数量</w:t>
            </w:r>
          </w:p>
        </w:tc>
        <w:tc>
          <w:tcPr>
            <w:tcW w:w="1400" w:type="dxa"/>
            <w:vAlign w:val="center"/>
          </w:tcPr>
          <w:p w14:paraId="50F47B06">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中标金额（元）</w:t>
            </w:r>
          </w:p>
        </w:tc>
        <w:tc>
          <w:tcPr>
            <w:tcW w:w="1233" w:type="dxa"/>
            <w:vAlign w:val="center"/>
          </w:tcPr>
          <w:p w14:paraId="00F486FE">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完成日期</w:t>
            </w:r>
          </w:p>
        </w:tc>
        <w:tc>
          <w:tcPr>
            <w:tcW w:w="1183" w:type="dxa"/>
            <w:vAlign w:val="center"/>
          </w:tcPr>
          <w:p w14:paraId="151BD62B">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用户单位</w:t>
            </w:r>
          </w:p>
        </w:tc>
        <w:tc>
          <w:tcPr>
            <w:tcW w:w="1220" w:type="dxa"/>
            <w:vAlign w:val="center"/>
          </w:tcPr>
          <w:p w14:paraId="2096D9FB">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联系电话</w:t>
            </w:r>
          </w:p>
        </w:tc>
        <w:tc>
          <w:tcPr>
            <w:tcW w:w="817" w:type="dxa"/>
            <w:vAlign w:val="center"/>
          </w:tcPr>
          <w:p w14:paraId="7366FA01">
            <w:pPr>
              <w:pStyle w:val="4"/>
              <w:snapToGrid w:val="0"/>
              <w:ind w:firstLine="0"/>
              <w:jc w:val="center"/>
              <w:rPr>
                <w:rFonts w:hAnsi="宋体"/>
                <w:bCs/>
                <w:color w:val="auto"/>
                <w:kern w:val="2"/>
                <w:sz w:val="21"/>
                <w:szCs w:val="24"/>
                <w:highlight w:val="none"/>
              </w:rPr>
            </w:pPr>
            <w:r>
              <w:rPr>
                <w:rFonts w:hint="eastAsia" w:hAnsi="宋体"/>
                <w:bCs/>
                <w:color w:val="auto"/>
                <w:kern w:val="2"/>
                <w:sz w:val="21"/>
                <w:szCs w:val="24"/>
                <w:highlight w:val="none"/>
              </w:rPr>
              <w:t>备注</w:t>
            </w:r>
          </w:p>
        </w:tc>
      </w:tr>
      <w:tr w14:paraId="45E0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3A5711">
            <w:pPr>
              <w:pStyle w:val="4"/>
              <w:snapToGrid w:val="0"/>
              <w:ind w:firstLine="0"/>
              <w:jc w:val="center"/>
              <w:rPr>
                <w:rFonts w:hAnsi="宋体"/>
                <w:bCs/>
                <w:color w:val="auto"/>
                <w:kern w:val="2"/>
                <w:sz w:val="21"/>
                <w:szCs w:val="24"/>
                <w:highlight w:val="none"/>
              </w:rPr>
            </w:pPr>
          </w:p>
        </w:tc>
        <w:tc>
          <w:tcPr>
            <w:tcW w:w="1215" w:type="dxa"/>
            <w:vAlign w:val="center"/>
          </w:tcPr>
          <w:p w14:paraId="313256FE">
            <w:pPr>
              <w:pStyle w:val="4"/>
              <w:snapToGrid w:val="0"/>
              <w:ind w:firstLine="0"/>
              <w:jc w:val="center"/>
              <w:rPr>
                <w:rFonts w:hAnsi="宋体"/>
                <w:bCs/>
                <w:color w:val="auto"/>
                <w:kern w:val="2"/>
                <w:sz w:val="21"/>
                <w:szCs w:val="24"/>
                <w:highlight w:val="none"/>
              </w:rPr>
            </w:pPr>
          </w:p>
        </w:tc>
        <w:tc>
          <w:tcPr>
            <w:tcW w:w="1267" w:type="dxa"/>
            <w:vAlign w:val="center"/>
          </w:tcPr>
          <w:p w14:paraId="673E6732">
            <w:pPr>
              <w:pStyle w:val="4"/>
              <w:snapToGrid w:val="0"/>
              <w:jc w:val="center"/>
              <w:rPr>
                <w:rFonts w:hAnsi="宋体"/>
                <w:bCs/>
                <w:color w:val="auto"/>
                <w:kern w:val="2"/>
                <w:sz w:val="21"/>
                <w:szCs w:val="24"/>
                <w:highlight w:val="none"/>
              </w:rPr>
            </w:pPr>
          </w:p>
        </w:tc>
        <w:tc>
          <w:tcPr>
            <w:tcW w:w="1117" w:type="dxa"/>
            <w:vAlign w:val="center"/>
          </w:tcPr>
          <w:p w14:paraId="77244539">
            <w:pPr>
              <w:pStyle w:val="4"/>
              <w:snapToGrid w:val="0"/>
              <w:ind w:firstLine="0"/>
              <w:jc w:val="center"/>
              <w:rPr>
                <w:rFonts w:hAnsi="宋体"/>
                <w:bCs/>
                <w:color w:val="auto"/>
                <w:kern w:val="2"/>
                <w:sz w:val="21"/>
                <w:szCs w:val="24"/>
                <w:highlight w:val="none"/>
              </w:rPr>
            </w:pPr>
          </w:p>
        </w:tc>
        <w:tc>
          <w:tcPr>
            <w:tcW w:w="1400" w:type="dxa"/>
            <w:vAlign w:val="center"/>
          </w:tcPr>
          <w:p w14:paraId="482ABAD0">
            <w:pPr>
              <w:pStyle w:val="4"/>
              <w:snapToGrid w:val="0"/>
              <w:jc w:val="center"/>
              <w:rPr>
                <w:rFonts w:hAnsi="宋体"/>
                <w:bCs/>
                <w:color w:val="auto"/>
                <w:kern w:val="2"/>
                <w:sz w:val="21"/>
                <w:szCs w:val="24"/>
                <w:highlight w:val="none"/>
              </w:rPr>
            </w:pPr>
          </w:p>
        </w:tc>
        <w:tc>
          <w:tcPr>
            <w:tcW w:w="1233" w:type="dxa"/>
            <w:vAlign w:val="center"/>
          </w:tcPr>
          <w:p w14:paraId="3794E8AE">
            <w:pPr>
              <w:pStyle w:val="4"/>
              <w:snapToGrid w:val="0"/>
              <w:jc w:val="center"/>
              <w:rPr>
                <w:rFonts w:hAnsi="宋体"/>
                <w:bCs/>
                <w:color w:val="auto"/>
                <w:kern w:val="2"/>
                <w:sz w:val="21"/>
                <w:szCs w:val="24"/>
                <w:highlight w:val="none"/>
              </w:rPr>
            </w:pPr>
          </w:p>
        </w:tc>
        <w:tc>
          <w:tcPr>
            <w:tcW w:w="1183" w:type="dxa"/>
            <w:vAlign w:val="center"/>
          </w:tcPr>
          <w:p w14:paraId="0AD53E1E">
            <w:pPr>
              <w:pStyle w:val="4"/>
              <w:snapToGrid w:val="0"/>
              <w:jc w:val="center"/>
              <w:rPr>
                <w:rFonts w:hAnsi="宋体"/>
                <w:bCs/>
                <w:color w:val="auto"/>
                <w:kern w:val="2"/>
                <w:sz w:val="21"/>
                <w:szCs w:val="24"/>
                <w:highlight w:val="none"/>
              </w:rPr>
            </w:pPr>
          </w:p>
        </w:tc>
        <w:tc>
          <w:tcPr>
            <w:tcW w:w="1220" w:type="dxa"/>
            <w:vAlign w:val="center"/>
          </w:tcPr>
          <w:p w14:paraId="48EC7E88">
            <w:pPr>
              <w:pStyle w:val="4"/>
              <w:snapToGrid w:val="0"/>
              <w:jc w:val="center"/>
              <w:rPr>
                <w:rFonts w:hAnsi="宋体"/>
                <w:bCs/>
                <w:color w:val="auto"/>
                <w:kern w:val="2"/>
                <w:sz w:val="21"/>
                <w:szCs w:val="24"/>
                <w:highlight w:val="none"/>
              </w:rPr>
            </w:pPr>
          </w:p>
        </w:tc>
        <w:tc>
          <w:tcPr>
            <w:tcW w:w="817" w:type="dxa"/>
            <w:vAlign w:val="center"/>
          </w:tcPr>
          <w:p w14:paraId="11822815">
            <w:pPr>
              <w:pStyle w:val="4"/>
              <w:snapToGrid w:val="0"/>
              <w:jc w:val="center"/>
              <w:rPr>
                <w:rFonts w:hAnsi="宋体"/>
                <w:bCs/>
                <w:color w:val="auto"/>
                <w:kern w:val="2"/>
                <w:sz w:val="21"/>
                <w:szCs w:val="24"/>
                <w:highlight w:val="none"/>
              </w:rPr>
            </w:pPr>
          </w:p>
        </w:tc>
      </w:tr>
      <w:tr w14:paraId="6FA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0495FCF">
            <w:pPr>
              <w:pStyle w:val="4"/>
              <w:snapToGrid w:val="0"/>
              <w:jc w:val="center"/>
              <w:rPr>
                <w:rFonts w:hAnsi="宋体"/>
                <w:bCs/>
                <w:color w:val="auto"/>
                <w:kern w:val="2"/>
                <w:sz w:val="21"/>
                <w:szCs w:val="24"/>
                <w:highlight w:val="none"/>
              </w:rPr>
            </w:pPr>
          </w:p>
        </w:tc>
        <w:tc>
          <w:tcPr>
            <w:tcW w:w="1215" w:type="dxa"/>
            <w:vAlign w:val="center"/>
          </w:tcPr>
          <w:p w14:paraId="07AD3BD1">
            <w:pPr>
              <w:pStyle w:val="4"/>
              <w:snapToGrid w:val="0"/>
              <w:jc w:val="center"/>
              <w:rPr>
                <w:rFonts w:hAnsi="宋体"/>
                <w:bCs/>
                <w:color w:val="auto"/>
                <w:kern w:val="2"/>
                <w:sz w:val="21"/>
                <w:szCs w:val="24"/>
                <w:highlight w:val="none"/>
              </w:rPr>
            </w:pPr>
          </w:p>
        </w:tc>
        <w:tc>
          <w:tcPr>
            <w:tcW w:w="1267" w:type="dxa"/>
            <w:vAlign w:val="center"/>
          </w:tcPr>
          <w:p w14:paraId="705B3E07">
            <w:pPr>
              <w:pStyle w:val="4"/>
              <w:snapToGrid w:val="0"/>
              <w:jc w:val="center"/>
              <w:rPr>
                <w:rFonts w:hAnsi="宋体"/>
                <w:bCs/>
                <w:color w:val="auto"/>
                <w:kern w:val="2"/>
                <w:sz w:val="21"/>
                <w:szCs w:val="24"/>
                <w:highlight w:val="none"/>
              </w:rPr>
            </w:pPr>
          </w:p>
        </w:tc>
        <w:tc>
          <w:tcPr>
            <w:tcW w:w="1117" w:type="dxa"/>
            <w:vAlign w:val="center"/>
          </w:tcPr>
          <w:p w14:paraId="6A3CB8E7">
            <w:pPr>
              <w:pStyle w:val="4"/>
              <w:snapToGrid w:val="0"/>
              <w:jc w:val="center"/>
              <w:rPr>
                <w:rFonts w:hAnsi="宋体"/>
                <w:bCs/>
                <w:color w:val="auto"/>
                <w:kern w:val="2"/>
                <w:sz w:val="21"/>
                <w:szCs w:val="24"/>
                <w:highlight w:val="none"/>
              </w:rPr>
            </w:pPr>
          </w:p>
        </w:tc>
        <w:tc>
          <w:tcPr>
            <w:tcW w:w="1400" w:type="dxa"/>
            <w:vAlign w:val="center"/>
          </w:tcPr>
          <w:p w14:paraId="05C77EAA">
            <w:pPr>
              <w:pStyle w:val="4"/>
              <w:snapToGrid w:val="0"/>
              <w:jc w:val="center"/>
              <w:rPr>
                <w:rFonts w:hAnsi="宋体"/>
                <w:bCs/>
                <w:color w:val="auto"/>
                <w:kern w:val="2"/>
                <w:sz w:val="21"/>
                <w:szCs w:val="24"/>
                <w:highlight w:val="none"/>
              </w:rPr>
            </w:pPr>
          </w:p>
        </w:tc>
        <w:tc>
          <w:tcPr>
            <w:tcW w:w="1233" w:type="dxa"/>
            <w:vAlign w:val="center"/>
          </w:tcPr>
          <w:p w14:paraId="3F808360">
            <w:pPr>
              <w:pStyle w:val="4"/>
              <w:snapToGrid w:val="0"/>
              <w:jc w:val="center"/>
              <w:rPr>
                <w:rFonts w:hAnsi="宋体"/>
                <w:bCs/>
                <w:color w:val="auto"/>
                <w:kern w:val="2"/>
                <w:sz w:val="21"/>
                <w:szCs w:val="24"/>
                <w:highlight w:val="none"/>
              </w:rPr>
            </w:pPr>
          </w:p>
        </w:tc>
        <w:tc>
          <w:tcPr>
            <w:tcW w:w="1183" w:type="dxa"/>
            <w:vAlign w:val="center"/>
          </w:tcPr>
          <w:p w14:paraId="4D910777">
            <w:pPr>
              <w:pStyle w:val="4"/>
              <w:snapToGrid w:val="0"/>
              <w:jc w:val="center"/>
              <w:rPr>
                <w:rFonts w:hAnsi="宋体"/>
                <w:bCs/>
                <w:color w:val="auto"/>
                <w:kern w:val="2"/>
                <w:sz w:val="21"/>
                <w:szCs w:val="24"/>
                <w:highlight w:val="none"/>
              </w:rPr>
            </w:pPr>
          </w:p>
        </w:tc>
        <w:tc>
          <w:tcPr>
            <w:tcW w:w="1220" w:type="dxa"/>
            <w:vAlign w:val="center"/>
          </w:tcPr>
          <w:p w14:paraId="7072131C">
            <w:pPr>
              <w:pStyle w:val="4"/>
              <w:snapToGrid w:val="0"/>
              <w:jc w:val="center"/>
              <w:rPr>
                <w:rFonts w:hAnsi="宋体"/>
                <w:bCs/>
                <w:color w:val="auto"/>
                <w:kern w:val="2"/>
                <w:sz w:val="21"/>
                <w:szCs w:val="24"/>
                <w:highlight w:val="none"/>
              </w:rPr>
            </w:pPr>
          </w:p>
        </w:tc>
        <w:tc>
          <w:tcPr>
            <w:tcW w:w="817" w:type="dxa"/>
            <w:vAlign w:val="center"/>
          </w:tcPr>
          <w:p w14:paraId="230EC135">
            <w:pPr>
              <w:pStyle w:val="4"/>
              <w:snapToGrid w:val="0"/>
              <w:jc w:val="center"/>
              <w:rPr>
                <w:rFonts w:hAnsi="宋体"/>
                <w:bCs/>
                <w:color w:val="auto"/>
                <w:kern w:val="2"/>
                <w:sz w:val="21"/>
                <w:szCs w:val="24"/>
                <w:highlight w:val="none"/>
              </w:rPr>
            </w:pPr>
          </w:p>
        </w:tc>
      </w:tr>
      <w:tr w14:paraId="64AD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1A9E41">
            <w:pPr>
              <w:pStyle w:val="4"/>
              <w:snapToGrid w:val="0"/>
              <w:jc w:val="center"/>
              <w:rPr>
                <w:rFonts w:hAnsi="宋体"/>
                <w:bCs/>
                <w:color w:val="auto"/>
                <w:kern w:val="2"/>
                <w:sz w:val="21"/>
                <w:szCs w:val="24"/>
                <w:highlight w:val="none"/>
              </w:rPr>
            </w:pPr>
          </w:p>
        </w:tc>
        <w:tc>
          <w:tcPr>
            <w:tcW w:w="1215" w:type="dxa"/>
            <w:vAlign w:val="center"/>
          </w:tcPr>
          <w:p w14:paraId="39E72C54">
            <w:pPr>
              <w:pStyle w:val="4"/>
              <w:snapToGrid w:val="0"/>
              <w:jc w:val="center"/>
              <w:rPr>
                <w:rFonts w:hAnsi="宋体"/>
                <w:bCs/>
                <w:color w:val="auto"/>
                <w:kern w:val="2"/>
                <w:sz w:val="21"/>
                <w:szCs w:val="24"/>
                <w:highlight w:val="none"/>
              </w:rPr>
            </w:pPr>
          </w:p>
        </w:tc>
        <w:tc>
          <w:tcPr>
            <w:tcW w:w="1267" w:type="dxa"/>
            <w:vAlign w:val="center"/>
          </w:tcPr>
          <w:p w14:paraId="5107BB28">
            <w:pPr>
              <w:pStyle w:val="4"/>
              <w:snapToGrid w:val="0"/>
              <w:jc w:val="center"/>
              <w:rPr>
                <w:rFonts w:hAnsi="宋体"/>
                <w:bCs/>
                <w:color w:val="auto"/>
                <w:kern w:val="2"/>
                <w:sz w:val="21"/>
                <w:szCs w:val="24"/>
                <w:highlight w:val="none"/>
              </w:rPr>
            </w:pPr>
          </w:p>
        </w:tc>
        <w:tc>
          <w:tcPr>
            <w:tcW w:w="1117" w:type="dxa"/>
            <w:vAlign w:val="center"/>
          </w:tcPr>
          <w:p w14:paraId="7CF3FE83">
            <w:pPr>
              <w:pStyle w:val="4"/>
              <w:snapToGrid w:val="0"/>
              <w:jc w:val="center"/>
              <w:rPr>
                <w:rFonts w:hAnsi="宋体"/>
                <w:bCs/>
                <w:color w:val="auto"/>
                <w:kern w:val="2"/>
                <w:sz w:val="21"/>
                <w:szCs w:val="24"/>
                <w:highlight w:val="none"/>
              </w:rPr>
            </w:pPr>
          </w:p>
        </w:tc>
        <w:tc>
          <w:tcPr>
            <w:tcW w:w="1400" w:type="dxa"/>
            <w:vAlign w:val="center"/>
          </w:tcPr>
          <w:p w14:paraId="59D9B8CF">
            <w:pPr>
              <w:pStyle w:val="4"/>
              <w:snapToGrid w:val="0"/>
              <w:jc w:val="center"/>
              <w:rPr>
                <w:rFonts w:hAnsi="宋体"/>
                <w:bCs/>
                <w:color w:val="auto"/>
                <w:kern w:val="2"/>
                <w:sz w:val="21"/>
                <w:szCs w:val="24"/>
                <w:highlight w:val="none"/>
              </w:rPr>
            </w:pPr>
          </w:p>
        </w:tc>
        <w:tc>
          <w:tcPr>
            <w:tcW w:w="1233" w:type="dxa"/>
            <w:vAlign w:val="center"/>
          </w:tcPr>
          <w:p w14:paraId="095A5601">
            <w:pPr>
              <w:pStyle w:val="4"/>
              <w:snapToGrid w:val="0"/>
              <w:jc w:val="center"/>
              <w:rPr>
                <w:rFonts w:hAnsi="宋体"/>
                <w:bCs/>
                <w:color w:val="auto"/>
                <w:kern w:val="2"/>
                <w:sz w:val="21"/>
                <w:szCs w:val="24"/>
                <w:highlight w:val="none"/>
              </w:rPr>
            </w:pPr>
          </w:p>
        </w:tc>
        <w:tc>
          <w:tcPr>
            <w:tcW w:w="1183" w:type="dxa"/>
            <w:vAlign w:val="center"/>
          </w:tcPr>
          <w:p w14:paraId="1EB5E871">
            <w:pPr>
              <w:pStyle w:val="4"/>
              <w:snapToGrid w:val="0"/>
              <w:jc w:val="center"/>
              <w:rPr>
                <w:rFonts w:hAnsi="宋体"/>
                <w:bCs/>
                <w:color w:val="auto"/>
                <w:kern w:val="2"/>
                <w:sz w:val="21"/>
                <w:szCs w:val="24"/>
                <w:highlight w:val="none"/>
              </w:rPr>
            </w:pPr>
          </w:p>
        </w:tc>
        <w:tc>
          <w:tcPr>
            <w:tcW w:w="1220" w:type="dxa"/>
            <w:vAlign w:val="center"/>
          </w:tcPr>
          <w:p w14:paraId="48E0043A">
            <w:pPr>
              <w:pStyle w:val="4"/>
              <w:snapToGrid w:val="0"/>
              <w:jc w:val="center"/>
              <w:rPr>
                <w:rFonts w:hAnsi="宋体"/>
                <w:bCs/>
                <w:color w:val="auto"/>
                <w:kern w:val="2"/>
                <w:sz w:val="21"/>
                <w:szCs w:val="24"/>
                <w:highlight w:val="none"/>
              </w:rPr>
            </w:pPr>
          </w:p>
        </w:tc>
        <w:tc>
          <w:tcPr>
            <w:tcW w:w="817" w:type="dxa"/>
            <w:vAlign w:val="center"/>
          </w:tcPr>
          <w:p w14:paraId="5F4D873C">
            <w:pPr>
              <w:pStyle w:val="4"/>
              <w:snapToGrid w:val="0"/>
              <w:jc w:val="center"/>
              <w:rPr>
                <w:rFonts w:hAnsi="宋体"/>
                <w:bCs/>
                <w:color w:val="auto"/>
                <w:kern w:val="2"/>
                <w:sz w:val="21"/>
                <w:szCs w:val="24"/>
                <w:highlight w:val="none"/>
              </w:rPr>
            </w:pPr>
          </w:p>
        </w:tc>
      </w:tr>
      <w:tr w14:paraId="54E6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972A3C">
            <w:pPr>
              <w:pStyle w:val="4"/>
              <w:snapToGrid w:val="0"/>
              <w:jc w:val="center"/>
              <w:rPr>
                <w:rFonts w:hAnsi="宋体"/>
                <w:bCs/>
                <w:color w:val="auto"/>
                <w:kern w:val="2"/>
                <w:sz w:val="21"/>
                <w:szCs w:val="24"/>
                <w:highlight w:val="none"/>
              </w:rPr>
            </w:pPr>
          </w:p>
        </w:tc>
        <w:tc>
          <w:tcPr>
            <w:tcW w:w="1215" w:type="dxa"/>
            <w:vAlign w:val="center"/>
          </w:tcPr>
          <w:p w14:paraId="195F4B30">
            <w:pPr>
              <w:pStyle w:val="4"/>
              <w:snapToGrid w:val="0"/>
              <w:jc w:val="center"/>
              <w:rPr>
                <w:rFonts w:hAnsi="宋体"/>
                <w:bCs/>
                <w:color w:val="auto"/>
                <w:kern w:val="2"/>
                <w:sz w:val="21"/>
                <w:szCs w:val="24"/>
                <w:highlight w:val="none"/>
              </w:rPr>
            </w:pPr>
          </w:p>
        </w:tc>
        <w:tc>
          <w:tcPr>
            <w:tcW w:w="1267" w:type="dxa"/>
            <w:vAlign w:val="center"/>
          </w:tcPr>
          <w:p w14:paraId="2ED68ECD">
            <w:pPr>
              <w:pStyle w:val="4"/>
              <w:snapToGrid w:val="0"/>
              <w:jc w:val="center"/>
              <w:rPr>
                <w:rFonts w:hAnsi="宋体"/>
                <w:bCs/>
                <w:color w:val="auto"/>
                <w:kern w:val="2"/>
                <w:sz w:val="21"/>
                <w:szCs w:val="24"/>
                <w:highlight w:val="none"/>
              </w:rPr>
            </w:pPr>
          </w:p>
        </w:tc>
        <w:tc>
          <w:tcPr>
            <w:tcW w:w="1117" w:type="dxa"/>
            <w:vAlign w:val="center"/>
          </w:tcPr>
          <w:p w14:paraId="04BB8F7D">
            <w:pPr>
              <w:pStyle w:val="4"/>
              <w:snapToGrid w:val="0"/>
              <w:jc w:val="center"/>
              <w:rPr>
                <w:rFonts w:hAnsi="宋体"/>
                <w:bCs/>
                <w:color w:val="auto"/>
                <w:kern w:val="2"/>
                <w:sz w:val="21"/>
                <w:szCs w:val="24"/>
                <w:highlight w:val="none"/>
              </w:rPr>
            </w:pPr>
          </w:p>
        </w:tc>
        <w:tc>
          <w:tcPr>
            <w:tcW w:w="1400" w:type="dxa"/>
            <w:vAlign w:val="center"/>
          </w:tcPr>
          <w:p w14:paraId="6D4B2531">
            <w:pPr>
              <w:pStyle w:val="4"/>
              <w:snapToGrid w:val="0"/>
              <w:jc w:val="center"/>
              <w:rPr>
                <w:rFonts w:hAnsi="宋体"/>
                <w:bCs/>
                <w:color w:val="auto"/>
                <w:kern w:val="2"/>
                <w:sz w:val="21"/>
                <w:szCs w:val="24"/>
                <w:highlight w:val="none"/>
              </w:rPr>
            </w:pPr>
          </w:p>
        </w:tc>
        <w:tc>
          <w:tcPr>
            <w:tcW w:w="1233" w:type="dxa"/>
            <w:vAlign w:val="center"/>
          </w:tcPr>
          <w:p w14:paraId="7136C08F">
            <w:pPr>
              <w:pStyle w:val="4"/>
              <w:snapToGrid w:val="0"/>
              <w:jc w:val="center"/>
              <w:rPr>
                <w:rFonts w:hAnsi="宋体"/>
                <w:bCs/>
                <w:color w:val="auto"/>
                <w:kern w:val="2"/>
                <w:sz w:val="21"/>
                <w:szCs w:val="24"/>
                <w:highlight w:val="none"/>
              </w:rPr>
            </w:pPr>
          </w:p>
        </w:tc>
        <w:tc>
          <w:tcPr>
            <w:tcW w:w="1183" w:type="dxa"/>
            <w:vAlign w:val="center"/>
          </w:tcPr>
          <w:p w14:paraId="78C46A6F">
            <w:pPr>
              <w:pStyle w:val="4"/>
              <w:snapToGrid w:val="0"/>
              <w:jc w:val="center"/>
              <w:rPr>
                <w:rFonts w:hAnsi="宋体"/>
                <w:bCs/>
                <w:color w:val="auto"/>
                <w:kern w:val="2"/>
                <w:sz w:val="21"/>
                <w:szCs w:val="24"/>
                <w:highlight w:val="none"/>
              </w:rPr>
            </w:pPr>
          </w:p>
        </w:tc>
        <w:tc>
          <w:tcPr>
            <w:tcW w:w="1220" w:type="dxa"/>
            <w:vAlign w:val="center"/>
          </w:tcPr>
          <w:p w14:paraId="24362639">
            <w:pPr>
              <w:pStyle w:val="4"/>
              <w:snapToGrid w:val="0"/>
              <w:jc w:val="center"/>
              <w:rPr>
                <w:rFonts w:hAnsi="宋体"/>
                <w:bCs/>
                <w:color w:val="auto"/>
                <w:kern w:val="2"/>
                <w:sz w:val="21"/>
                <w:szCs w:val="24"/>
                <w:highlight w:val="none"/>
              </w:rPr>
            </w:pPr>
          </w:p>
        </w:tc>
        <w:tc>
          <w:tcPr>
            <w:tcW w:w="817" w:type="dxa"/>
            <w:vAlign w:val="center"/>
          </w:tcPr>
          <w:p w14:paraId="46BB52B2">
            <w:pPr>
              <w:pStyle w:val="4"/>
              <w:snapToGrid w:val="0"/>
              <w:jc w:val="center"/>
              <w:rPr>
                <w:rFonts w:hAnsi="宋体"/>
                <w:bCs/>
                <w:color w:val="auto"/>
                <w:kern w:val="2"/>
                <w:sz w:val="21"/>
                <w:szCs w:val="24"/>
                <w:highlight w:val="none"/>
              </w:rPr>
            </w:pPr>
          </w:p>
        </w:tc>
      </w:tr>
      <w:tr w14:paraId="061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D7A8AC">
            <w:pPr>
              <w:pStyle w:val="4"/>
              <w:snapToGrid w:val="0"/>
              <w:jc w:val="center"/>
              <w:rPr>
                <w:rFonts w:hAnsi="宋体"/>
                <w:bCs/>
                <w:color w:val="auto"/>
                <w:kern w:val="2"/>
                <w:sz w:val="21"/>
                <w:szCs w:val="24"/>
                <w:highlight w:val="none"/>
              </w:rPr>
            </w:pPr>
          </w:p>
        </w:tc>
        <w:tc>
          <w:tcPr>
            <w:tcW w:w="1215" w:type="dxa"/>
            <w:vAlign w:val="center"/>
          </w:tcPr>
          <w:p w14:paraId="1A86EB5E">
            <w:pPr>
              <w:pStyle w:val="4"/>
              <w:snapToGrid w:val="0"/>
              <w:jc w:val="center"/>
              <w:rPr>
                <w:rFonts w:hAnsi="宋体"/>
                <w:bCs/>
                <w:color w:val="auto"/>
                <w:kern w:val="2"/>
                <w:sz w:val="21"/>
                <w:szCs w:val="24"/>
                <w:highlight w:val="none"/>
              </w:rPr>
            </w:pPr>
          </w:p>
        </w:tc>
        <w:tc>
          <w:tcPr>
            <w:tcW w:w="1267" w:type="dxa"/>
            <w:vAlign w:val="center"/>
          </w:tcPr>
          <w:p w14:paraId="3DFFD87E">
            <w:pPr>
              <w:pStyle w:val="4"/>
              <w:snapToGrid w:val="0"/>
              <w:jc w:val="center"/>
              <w:rPr>
                <w:rFonts w:hAnsi="宋体"/>
                <w:bCs/>
                <w:color w:val="auto"/>
                <w:kern w:val="2"/>
                <w:sz w:val="21"/>
                <w:szCs w:val="24"/>
                <w:highlight w:val="none"/>
              </w:rPr>
            </w:pPr>
          </w:p>
        </w:tc>
        <w:tc>
          <w:tcPr>
            <w:tcW w:w="1117" w:type="dxa"/>
            <w:vAlign w:val="center"/>
          </w:tcPr>
          <w:p w14:paraId="5C7417C6">
            <w:pPr>
              <w:pStyle w:val="4"/>
              <w:snapToGrid w:val="0"/>
              <w:jc w:val="center"/>
              <w:rPr>
                <w:rFonts w:hAnsi="宋体"/>
                <w:bCs/>
                <w:color w:val="auto"/>
                <w:kern w:val="2"/>
                <w:sz w:val="21"/>
                <w:szCs w:val="24"/>
                <w:highlight w:val="none"/>
              </w:rPr>
            </w:pPr>
          </w:p>
        </w:tc>
        <w:tc>
          <w:tcPr>
            <w:tcW w:w="1400" w:type="dxa"/>
            <w:vAlign w:val="center"/>
          </w:tcPr>
          <w:p w14:paraId="206D14C8">
            <w:pPr>
              <w:pStyle w:val="4"/>
              <w:snapToGrid w:val="0"/>
              <w:jc w:val="center"/>
              <w:rPr>
                <w:rFonts w:hAnsi="宋体"/>
                <w:bCs/>
                <w:color w:val="auto"/>
                <w:kern w:val="2"/>
                <w:sz w:val="21"/>
                <w:szCs w:val="24"/>
                <w:highlight w:val="none"/>
              </w:rPr>
            </w:pPr>
          </w:p>
        </w:tc>
        <w:tc>
          <w:tcPr>
            <w:tcW w:w="1233" w:type="dxa"/>
            <w:vAlign w:val="center"/>
          </w:tcPr>
          <w:p w14:paraId="411D6479">
            <w:pPr>
              <w:pStyle w:val="4"/>
              <w:snapToGrid w:val="0"/>
              <w:jc w:val="center"/>
              <w:rPr>
                <w:rFonts w:hAnsi="宋体"/>
                <w:bCs/>
                <w:color w:val="auto"/>
                <w:kern w:val="2"/>
                <w:sz w:val="21"/>
                <w:szCs w:val="24"/>
                <w:highlight w:val="none"/>
              </w:rPr>
            </w:pPr>
          </w:p>
        </w:tc>
        <w:tc>
          <w:tcPr>
            <w:tcW w:w="1183" w:type="dxa"/>
            <w:vAlign w:val="center"/>
          </w:tcPr>
          <w:p w14:paraId="438EF259">
            <w:pPr>
              <w:pStyle w:val="4"/>
              <w:snapToGrid w:val="0"/>
              <w:jc w:val="center"/>
              <w:rPr>
                <w:rFonts w:hAnsi="宋体"/>
                <w:bCs/>
                <w:color w:val="auto"/>
                <w:kern w:val="2"/>
                <w:sz w:val="21"/>
                <w:szCs w:val="24"/>
                <w:highlight w:val="none"/>
              </w:rPr>
            </w:pPr>
          </w:p>
        </w:tc>
        <w:tc>
          <w:tcPr>
            <w:tcW w:w="1220" w:type="dxa"/>
            <w:vAlign w:val="center"/>
          </w:tcPr>
          <w:p w14:paraId="16275115">
            <w:pPr>
              <w:pStyle w:val="4"/>
              <w:snapToGrid w:val="0"/>
              <w:jc w:val="center"/>
              <w:rPr>
                <w:rFonts w:hAnsi="宋体"/>
                <w:bCs/>
                <w:color w:val="auto"/>
                <w:kern w:val="2"/>
                <w:sz w:val="21"/>
                <w:szCs w:val="24"/>
                <w:highlight w:val="none"/>
              </w:rPr>
            </w:pPr>
          </w:p>
        </w:tc>
        <w:tc>
          <w:tcPr>
            <w:tcW w:w="817" w:type="dxa"/>
            <w:vAlign w:val="center"/>
          </w:tcPr>
          <w:p w14:paraId="10F480F2">
            <w:pPr>
              <w:pStyle w:val="4"/>
              <w:snapToGrid w:val="0"/>
              <w:jc w:val="center"/>
              <w:rPr>
                <w:rFonts w:hAnsi="宋体"/>
                <w:bCs/>
                <w:color w:val="auto"/>
                <w:kern w:val="2"/>
                <w:sz w:val="21"/>
                <w:szCs w:val="24"/>
                <w:highlight w:val="none"/>
              </w:rPr>
            </w:pPr>
          </w:p>
        </w:tc>
      </w:tr>
      <w:tr w14:paraId="4CA1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D3C4BE">
            <w:pPr>
              <w:pStyle w:val="4"/>
              <w:snapToGrid w:val="0"/>
              <w:jc w:val="center"/>
              <w:rPr>
                <w:rFonts w:hAnsi="宋体"/>
                <w:bCs/>
                <w:color w:val="auto"/>
                <w:kern w:val="2"/>
                <w:sz w:val="21"/>
                <w:szCs w:val="24"/>
                <w:highlight w:val="none"/>
              </w:rPr>
            </w:pPr>
          </w:p>
        </w:tc>
        <w:tc>
          <w:tcPr>
            <w:tcW w:w="1215" w:type="dxa"/>
            <w:vAlign w:val="center"/>
          </w:tcPr>
          <w:p w14:paraId="25F476DF">
            <w:pPr>
              <w:pStyle w:val="4"/>
              <w:snapToGrid w:val="0"/>
              <w:jc w:val="center"/>
              <w:rPr>
                <w:rFonts w:hAnsi="宋体"/>
                <w:bCs/>
                <w:color w:val="auto"/>
                <w:kern w:val="2"/>
                <w:sz w:val="21"/>
                <w:szCs w:val="24"/>
                <w:highlight w:val="none"/>
              </w:rPr>
            </w:pPr>
          </w:p>
        </w:tc>
        <w:tc>
          <w:tcPr>
            <w:tcW w:w="1267" w:type="dxa"/>
            <w:vAlign w:val="center"/>
          </w:tcPr>
          <w:p w14:paraId="3B91978B">
            <w:pPr>
              <w:pStyle w:val="4"/>
              <w:snapToGrid w:val="0"/>
              <w:jc w:val="center"/>
              <w:rPr>
                <w:rFonts w:hAnsi="宋体"/>
                <w:bCs/>
                <w:color w:val="auto"/>
                <w:kern w:val="2"/>
                <w:sz w:val="21"/>
                <w:szCs w:val="24"/>
                <w:highlight w:val="none"/>
              </w:rPr>
            </w:pPr>
          </w:p>
        </w:tc>
        <w:tc>
          <w:tcPr>
            <w:tcW w:w="1117" w:type="dxa"/>
            <w:vAlign w:val="center"/>
          </w:tcPr>
          <w:p w14:paraId="30DE3FCE">
            <w:pPr>
              <w:pStyle w:val="4"/>
              <w:snapToGrid w:val="0"/>
              <w:jc w:val="center"/>
              <w:rPr>
                <w:rFonts w:hAnsi="宋体"/>
                <w:bCs/>
                <w:color w:val="auto"/>
                <w:kern w:val="2"/>
                <w:sz w:val="21"/>
                <w:szCs w:val="24"/>
                <w:highlight w:val="none"/>
              </w:rPr>
            </w:pPr>
          </w:p>
        </w:tc>
        <w:tc>
          <w:tcPr>
            <w:tcW w:w="1400" w:type="dxa"/>
            <w:vAlign w:val="center"/>
          </w:tcPr>
          <w:p w14:paraId="10079D17">
            <w:pPr>
              <w:pStyle w:val="4"/>
              <w:snapToGrid w:val="0"/>
              <w:jc w:val="center"/>
              <w:rPr>
                <w:rFonts w:hAnsi="宋体"/>
                <w:bCs/>
                <w:color w:val="auto"/>
                <w:kern w:val="2"/>
                <w:sz w:val="21"/>
                <w:szCs w:val="24"/>
                <w:highlight w:val="none"/>
              </w:rPr>
            </w:pPr>
          </w:p>
        </w:tc>
        <w:tc>
          <w:tcPr>
            <w:tcW w:w="1233" w:type="dxa"/>
            <w:vAlign w:val="center"/>
          </w:tcPr>
          <w:p w14:paraId="1D8A4F75">
            <w:pPr>
              <w:pStyle w:val="4"/>
              <w:snapToGrid w:val="0"/>
              <w:jc w:val="center"/>
              <w:rPr>
                <w:rFonts w:hAnsi="宋体"/>
                <w:bCs/>
                <w:color w:val="auto"/>
                <w:kern w:val="2"/>
                <w:sz w:val="21"/>
                <w:szCs w:val="24"/>
                <w:highlight w:val="none"/>
              </w:rPr>
            </w:pPr>
          </w:p>
        </w:tc>
        <w:tc>
          <w:tcPr>
            <w:tcW w:w="1183" w:type="dxa"/>
            <w:vAlign w:val="center"/>
          </w:tcPr>
          <w:p w14:paraId="227A2C99">
            <w:pPr>
              <w:pStyle w:val="4"/>
              <w:snapToGrid w:val="0"/>
              <w:jc w:val="center"/>
              <w:rPr>
                <w:rFonts w:hAnsi="宋体"/>
                <w:bCs/>
                <w:color w:val="auto"/>
                <w:kern w:val="2"/>
                <w:sz w:val="21"/>
                <w:szCs w:val="24"/>
                <w:highlight w:val="none"/>
              </w:rPr>
            </w:pPr>
          </w:p>
        </w:tc>
        <w:tc>
          <w:tcPr>
            <w:tcW w:w="1220" w:type="dxa"/>
            <w:vAlign w:val="center"/>
          </w:tcPr>
          <w:p w14:paraId="303D6E3C">
            <w:pPr>
              <w:pStyle w:val="4"/>
              <w:snapToGrid w:val="0"/>
              <w:jc w:val="center"/>
              <w:rPr>
                <w:rFonts w:hAnsi="宋体"/>
                <w:bCs/>
                <w:color w:val="auto"/>
                <w:kern w:val="2"/>
                <w:sz w:val="21"/>
                <w:szCs w:val="24"/>
                <w:highlight w:val="none"/>
              </w:rPr>
            </w:pPr>
          </w:p>
        </w:tc>
        <w:tc>
          <w:tcPr>
            <w:tcW w:w="817" w:type="dxa"/>
            <w:vAlign w:val="center"/>
          </w:tcPr>
          <w:p w14:paraId="0F16A131">
            <w:pPr>
              <w:pStyle w:val="4"/>
              <w:snapToGrid w:val="0"/>
              <w:jc w:val="center"/>
              <w:rPr>
                <w:rFonts w:hAnsi="宋体"/>
                <w:bCs/>
                <w:color w:val="auto"/>
                <w:kern w:val="2"/>
                <w:sz w:val="21"/>
                <w:szCs w:val="24"/>
                <w:highlight w:val="none"/>
              </w:rPr>
            </w:pPr>
          </w:p>
        </w:tc>
      </w:tr>
      <w:tr w14:paraId="0036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620644B">
            <w:pPr>
              <w:pStyle w:val="4"/>
              <w:snapToGrid w:val="0"/>
              <w:jc w:val="center"/>
              <w:rPr>
                <w:rFonts w:hAnsi="宋体"/>
                <w:bCs/>
                <w:color w:val="auto"/>
                <w:kern w:val="2"/>
                <w:sz w:val="21"/>
                <w:szCs w:val="24"/>
                <w:highlight w:val="none"/>
              </w:rPr>
            </w:pPr>
          </w:p>
        </w:tc>
        <w:tc>
          <w:tcPr>
            <w:tcW w:w="1215" w:type="dxa"/>
            <w:vAlign w:val="center"/>
          </w:tcPr>
          <w:p w14:paraId="0F42FB06">
            <w:pPr>
              <w:pStyle w:val="4"/>
              <w:snapToGrid w:val="0"/>
              <w:jc w:val="center"/>
              <w:rPr>
                <w:rFonts w:hAnsi="宋体"/>
                <w:bCs/>
                <w:color w:val="auto"/>
                <w:kern w:val="2"/>
                <w:sz w:val="21"/>
                <w:szCs w:val="24"/>
                <w:highlight w:val="none"/>
              </w:rPr>
            </w:pPr>
          </w:p>
        </w:tc>
        <w:tc>
          <w:tcPr>
            <w:tcW w:w="1267" w:type="dxa"/>
            <w:vAlign w:val="center"/>
          </w:tcPr>
          <w:p w14:paraId="7E010EB7">
            <w:pPr>
              <w:pStyle w:val="4"/>
              <w:snapToGrid w:val="0"/>
              <w:jc w:val="center"/>
              <w:rPr>
                <w:rFonts w:hAnsi="宋体"/>
                <w:bCs/>
                <w:color w:val="auto"/>
                <w:kern w:val="2"/>
                <w:sz w:val="21"/>
                <w:szCs w:val="24"/>
                <w:highlight w:val="none"/>
              </w:rPr>
            </w:pPr>
          </w:p>
        </w:tc>
        <w:tc>
          <w:tcPr>
            <w:tcW w:w="1117" w:type="dxa"/>
            <w:vAlign w:val="center"/>
          </w:tcPr>
          <w:p w14:paraId="7D1E49CA">
            <w:pPr>
              <w:pStyle w:val="4"/>
              <w:snapToGrid w:val="0"/>
              <w:jc w:val="center"/>
              <w:rPr>
                <w:rFonts w:hAnsi="宋体"/>
                <w:bCs/>
                <w:color w:val="auto"/>
                <w:kern w:val="2"/>
                <w:sz w:val="21"/>
                <w:szCs w:val="24"/>
                <w:highlight w:val="none"/>
              </w:rPr>
            </w:pPr>
          </w:p>
        </w:tc>
        <w:tc>
          <w:tcPr>
            <w:tcW w:w="1400" w:type="dxa"/>
            <w:vAlign w:val="center"/>
          </w:tcPr>
          <w:p w14:paraId="2274A293">
            <w:pPr>
              <w:pStyle w:val="4"/>
              <w:snapToGrid w:val="0"/>
              <w:jc w:val="center"/>
              <w:rPr>
                <w:rFonts w:hAnsi="宋体"/>
                <w:bCs/>
                <w:color w:val="auto"/>
                <w:kern w:val="2"/>
                <w:sz w:val="21"/>
                <w:szCs w:val="24"/>
                <w:highlight w:val="none"/>
              </w:rPr>
            </w:pPr>
          </w:p>
        </w:tc>
        <w:tc>
          <w:tcPr>
            <w:tcW w:w="1233" w:type="dxa"/>
            <w:vAlign w:val="center"/>
          </w:tcPr>
          <w:p w14:paraId="6422A873">
            <w:pPr>
              <w:pStyle w:val="4"/>
              <w:snapToGrid w:val="0"/>
              <w:jc w:val="center"/>
              <w:rPr>
                <w:rFonts w:hAnsi="宋体"/>
                <w:bCs/>
                <w:color w:val="auto"/>
                <w:kern w:val="2"/>
                <w:sz w:val="21"/>
                <w:szCs w:val="24"/>
                <w:highlight w:val="none"/>
              </w:rPr>
            </w:pPr>
          </w:p>
        </w:tc>
        <w:tc>
          <w:tcPr>
            <w:tcW w:w="1183" w:type="dxa"/>
            <w:vAlign w:val="center"/>
          </w:tcPr>
          <w:p w14:paraId="4033BAEC">
            <w:pPr>
              <w:pStyle w:val="4"/>
              <w:snapToGrid w:val="0"/>
              <w:jc w:val="center"/>
              <w:rPr>
                <w:rFonts w:hAnsi="宋体"/>
                <w:bCs/>
                <w:color w:val="auto"/>
                <w:kern w:val="2"/>
                <w:sz w:val="21"/>
                <w:szCs w:val="24"/>
                <w:highlight w:val="none"/>
              </w:rPr>
            </w:pPr>
          </w:p>
        </w:tc>
        <w:tc>
          <w:tcPr>
            <w:tcW w:w="1220" w:type="dxa"/>
            <w:vAlign w:val="center"/>
          </w:tcPr>
          <w:p w14:paraId="5FAE7EDB">
            <w:pPr>
              <w:pStyle w:val="4"/>
              <w:snapToGrid w:val="0"/>
              <w:jc w:val="center"/>
              <w:rPr>
                <w:rFonts w:hAnsi="宋体"/>
                <w:bCs/>
                <w:color w:val="auto"/>
                <w:kern w:val="2"/>
                <w:sz w:val="21"/>
                <w:szCs w:val="24"/>
                <w:highlight w:val="none"/>
              </w:rPr>
            </w:pPr>
          </w:p>
        </w:tc>
        <w:tc>
          <w:tcPr>
            <w:tcW w:w="817" w:type="dxa"/>
            <w:vAlign w:val="center"/>
          </w:tcPr>
          <w:p w14:paraId="636EDDC6">
            <w:pPr>
              <w:pStyle w:val="4"/>
              <w:snapToGrid w:val="0"/>
              <w:jc w:val="center"/>
              <w:rPr>
                <w:rFonts w:hAnsi="宋体"/>
                <w:bCs/>
                <w:color w:val="auto"/>
                <w:kern w:val="2"/>
                <w:sz w:val="21"/>
                <w:szCs w:val="24"/>
                <w:highlight w:val="none"/>
              </w:rPr>
            </w:pPr>
          </w:p>
        </w:tc>
      </w:tr>
    </w:tbl>
    <w:p w14:paraId="6510C141">
      <w:pPr>
        <w:pStyle w:val="4"/>
        <w:snapToGrid w:val="0"/>
        <w:spacing w:line="360" w:lineRule="auto"/>
        <w:ind w:firstLine="0"/>
        <w:rPr>
          <w:rFonts w:hAnsi="宋体"/>
          <w:bCs/>
          <w:color w:val="auto"/>
          <w:sz w:val="21"/>
          <w:highlight w:val="none"/>
        </w:rPr>
      </w:pPr>
      <w:r>
        <w:rPr>
          <w:rFonts w:hint="eastAsia" w:hAnsi="宋体"/>
          <w:bCs/>
          <w:color w:val="auto"/>
          <w:sz w:val="21"/>
          <w:highlight w:val="none"/>
        </w:rPr>
        <w:t>注：如本表格式内容不能满足需要，投标人可自行划表填写，但必须体现以上内容。</w:t>
      </w:r>
    </w:p>
    <w:p w14:paraId="218035A5">
      <w:pPr>
        <w:pStyle w:val="4"/>
        <w:snapToGrid w:val="0"/>
        <w:spacing w:line="360" w:lineRule="auto"/>
        <w:rPr>
          <w:rFonts w:hAnsi="宋体"/>
          <w:bCs/>
          <w:color w:val="auto"/>
          <w:sz w:val="21"/>
          <w:highlight w:val="none"/>
        </w:rPr>
      </w:pPr>
    </w:p>
    <w:p w14:paraId="2A6C38F1">
      <w:pPr>
        <w:pStyle w:val="4"/>
        <w:snapToGrid w:val="0"/>
        <w:spacing w:line="360" w:lineRule="auto"/>
        <w:rPr>
          <w:rFonts w:hAnsi="宋体"/>
          <w:bCs/>
          <w:color w:val="auto"/>
          <w:sz w:val="21"/>
          <w:highlight w:val="none"/>
        </w:rPr>
      </w:pPr>
    </w:p>
    <w:p w14:paraId="6AB049B9">
      <w:pPr>
        <w:pStyle w:val="4"/>
        <w:snapToGrid w:val="0"/>
        <w:spacing w:line="360" w:lineRule="auto"/>
        <w:rPr>
          <w:rFonts w:hAnsi="宋体"/>
          <w:bCs/>
          <w:color w:val="auto"/>
          <w:sz w:val="21"/>
          <w:highlight w:val="none"/>
        </w:rPr>
      </w:pPr>
    </w:p>
    <w:p w14:paraId="3BA811C9">
      <w:pPr>
        <w:pStyle w:val="4"/>
        <w:snapToGrid w:val="0"/>
        <w:spacing w:line="360" w:lineRule="auto"/>
        <w:rPr>
          <w:rFonts w:hAnsi="宋体"/>
          <w:bCs/>
          <w:color w:val="auto"/>
          <w:sz w:val="21"/>
          <w:highlight w:val="none"/>
        </w:rPr>
      </w:pPr>
    </w:p>
    <w:p w14:paraId="6F72EC0E">
      <w:pPr>
        <w:adjustRightInd w:val="0"/>
        <w:snapToGrid w:val="0"/>
        <w:spacing w:line="360" w:lineRule="auto"/>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6C250C6F">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489A4C19">
      <w:pPr>
        <w:adjustRightInd w:val="0"/>
        <w:snapToGrid w:val="0"/>
        <w:spacing w:line="360" w:lineRule="auto"/>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4AC5284">
      <w:pPr>
        <w:pStyle w:val="3"/>
        <w:numPr>
          <w:ilvl w:val="1"/>
          <w:numId w:val="0"/>
        </w:numPr>
        <w:jc w:val="both"/>
        <w:rPr>
          <w:color w:val="auto"/>
          <w:highlight w:val="none"/>
        </w:rPr>
        <w:sectPr>
          <w:pgSz w:w="11906" w:h="16838"/>
          <w:pgMar w:top="1474" w:right="1418" w:bottom="1474" w:left="1418" w:header="851" w:footer="851" w:gutter="0"/>
          <w:cols w:space="720" w:num="1"/>
          <w:titlePg/>
          <w:docGrid w:linePitch="312" w:charSpace="0"/>
        </w:sectPr>
      </w:pPr>
    </w:p>
    <w:p w14:paraId="2528E343">
      <w:pPr>
        <w:pStyle w:val="3"/>
        <w:numPr>
          <w:ilvl w:val="0"/>
          <w:numId w:val="0"/>
        </w:numPr>
        <w:spacing w:line="400" w:lineRule="exact"/>
        <w:rPr>
          <w:rFonts w:hAnsi="黑体" w:cs="黑体"/>
          <w:color w:val="auto"/>
          <w:highlight w:val="none"/>
        </w:rPr>
      </w:pPr>
      <w:bookmarkStart w:id="1873" w:name="_Toc430771089"/>
      <w:bookmarkStart w:id="1874" w:name="_Toc432682754"/>
      <w:bookmarkStart w:id="1875" w:name="_Toc432695229"/>
      <w:bookmarkStart w:id="1876" w:name="_Toc22296"/>
      <w:bookmarkStart w:id="1877" w:name="_Toc365967105"/>
      <w:bookmarkStart w:id="1878" w:name="_Toc342312473"/>
      <w:bookmarkStart w:id="1879" w:name="_Toc350438779"/>
      <w:bookmarkStart w:id="1880" w:name="_Toc340677100"/>
      <w:bookmarkStart w:id="1881" w:name="_Toc339020125"/>
      <w:bookmarkStart w:id="1882" w:name="_Toc366072562"/>
      <w:bookmarkStart w:id="1883" w:name="_Toc336681610"/>
      <w:bookmarkStart w:id="1884" w:name="_Toc339020045"/>
      <w:bookmarkStart w:id="1885" w:name="_Toc102451601"/>
      <w:bookmarkStart w:id="1886" w:name="_Toc345312627"/>
      <w:bookmarkStart w:id="1887" w:name="_Toc343248448"/>
      <w:bookmarkStart w:id="1888" w:name="_Toc342398160"/>
      <w:bookmarkStart w:id="1889" w:name="_Toc340507472"/>
      <w:bookmarkStart w:id="1890" w:name="_Toc350756480"/>
      <w:bookmarkStart w:id="1891" w:name="_Toc340672899"/>
      <w:bookmarkStart w:id="1892" w:name="_Toc331512931"/>
      <w:bookmarkStart w:id="1893" w:name="_Toc342296791"/>
      <w:bookmarkStart w:id="1894" w:name="_Toc343247130"/>
      <w:bookmarkStart w:id="1895" w:name="_Toc331684072"/>
      <w:bookmarkStart w:id="1896" w:name="_Toc336681965"/>
      <w:bookmarkStart w:id="1897" w:name="_Toc332206739"/>
      <w:bookmarkStart w:id="1898" w:name="_Toc333237819"/>
      <w:bookmarkStart w:id="1899" w:name="_Toc343612950"/>
      <w:bookmarkStart w:id="1900" w:name="_Toc339020263"/>
      <w:bookmarkStart w:id="1901" w:name="_Toc337632388"/>
      <w:bookmarkStart w:id="1902" w:name="_Toc342060405"/>
      <w:bookmarkStart w:id="1903" w:name="_Toc341348370"/>
      <w:bookmarkStart w:id="1904" w:name="_Toc332270377"/>
      <w:bookmarkStart w:id="1905" w:name="_Toc333238664"/>
      <w:bookmarkStart w:id="1906" w:name="_Toc333935717"/>
      <w:bookmarkStart w:id="1907" w:name="_Toc365985211"/>
      <w:bookmarkStart w:id="1908" w:name="_Toc333935376"/>
      <w:bookmarkStart w:id="1909" w:name="_Toc333237708"/>
      <w:bookmarkStart w:id="1910" w:name="_Toc339441117"/>
      <w:bookmarkStart w:id="1911" w:name="_Toc339019919"/>
      <w:bookmarkStart w:id="1912" w:name="_Toc330460016"/>
      <w:bookmarkStart w:id="1913" w:name="_Toc339362330"/>
      <w:r>
        <w:rPr>
          <w:rFonts w:hint="eastAsia"/>
          <w:color w:val="auto"/>
          <w:highlight w:val="none"/>
        </w:rPr>
        <w:t>附件</w:t>
      </w:r>
      <w:r>
        <w:rPr>
          <w:rFonts w:hint="eastAsia"/>
          <w:color w:val="auto"/>
          <w:highlight w:val="none"/>
          <w:lang w:val="en-US" w:eastAsia="zh-CN"/>
        </w:rPr>
        <w:t>六</w:t>
      </w:r>
      <w:r>
        <w:rPr>
          <w:rFonts w:hint="eastAsia"/>
          <w:color w:val="auto"/>
          <w:highlight w:val="none"/>
        </w:rPr>
        <w:t>：</w:t>
      </w:r>
      <w:r>
        <w:rPr>
          <w:rFonts w:hint="eastAsia" w:hAnsi="黑体" w:cs="黑体"/>
          <w:color w:val="auto"/>
          <w:highlight w:val="none"/>
        </w:rPr>
        <w:t>中小微企业声明函</w:t>
      </w:r>
      <w:bookmarkEnd w:id="1873"/>
      <w:bookmarkEnd w:id="1874"/>
      <w:bookmarkEnd w:id="1875"/>
      <w:bookmarkEnd w:id="1876"/>
    </w:p>
    <w:p w14:paraId="4684C420">
      <w:pPr>
        <w:spacing w:line="440" w:lineRule="exact"/>
        <w:ind w:firstLine="420"/>
        <w:rPr>
          <w:rFonts w:ascii="宋体"/>
          <w:color w:val="auto"/>
          <w:highlight w:val="none"/>
        </w:rPr>
      </w:pPr>
      <w:r>
        <w:rPr>
          <w:rFonts w:hint="eastAsia" w:ascii="宋体" w:hAnsi="宋体" w:cs="宋体"/>
          <w:color w:val="auto"/>
          <w:highlight w:val="none"/>
        </w:rPr>
        <w:t>本公司郑重声明，根据</w:t>
      </w:r>
      <w:r>
        <w:rPr>
          <w:rFonts w:ascii="宋体" w:hAnsi="宋体"/>
          <w:color w:val="auto"/>
          <w:szCs w:val="21"/>
          <w:highlight w:val="none"/>
        </w:rPr>
        <w:t>《政府采购促进中小企业发展管理办法》（财库﹝2020﹞46 号）</w:t>
      </w:r>
      <w:r>
        <w:rPr>
          <w:rFonts w:hint="eastAsia" w:ascii="宋体" w:hAnsi="宋体" w:cs="宋体"/>
          <w:color w:val="auto"/>
          <w:highlight w:val="none"/>
        </w:rPr>
        <w:t>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14:paraId="20BE5DF4">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14:paraId="294A9C4D">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14:paraId="7D254E4A">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14:paraId="0558188F">
      <w:pPr>
        <w:spacing w:line="440" w:lineRule="exact"/>
        <w:rPr>
          <w:rFonts w:ascii="宋体"/>
          <w:color w:val="auto"/>
          <w:highlight w:val="none"/>
        </w:rPr>
      </w:pPr>
    </w:p>
    <w:p w14:paraId="71D2E118">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30C34DE0">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3A524320">
      <w:pPr>
        <w:spacing w:line="440" w:lineRule="exact"/>
        <w:rPr>
          <w:rFonts w:ascii="宋体"/>
          <w:color w:val="auto"/>
          <w:highlight w:val="none"/>
        </w:rPr>
      </w:pPr>
      <w:r>
        <w:rPr>
          <w:rFonts w:ascii="宋体" w:hAnsi="宋体"/>
          <w:color w:val="auto"/>
          <w:szCs w:val="21"/>
          <w:highlight w:val="none"/>
        </w:rPr>
        <w:t>日期：</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7AEBC465">
      <w:pPr>
        <w:spacing w:line="440" w:lineRule="exact"/>
        <w:rPr>
          <w:rFonts w:ascii="宋体"/>
          <w:color w:val="auto"/>
          <w:highlight w:val="none"/>
        </w:rPr>
      </w:pPr>
    </w:p>
    <w:p w14:paraId="30347A2D">
      <w:pPr>
        <w:spacing w:line="440" w:lineRule="exact"/>
        <w:jc w:val="center"/>
        <w:rPr>
          <w:rFonts w:ascii="宋体"/>
          <w:color w:val="auto"/>
          <w:highlight w:val="none"/>
        </w:rPr>
      </w:pPr>
    </w:p>
    <w:p w14:paraId="41058ABD">
      <w:pPr>
        <w:spacing w:line="440" w:lineRule="exact"/>
        <w:jc w:val="center"/>
        <w:rPr>
          <w:rFonts w:ascii="宋体"/>
          <w:color w:val="auto"/>
          <w:highlight w:val="none"/>
        </w:rPr>
      </w:pPr>
    </w:p>
    <w:p w14:paraId="7FACDD25">
      <w:pPr>
        <w:spacing w:line="440" w:lineRule="exact"/>
        <w:jc w:val="center"/>
        <w:rPr>
          <w:rFonts w:ascii="宋体"/>
          <w:color w:val="auto"/>
          <w:highlight w:val="none"/>
        </w:rPr>
      </w:pPr>
    </w:p>
    <w:p w14:paraId="20C6B8C7">
      <w:pPr>
        <w:spacing w:line="440" w:lineRule="exact"/>
        <w:jc w:val="center"/>
        <w:rPr>
          <w:rFonts w:ascii="宋体"/>
          <w:color w:val="auto"/>
          <w:highlight w:val="none"/>
        </w:rPr>
      </w:pPr>
    </w:p>
    <w:p w14:paraId="3EE811CB">
      <w:pPr>
        <w:spacing w:line="440" w:lineRule="exact"/>
        <w:jc w:val="center"/>
        <w:rPr>
          <w:rFonts w:ascii="宋体"/>
          <w:color w:val="auto"/>
          <w:highlight w:val="none"/>
        </w:rPr>
      </w:pPr>
    </w:p>
    <w:p w14:paraId="7A306EBD">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14:paraId="30CBA711">
      <w:pPr>
        <w:pStyle w:val="4"/>
        <w:rPr>
          <w:color w:val="auto"/>
          <w:highlight w:val="none"/>
        </w:rPr>
      </w:pPr>
    </w:p>
    <w:p w14:paraId="077D1C8C">
      <w:pPr>
        <w:pStyle w:val="4"/>
        <w:rPr>
          <w:color w:val="auto"/>
          <w:highlight w:val="none"/>
        </w:rPr>
      </w:pPr>
    </w:p>
    <w:p w14:paraId="54EB2DA1">
      <w:pPr>
        <w:pStyle w:val="4"/>
        <w:rPr>
          <w:color w:val="auto"/>
          <w:highlight w:val="none"/>
        </w:rPr>
      </w:pPr>
    </w:p>
    <w:p w14:paraId="3DD56B7B">
      <w:pPr>
        <w:pStyle w:val="4"/>
        <w:rPr>
          <w:color w:val="auto"/>
          <w:highlight w:val="none"/>
        </w:rPr>
      </w:pPr>
    </w:p>
    <w:p w14:paraId="1FFBFD9F">
      <w:pPr>
        <w:pStyle w:val="4"/>
        <w:rPr>
          <w:color w:val="auto"/>
          <w:highlight w:val="none"/>
        </w:rPr>
      </w:pPr>
    </w:p>
    <w:p w14:paraId="79CA1FDC">
      <w:pPr>
        <w:pStyle w:val="4"/>
        <w:rPr>
          <w:color w:val="auto"/>
          <w:highlight w:val="none"/>
        </w:rPr>
      </w:pPr>
    </w:p>
    <w:p w14:paraId="6408333F">
      <w:pPr>
        <w:pStyle w:val="4"/>
        <w:rPr>
          <w:color w:val="auto"/>
          <w:highlight w:val="none"/>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14:paraId="5A077C6B">
      <w:pPr>
        <w:pStyle w:val="3"/>
        <w:keepLines w:val="0"/>
        <w:numPr>
          <w:ilvl w:val="0"/>
          <w:numId w:val="0"/>
        </w:numPr>
        <w:tabs>
          <w:tab w:val="left" w:pos="851"/>
        </w:tabs>
        <w:spacing w:before="0" w:after="0" w:line="360" w:lineRule="auto"/>
        <w:rPr>
          <w:rFonts w:ascii="宋体" w:eastAsia="宋体"/>
          <w:color w:val="auto"/>
          <w:szCs w:val="21"/>
          <w:highlight w:val="none"/>
        </w:rPr>
      </w:pPr>
      <w:bookmarkStart w:id="1914" w:name="_Toc32373"/>
      <w:bookmarkStart w:id="1915" w:name="_Toc1603"/>
      <w:bookmarkStart w:id="1916" w:name="_Toc434832511"/>
      <w:r>
        <w:rPr>
          <w:rFonts w:hint="eastAsia"/>
          <w:color w:val="auto"/>
          <w:highlight w:val="none"/>
        </w:rPr>
        <w:t>附件</w:t>
      </w:r>
      <w:r>
        <w:rPr>
          <w:rFonts w:hint="eastAsia"/>
          <w:color w:val="auto"/>
          <w:highlight w:val="none"/>
          <w:lang w:val="en-US" w:eastAsia="zh-CN"/>
        </w:rPr>
        <w:t>七</w:t>
      </w:r>
      <w:r>
        <w:rPr>
          <w:rFonts w:hint="eastAsia"/>
          <w:color w:val="auto"/>
          <w:highlight w:val="none"/>
        </w:rPr>
        <w:t>：</w:t>
      </w:r>
      <w:r>
        <w:rPr>
          <w:rFonts w:hint="eastAsia" w:hAnsi="黑体" w:cs="黑体"/>
          <w:color w:val="auto"/>
          <w:highlight w:val="none"/>
        </w:rPr>
        <w:t>残疾人福利性单位声明函</w:t>
      </w:r>
      <w:bookmarkEnd w:id="1914"/>
      <w:bookmarkEnd w:id="1915"/>
    </w:p>
    <w:p w14:paraId="5EF9A49C">
      <w:pPr>
        <w:spacing w:line="360" w:lineRule="auto"/>
        <w:jc w:val="center"/>
        <w:rPr>
          <w:rFonts w:ascii="宋体" w:hAnsi="宋体"/>
          <w:b/>
          <w:color w:val="auto"/>
          <w:sz w:val="24"/>
          <w:highlight w:val="none"/>
        </w:rPr>
      </w:pPr>
    </w:p>
    <w:p w14:paraId="7E5F4968">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14:paraId="649428B1">
      <w:pPr>
        <w:spacing w:line="360" w:lineRule="auto"/>
        <w:jc w:val="center"/>
        <w:rPr>
          <w:rFonts w:ascii="宋体" w:hAnsi="宋体"/>
          <w:b/>
          <w:color w:val="auto"/>
          <w:sz w:val="24"/>
          <w:highlight w:val="none"/>
        </w:rPr>
      </w:pPr>
    </w:p>
    <w:p w14:paraId="2C271072">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93C702">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1DD40CA9">
      <w:pPr>
        <w:spacing w:line="360" w:lineRule="auto"/>
        <w:ind w:firstLine="420" w:firstLineChars="200"/>
        <w:rPr>
          <w:rFonts w:ascii="宋体" w:hAnsi="宋体" w:cs="宋体"/>
          <w:color w:val="auto"/>
          <w:highlight w:val="none"/>
        </w:rPr>
      </w:pPr>
    </w:p>
    <w:p w14:paraId="680A05B3">
      <w:pPr>
        <w:adjustRightInd w:val="0"/>
        <w:snapToGrid w:val="0"/>
        <w:spacing w:line="440" w:lineRule="exact"/>
        <w:rPr>
          <w:rFonts w:ascii="宋体" w:hAnsi="宋体"/>
          <w:bCs/>
          <w:color w:val="auto"/>
          <w:szCs w:val="21"/>
          <w:highlight w:val="none"/>
        </w:rPr>
      </w:pPr>
    </w:p>
    <w:p w14:paraId="74466382">
      <w:pPr>
        <w:adjustRightInd w:val="0"/>
        <w:snapToGrid w:val="0"/>
        <w:spacing w:line="440" w:lineRule="exact"/>
        <w:rPr>
          <w:rFonts w:ascii="宋体" w:hAnsi="宋体"/>
          <w:bCs/>
          <w:color w:val="auto"/>
          <w:szCs w:val="21"/>
          <w:highlight w:val="none"/>
        </w:rPr>
      </w:pPr>
    </w:p>
    <w:p w14:paraId="6FD32A7C">
      <w:pPr>
        <w:adjustRightInd w:val="0"/>
        <w:snapToGrid w:val="0"/>
        <w:spacing w:line="440" w:lineRule="exact"/>
        <w:rPr>
          <w:rFonts w:ascii="宋体" w:hAnsi="宋体"/>
          <w:bCs/>
          <w:color w:val="auto"/>
          <w:szCs w:val="21"/>
          <w:highlight w:val="none"/>
        </w:rPr>
      </w:pPr>
    </w:p>
    <w:p w14:paraId="33516C18">
      <w:pPr>
        <w:adjustRightInd w:val="0"/>
        <w:snapToGrid w:val="0"/>
        <w:spacing w:line="440" w:lineRule="exact"/>
        <w:rPr>
          <w:rFonts w:ascii="宋体" w:hAnsi="宋体"/>
          <w:bCs/>
          <w:color w:val="auto"/>
          <w:szCs w:val="21"/>
          <w:highlight w:val="none"/>
        </w:rPr>
      </w:pPr>
    </w:p>
    <w:p w14:paraId="00B7F1E3">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投标人法定代表人（负责人）或授权代理人（签字）：</w:t>
      </w:r>
      <w:r>
        <w:rPr>
          <w:rFonts w:hint="eastAsia" w:ascii="宋体" w:hAnsi="宋体"/>
          <w:bCs/>
          <w:color w:val="auto"/>
          <w:szCs w:val="21"/>
          <w:highlight w:val="none"/>
          <w:u w:val="single"/>
        </w:rPr>
        <w:t xml:space="preserve">                            </w:t>
      </w:r>
    </w:p>
    <w:p w14:paraId="3A0E6B5E">
      <w:pPr>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投标人名称（公章）：</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p>
    <w:p w14:paraId="4CDE4D61">
      <w:pPr>
        <w:pStyle w:val="4"/>
        <w:spacing w:line="360" w:lineRule="auto"/>
        <w:ind w:firstLine="0"/>
        <w:rPr>
          <w:rFonts w:hAnsi="宋体" w:cs="宋体"/>
          <w:color w:val="auto"/>
          <w:kern w:val="2"/>
          <w:sz w:val="21"/>
          <w:szCs w:val="24"/>
          <w:highlight w:val="none"/>
        </w:rPr>
      </w:pPr>
      <w:r>
        <w:rPr>
          <w:rFonts w:hAnsi="宋体"/>
          <w:color w:val="auto"/>
          <w:sz w:val="21"/>
          <w:szCs w:val="21"/>
          <w:highlight w:val="none"/>
        </w:rPr>
        <w:t>日期：</w:t>
      </w:r>
      <w:r>
        <w:rPr>
          <w:rFonts w:hAnsi="宋体"/>
          <w:color w:val="auto"/>
          <w:sz w:val="21"/>
          <w:szCs w:val="21"/>
          <w:highlight w:val="none"/>
          <w:u w:val="single"/>
        </w:rPr>
        <w:t xml:space="preserve">       </w:t>
      </w:r>
      <w:r>
        <w:rPr>
          <w:rFonts w:hAnsi="宋体"/>
          <w:color w:val="auto"/>
          <w:sz w:val="21"/>
          <w:szCs w:val="21"/>
          <w:highlight w:val="none"/>
        </w:rPr>
        <w:t>年</w:t>
      </w:r>
      <w:r>
        <w:rPr>
          <w:rFonts w:hAnsi="宋体"/>
          <w:color w:val="auto"/>
          <w:sz w:val="21"/>
          <w:szCs w:val="21"/>
          <w:highlight w:val="none"/>
          <w:u w:val="single"/>
        </w:rPr>
        <w:t xml:space="preserve">     </w:t>
      </w:r>
      <w:r>
        <w:rPr>
          <w:rFonts w:hAnsi="宋体"/>
          <w:color w:val="auto"/>
          <w:sz w:val="21"/>
          <w:szCs w:val="21"/>
          <w:highlight w:val="none"/>
        </w:rPr>
        <w:t>月</w:t>
      </w:r>
      <w:r>
        <w:rPr>
          <w:rFonts w:hAnsi="宋体"/>
          <w:color w:val="auto"/>
          <w:sz w:val="21"/>
          <w:szCs w:val="21"/>
          <w:highlight w:val="none"/>
          <w:u w:val="single"/>
        </w:rPr>
        <w:t xml:space="preserve">      </w:t>
      </w:r>
      <w:r>
        <w:rPr>
          <w:rFonts w:hAnsi="宋体"/>
          <w:color w:val="auto"/>
          <w:sz w:val="21"/>
          <w:szCs w:val="21"/>
          <w:highlight w:val="none"/>
        </w:rPr>
        <w:t>日</w:t>
      </w:r>
    </w:p>
    <w:p w14:paraId="17037D71">
      <w:pPr>
        <w:pStyle w:val="4"/>
        <w:rPr>
          <w:color w:val="auto"/>
          <w:highlight w:val="none"/>
        </w:rPr>
      </w:pPr>
    </w:p>
    <w:p w14:paraId="5579247E">
      <w:pPr>
        <w:pStyle w:val="4"/>
        <w:rPr>
          <w:color w:val="auto"/>
          <w:highlight w:val="none"/>
        </w:rPr>
      </w:pPr>
    </w:p>
    <w:p w14:paraId="487DB878">
      <w:pPr>
        <w:pStyle w:val="4"/>
        <w:rPr>
          <w:color w:val="auto"/>
          <w:highlight w:val="none"/>
        </w:rPr>
      </w:pPr>
    </w:p>
    <w:p w14:paraId="69BEF746">
      <w:pPr>
        <w:pStyle w:val="4"/>
        <w:rPr>
          <w:color w:val="auto"/>
          <w:highlight w:val="none"/>
        </w:rPr>
      </w:pPr>
    </w:p>
    <w:p w14:paraId="657CDB06">
      <w:pPr>
        <w:pStyle w:val="4"/>
        <w:rPr>
          <w:color w:val="auto"/>
          <w:highlight w:val="none"/>
        </w:rPr>
      </w:pPr>
    </w:p>
    <w:p w14:paraId="56F7E4B5">
      <w:pPr>
        <w:pStyle w:val="4"/>
        <w:rPr>
          <w:color w:val="auto"/>
          <w:highlight w:val="none"/>
        </w:rPr>
      </w:pPr>
    </w:p>
    <w:p w14:paraId="30282DEC">
      <w:pPr>
        <w:pStyle w:val="4"/>
        <w:rPr>
          <w:color w:val="auto"/>
          <w:highlight w:val="none"/>
        </w:rPr>
      </w:pPr>
    </w:p>
    <w:p w14:paraId="14BD54BF">
      <w:pPr>
        <w:pStyle w:val="4"/>
        <w:rPr>
          <w:color w:val="auto"/>
          <w:highlight w:val="none"/>
        </w:rPr>
      </w:pPr>
    </w:p>
    <w:p w14:paraId="0F457970">
      <w:pPr>
        <w:pStyle w:val="4"/>
        <w:rPr>
          <w:color w:val="auto"/>
          <w:highlight w:val="none"/>
        </w:rPr>
      </w:pPr>
    </w:p>
    <w:p w14:paraId="19D62571">
      <w:pPr>
        <w:pStyle w:val="4"/>
        <w:rPr>
          <w:color w:val="auto"/>
          <w:highlight w:val="none"/>
        </w:rPr>
      </w:pPr>
    </w:p>
    <w:p w14:paraId="68F5EABA">
      <w:pPr>
        <w:pStyle w:val="4"/>
        <w:rPr>
          <w:color w:val="auto"/>
          <w:highlight w:val="none"/>
        </w:rPr>
      </w:pPr>
    </w:p>
    <w:p w14:paraId="50F063A7">
      <w:pPr>
        <w:pStyle w:val="3"/>
        <w:numPr>
          <w:ilvl w:val="1"/>
          <w:numId w:val="0"/>
        </w:numPr>
        <w:spacing w:line="400" w:lineRule="exact"/>
        <w:rPr>
          <w:color w:val="auto"/>
          <w:highlight w:val="none"/>
        </w:rPr>
      </w:pPr>
      <w:bookmarkStart w:id="1917" w:name="_Toc432695230"/>
      <w:bookmarkStart w:id="1918" w:name="_Toc9858"/>
      <w:bookmarkStart w:id="1919" w:name="_Toc8473"/>
      <w:r>
        <w:rPr>
          <w:rFonts w:hint="eastAsia"/>
          <w:color w:val="auto"/>
          <w:highlight w:val="none"/>
        </w:rPr>
        <w:t>附件</w:t>
      </w:r>
      <w:r>
        <w:rPr>
          <w:rFonts w:hint="eastAsia"/>
          <w:color w:val="auto"/>
          <w:highlight w:val="none"/>
          <w:lang w:val="en-US" w:eastAsia="zh-CN"/>
        </w:rPr>
        <w:t>八</w:t>
      </w:r>
      <w:r>
        <w:rPr>
          <w:rFonts w:hint="eastAsia"/>
          <w:color w:val="auto"/>
          <w:highlight w:val="none"/>
        </w:rPr>
        <w:t>：中标服务费承诺</w:t>
      </w:r>
      <w:bookmarkEnd w:id="1917"/>
      <w:bookmarkEnd w:id="1918"/>
      <w:bookmarkEnd w:id="1919"/>
    </w:p>
    <w:p w14:paraId="75F42067">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14:paraId="435358D8">
      <w:pPr>
        <w:spacing w:line="360" w:lineRule="auto"/>
        <w:rPr>
          <w:rFonts w:ascii="宋体" w:hAnsi="宋体"/>
          <w:color w:val="auto"/>
          <w:highlight w:val="none"/>
        </w:rPr>
      </w:pPr>
    </w:p>
    <w:p w14:paraId="23F7F44D">
      <w:pPr>
        <w:spacing w:line="440" w:lineRule="exact"/>
        <w:ind w:firstLine="420" w:firstLineChars="200"/>
        <w:rPr>
          <w:rFonts w:ascii="宋体" w:hAnsi="宋体"/>
          <w:color w:val="auto"/>
          <w:highlight w:val="none"/>
        </w:rPr>
      </w:pPr>
      <w:r>
        <w:rPr>
          <w:rFonts w:hint="eastAsia" w:ascii="宋体" w:hAnsi="宋体"/>
          <w:color w:val="auto"/>
          <w:highlight w:val="none"/>
        </w:rPr>
        <w:t>针对贵方组织的（项目名称：</w:t>
      </w:r>
      <w:r>
        <w:rPr>
          <w:rFonts w:hint="eastAsia" w:ascii="宋体" w:hAnsi="宋体"/>
          <w:color w:val="auto"/>
          <w:highlight w:val="none"/>
          <w:u w:val="single"/>
        </w:rPr>
        <w:t xml:space="preserve">                 </w:t>
      </w:r>
      <w:r>
        <w:rPr>
          <w:rFonts w:hint="eastAsia" w:ascii="宋体" w:hAnsi="宋体"/>
          <w:color w:val="auto"/>
          <w:highlight w:val="none"/>
        </w:rPr>
        <w:t xml:space="preserve">）招标（项目编号: </w:t>
      </w:r>
      <w:r>
        <w:rPr>
          <w:rFonts w:hint="eastAsia" w:ascii="宋体" w:hAnsi="宋体"/>
          <w:color w:val="auto"/>
          <w:highlight w:val="none"/>
          <w:u w:val="single"/>
        </w:rPr>
        <w:t xml:space="preserve">         </w:t>
      </w:r>
      <w:r>
        <w:rPr>
          <w:rFonts w:hint="eastAsia" w:ascii="宋体" w:hAnsi="宋体"/>
          <w:color w:val="auto"/>
          <w:highlight w:val="none"/>
          <w:u w:val="none"/>
          <w:lang w:val="en-US" w:eastAsia="zh-CN"/>
        </w:rPr>
        <w:t>包组号：</w:t>
      </w:r>
      <w:r>
        <w:rPr>
          <w:rFonts w:hint="eastAsia" w:ascii="宋体" w:hAnsi="宋体"/>
          <w:color w:val="auto"/>
          <w:highlight w:val="none"/>
          <w:u w:val="single"/>
          <w:lang w:val="en-US" w:eastAsia="zh-CN"/>
        </w:rPr>
        <w:t xml:space="preserve">     </w:t>
      </w:r>
      <w:r>
        <w:rPr>
          <w:rFonts w:hint="eastAsia" w:ascii="宋体" w:hAnsi="宋体"/>
          <w:color w:val="auto"/>
          <w:highlight w:val="none"/>
        </w:rPr>
        <w:t>），我方承诺：</w:t>
      </w:r>
    </w:p>
    <w:p w14:paraId="45F03F94">
      <w:pPr>
        <w:spacing w:line="440" w:lineRule="exact"/>
        <w:ind w:firstLine="420" w:firstLineChars="200"/>
        <w:rPr>
          <w:rFonts w:ascii="宋体" w:hAnsi="宋体"/>
          <w:color w:val="auto"/>
          <w:highlight w:val="none"/>
        </w:rPr>
      </w:pPr>
      <w:r>
        <w:rPr>
          <w:rFonts w:hint="eastAsia" w:ascii="宋体" w:hAnsi="宋体"/>
          <w:color w:val="auto"/>
          <w:highlight w:val="none"/>
        </w:rPr>
        <w:t>1. 若我方中标，将严格遵照本项目招标文件的规定向代理采购机构缴纳中标服务费。</w:t>
      </w:r>
    </w:p>
    <w:p w14:paraId="72420A9E">
      <w:pPr>
        <w:spacing w:line="440" w:lineRule="exact"/>
        <w:ind w:firstLine="420" w:firstLineChars="200"/>
        <w:rPr>
          <w:rFonts w:ascii="宋体" w:hAnsi="宋体"/>
          <w:color w:val="auto"/>
          <w:highlight w:val="none"/>
        </w:rPr>
      </w:pPr>
      <w:r>
        <w:rPr>
          <w:rFonts w:hint="eastAsia" w:ascii="宋体" w:hAnsi="宋体"/>
          <w:color w:val="auto"/>
          <w:highlight w:val="none"/>
        </w:rPr>
        <w:t>2. 若我方中标后拒绝如数缴纳或未按本项目招标文件规定的期限缴纳中标服务费，则视为我方自动放弃该中标结果，贵</w:t>
      </w:r>
      <w:r>
        <w:rPr>
          <w:rFonts w:hint="eastAsia" w:ascii="宋体" w:hAnsi="宋体"/>
          <w:color w:val="auto"/>
          <w:szCs w:val="21"/>
          <w:highlight w:val="none"/>
        </w:rPr>
        <w:t>方</w:t>
      </w:r>
      <w:r>
        <w:rPr>
          <w:rFonts w:hint="eastAsia" w:ascii="宋体" w:hAnsi="宋体"/>
          <w:color w:val="auto"/>
          <w:highlight w:val="none"/>
        </w:rPr>
        <w:t>有权重新确定中标结果，</w:t>
      </w:r>
      <w:r>
        <w:rPr>
          <w:rFonts w:hint="eastAsia" w:ascii="宋体"/>
          <w:color w:val="auto"/>
          <w:highlight w:val="none"/>
        </w:rPr>
        <w:t>我方对此无任何异议。</w:t>
      </w:r>
    </w:p>
    <w:p w14:paraId="7355BEE0">
      <w:pPr>
        <w:spacing w:line="440" w:lineRule="exact"/>
        <w:rPr>
          <w:rFonts w:ascii="宋体" w:hAnsi="宋体"/>
          <w:color w:val="auto"/>
          <w:highlight w:val="none"/>
        </w:rPr>
      </w:pPr>
      <w:r>
        <w:rPr>
          <w:rFonts w:hint="eastAsia" w:ascii="宋体" w:hAnsi="宋体"/>
          <w:color w:val="auto"/>
          <w:highlight w:val="none"/>
        </w:rPr>
        <w:t xml:space="preserve">     </w:t>
      </w:r>
    </w:p>
    <w:p w14:paraId="4B35124D">
      <w:pPr>
        <w:spacing w:line="440" w:lineRule="exact"/>
        <w:ind w:firstLine="420" w:firstLineChars="200"/>
        <w:rPr>
          <w:rFonts w:ascii="宋体" w:hAnsi="宋体"/>
          <w:color w:val="auto"/>
          <w:highlight w:val="none"/>
        </w:rPr>
      </w:pPr>
    </w:p>
    <w:p w14:paraId="7C9C868A">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0F76D664">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1516B5E5">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144D6D4A">
      <w:pPr>
        <w:rPr>
          <w:color w:val="auto"/>
          <w:highlight w:val="none"/>
        </w:rPr>
        <w:sectPr>
          <w:pgSz w:w="11906" w:h="16838"/>
          <w:pgMar w:top="1474" w:right="1418" w:bottom="1474" w:left="1418" w:header="851" w:footer="851" w:gutter="0"/>
          <w:cols w:space="720" w:num="1"/>
          <w:titlePg/>
          <w:docGrid w:linePitch="312" w:charSpace="0"/>
        </w:sectPr>
      </w:pPr>
    </w:p>
    <w:p w14:paraId="3E61FBC2">
      <w:pPr>
        <w:pStyle w:val="3"/>
        <w:numPr>
          <w:ilvl w:val="1"/>
          <w:numId w:val="0"/>
        </w:numPr>
        <w:spacing w:line="400" w:lineRule="exact"/>
        <w:rPr>
          <w:color w:val="auto"/>
          <w:highlight w:val="none"/>
        </w:rPr>
      </w:pPr>
      <w:bookmarkStart w:id="1920" w:name="_Toc326065622"/>
      <w:bookmarkStart w:id="1921" w:name="_Toc432695231"/>
      <w:bookmarkStart w:id="1922" w:name="_Toc342060406"/>
      <w:bookmarkStart w:id="1923" w:name="_Toc342312474"/>
      <w:bookmarkStart w:id="1924" w:name="_Toc340677101"/>
      <w:bookmarkStart w:id="1925" w:name="_Toc343248449"/>
      <w:bookmarkStart w:id="1926" w:name="_Toc339019920"/>
      <w:bookmarkStart w:id="1927" w:name="_Toc333237709"/>
      <w:bookmarkStart w:id="1928" w:name="_Toc339441118"/>
      <w:bookmarkStart w:id="1929" w:name="_Toc339020264"/>
      <w:bookmarkStart w:id="1930" w:name="_Toc345312628"/>
      <w:bookmarkStart w:id="1931" w:name="_Toc340672900"/>
      <w:bookmarkStart w:id="1932" w:name="_Toc339020126"/>
      <w:bookmarkStart w:id="1933" w:name="_Toc339362331"/>
      <w:bookmarkStart w:id="1934" w:name="_Toc333935718"/>
      <w:bookmarkStart w:id="1935" w:name="_Toc343612951"/>
      <w:bookmarkStart w:id="1936" w:name="_Toc365985212"/>
      <w:bookmarkStart w:id="1937" w:name="_Toc10463"/>
      <w:bookmarkStart w:id="1938" w:name="_Toc342398161"/>
      <w:bookmarkStart w:id="1939" w:name="_Toc331684073"/>
      <w:bookmarkStart w:id="1940" w:name="_Toc330460017"/>
      <w:bookmarkStart w:id="1941" w:name="_Toc333935377"/>
      <w:bookmarkStart w:id="1942" w:name="_Toc350756481"/>
      <w:bookmarkStart w:id="1943" w:name="_Toc337632389"/>
      <w:bookmarkStart w:id="1944" w:name="_Toc366072563"/>
      <w:bookmarkStart w:id="1945" w:name="_Toc331512932"/>
      <w:bookmarkStart w:id="1946" w:name="_Toc341348371"/>
      <w:bookmarkStart w:id="1947" w:name="_Toc333237820"/>
      <w:bookmarkStart w:id="1948" w:name="_Toc365967106"/>
      <w:bookmarkStart w:id="1949" w:name="_Toc332206740"/>
      <w:bookmarkStart w:id="1950" w:name="_Toc336681966"/>
      <w:bookmarkStart w:id="1951" w:name="_Toc340507473"/>
      <w:bookmarkStart w:id="1952" w:name="_Toc343247131"/>
      <w:bookmarkStart w:id="1953" w:name="_Toc339020046"/>
      <w:bookmarkStart w:id="1954" w:name="_Toc336681611"/>
      <w:bookmarkStart w:id="1955" w:name="_Toc342296792"/>
      <w:bookmarkStart w:id="1956" w:name="_Toc350438780"/>
      <w:bookmarkStart w:id="1957" w:name="_Toc333238665"/>
      <w:bookmarkStart w:id="1958" w:name="_Toc332270378"/>
      <w:bookmarkStart w:id="1959" w:name="_Toc25544"/>
      <w:r>
        <w:rPr>
          <w:rFonts w:hint="eastAsia"/>
          <w:color w:val="auto"/>
          <w:highlight w:val="none"/>
        </w:rPr>
        <w:t>附件</w:t>
      </w:r>
      <w:r>
        <w:rPr>
          <w:rFonts w:hint="eastAsia"/>
          <w:color w:val="auto"/>
          <w:highlight w:val="none"/>
          <w:lang w:val="en-US" w:eastAsia="zh-CN"/>
        </w:rPr>
        <w:t>九</w:t>
      </w:r>
      <w:r>
        <w:rPr>
          <w:rFonts w:hint="eastAsia"/>
          <w:color w:val="auto"/>
          <w:highlight w:val="none"/>
        </w:rPr>
        <w:t>：</w:t>
      </w:r>
      <w:bookmarkEnd w:id="1920"/>
      <w:r>
        <w:rPr>
          <w:rFonts w:hint="eastAsia"/>
          <w:color w:val="auto"/>
          <w:highlight w:val="none"/>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14:paraId="2D7509D8">
      <w:pPr>
        <w:adjustRightInd w:val="0"/>
        <w:snapToGrid w:val="0"/>
        <w:spacing w:line="360" w:lineRule="auto"/>
        <w:jc w:val="left"/>
        <w:rPr>
          <w:rFonts w:ascii="宋体" w:hAnsi="宋体"/>
          <w:bCs/>
          <w:color w:val="auto"/>
          <w:highlight w:val="none"/>
        </w:rPr>
      </w:pPr>
    </w:p>
    <w:p w14:paraId="150C301B">
      <w:pPr>
        <w:adjustRightInd w:val="0"/>
        <w:snapToGrid w:val="0"/>
        <w:spacing w:line="360" w:lineRule="auto"/>
        <w:jc w:val="left"/>
        <w:rPr>
          <w:rFonts w:ascii="宋体" w:hAnsi="宋体"/>
          <w:bCs/>
          <w:caps/>
          <w:color w:val="auto"/>
          <w:szCs w:val="21"/>
          <w:highlight w:val="none"/>
          <w:u w:val="single"/>
        </w:rPr>
      </w:pPr>
      <w:r>
        <w:rPr>
          <w:rFonts w:hint="eastAsia" w:ascii="宋体" w:hAnsi="宋体"/>
          <w:bCs/>
          <w:color w:val="auto"/>
          <w:szCs w:val="21"/>
          <w:highlight w:val="none"/>
        </w:rPr>
        <w:t>项目编号:</w:t>
      </w:r>
      <w:r>
        <w:rPr>
          <w:rFonts w:hint="eastAsia" w:ascii="宋体" w:hAnsi="宋体"/>
          <w:b/>
          <w:bCs/>
          <w:color w:val="auto"/>
          <w:highlight w:val="none"/>
          <w:u w:val="single"/>
        </w:rPr>
        <w:t xml:space="preserve">                         </w:t>
      </w:r>
      <w:r>
        <w:rPr>
          <w:rFonts w:hint="eastAsia" w:ascii="宋体" w:hAnsi="宋体"/>
          <w:b/>
          <w:bCs/>
          <w:caps/>
          <w:color w:val="auto"/>
          <w:highlight w:val="none"/>
          <w:u w:val="single"/>
        </w:rPr>
        <w:t xml:space="preserve">  </w:t>
      </w:r>
      <w:r>
        <w:rPr>
          <w:rFonts w:hint="eastAsia" w:ascii="宋体" w:hAnsi="宋体"/>
          <w:b/>
          <w:bCs/>
          <w:caps/>
          <w:color w:val="auto"/>
          <w:szCs w:val="21"/>
          <w:highlight w:val="none"/>
        </w:rPr>
        <w:t xml:space="preserve">           </w:t>
      </w:r>
    </w:p>
    <w:p w14:paraId="6068E593">
      <w:pPr>
        <w:adjustRightInd w:val="0"/>
        <w:snapToGrid w:val="0"/>
        <w:spacing w:line="360" w:lineRule="auto"/>
        <w:ind w:left="1050" w:hanging="1050" w:hangingChars="500"/>
        <w:jc w:val="left"/>
        <w:rPr>
          <w:rFonts w:hint="eastAsia" w:ascii="宋体" w:hAnsi="宋体"/>
          <w:bCs/>
          <w:color w:val="auto"/>
          <w:highlight w:val="none"/>
        </w:rPr>
      </w:pPr>
      <w:r>
        <w:rPr>
          <w:rFonts w:hint="eastAsia" w:hAnsi="宋体"/>
          <w:bCs/>
          <w:color w:val="auto"/>
          <w:sz w:val="21"/>
          <w:highlight w:val="none"/>
          <w:lang w:val="en-US" w:eastAsia="zh-CN"/>
        </w:rPr>
        <w:t>包组号：</w:t>
      </w:r>
      <w:r>
        <w:rPr>
          <w:rFonts w:hint="eastAsia" w:hAnsi="宋体"/>
          <w:bCs/>
          <w:color w:val="auto"/>
          <w:sz w:val="21"/>
          <w:highlight w:val="none"/>
        </w:rPr>
        <w:t xml:space="preserve"> </w:t>
      </w:r>
      <w:r>
        <w:rPr>
          <w:rFonts w:hint="eastAsia" w:hAnsi="宋体"/>
          <w:bCs/>
          <w:color w:val="auto"/>
          <w:sz w:val="21"/>
          <w:highlight w:val="none"/>
          <w:u w:val="single"/>
        </w:rPr>
        <w:t xml:space="preserve">  </w:t>
      </w:r>
      <w:r>
        <w:rPr>
          <w:rFonts w:hAnsi="宋体"/>
          <w:bCs/>
          <w:color w:val="auto"/>
          <w:sz w:val="21"/>
          <w:highlight w:val="none"/>
          <w:u w:val="single"/>
        </w:rPr>
        <w:t xml:space="preserve">   </w:t>
      </w:r>
      <w:r>
        <w:rPr>
          <w:rFonts w:hint="eastAsia" w:hAnsi="宋体"/>
          <w:bCs/>
          <w:color w:val="auto"/>
          <w:sz w:val="21"/>
          <w:highlight w:val="none"/>
          <w:u w:val="single"/>
          <w:lang w:val="en-US" w:eastAsia="zh-CN"/>
        </w:rPr>
        <w:t xml:space="preserve">                    </w:t>
      </w:r>
      <w:r>
        <w:rPr>
          <w:rFonts w:hAnsi="宋体"/>
          <w:bCs/>
          <w:color w:val="auto"/>
          <w:sz w:val="21"/>
          <w:highlight w:val="none"/>
          <w:u w:val="single"/>
        </w:rPr>
        <w:t xml:space="preserve">  </w:t>
      </w:r>
    </w:p>
    <w:p w14:paraId="661CEFA3">
      <w:pPr>
        <w:adjustRightInd w:val="0"/>
        <w:snapToGrid w:val="0"/>
        <w:spacing w:line="360" w:lineRule="auto"/>
        <w:ind w:left="1050" w:hanging="1050" w:hangingChars="500"/>
        <w:jc w:val="left"/>
        <w:rPr>
          <w:rFonts w:ascii="宋体" w:hAnsi="宋体"/>
          <w:bCs/>
          <w:color w:val="auto"/>
          <w:highlight w:val="none"/>
        </w:rPr>
      </w:pPr>
      <w:r>
        <w:rPr>
          <w:rFonts w:hint="eastAsia" w:ascii="宋体" w:hAnsi="宋体"/>
          <w:bCs/>
          <w:color w:val="auto"/>
          <w:szCs w:val="21"/>
          <w:highlight w:val="none"/>
        </w:rPr>
        <w:t>项目名称：</w:t>
      </w:r>
      <w:r>
        <w:rPr>
          <w:rFonts w:hint="eastAsia"/>
          <w:color w:val="auto"/>
          <w:szCs w:val="21"/>
          <w:highlight w:val="none"/>
          <w:u w:val="single"/>
        </w:rPr>
        <w:t xml:space="preserve">                          </w:t>
      </w:r>
    </w:p>
    <w:p w14:paraId="2B6486FA">
      <w:pPr>
        <w:adjustRightInd w:val="0"/>
        <w:snapToGrid w:val="0"/>
        <w:spacing w:line="360" w:lineRule="auto"/>
        <w:ind w:left="1050" w:hanging="1050" w:hangingChars="500"/>
        <w:jc w:val="left"/>
        <w:rPr>
          <w:rFonts w:ascii="宋体" w:hAnsi="宋体"/>
          <w:bCs/>
          <w:color w:val="auto"/>
          <w:highlight w:val="none"/>
        </w:rPr>
      </w:pPr>
    </w:p>
    <w:p w14:paraId="19001778">
      <w:pPr>
        <w:pStyle w:val="4"/>
        <w:spacing w:line="360" w:lineRule="auto"/>
        <w:rPr>
          <w:rFonts w:hAnsi="宋体"/>
          <w:bCs/>
          <w:color w:val="auto"/>
          <w:sz w:val="21"/>
          <w:highlight w:val="none"/>
        </w:rPr>
      </w:pPr>
    </w:p>
    <w:p w14:paraId="2B72F471">
      <w:pPr>
        <w:pStyle w:val="4"/>
        <w:spacing w:line="360" w:lineRule="auto"/>
        <w:rPr>
          <w:rFonts w:hAnsi="宋体"/>
          <w:bCs/>
          <w:color w:val="auto"/>
          <w:sz w:val="21"/>
          <w:highlight w:val="none"/>
        </w:rPr>
      </w:pPr>
      <w:r>
        <w:rPr>
          <w:rFonts w:hint="eastAsia" w:hAnsi="宋体"/>
          <w:bCs/>
          <w:color w:val="auto"/>
          <w:sz w:val="21"/>
          <w:highlight w:val="none"/>
        </w:rPr>
        <w:t>本节无格式要求，投标人可根据自身实际情况以及招标文件评分细则规定的详细评审内容和应当提供的证明材料进行编制。</w:t>
      </w:r>
    </w:p>
    <w:p w14:paraId="5D567648">
      <w:pPr>
        <w:pStyle w:val="4"/>
        <w:spacing w:line="360" w:lineRule="auto"/>
        <w:rPr>
          <w:rFonts w:hAnsi="宋体"/>
          <w:bCs/>
          <w:color w:val="auto"/>
          <w:sz w:val="21"/>
          <w:highlight w:val="none"/>
        </w:rPr>
      </w:pPr>
      <w:r>
        <w:rPr>
          <w:rFonts w:hint="eastAsia" w:hAnsi="宋体"/>
          <w:bCs/>
          <w:color w:val="auto"/>
          <w:sz w:val="21"/>
          <w:highlight w:val="none"/>
        </w:rPr>
        <w:t>一、</w:t>
      </w:r>
      <w:r>
        <w:rPr>
          <w:rFonts w:hAnsi="宋体"/>
          <w:bCs/>
          <w:color w:val="auto"/>
          <w:sz w:val="21"/>
          <w:highlight w:val="none"/>
        </w:rPr>
        <w:t>...</w:t>
      </w:r>
    </w:p>
    <w:p w14:paraId="3767D91D">
      <w:pPr>
        <w:pStyle w:val="4"/>
        <w:spacing w:line="360" w:lineRule="auto"/>
        <w:rPr>
          <w:rFonts w:hAnsi="宋体"/>
          <w:bCs/>
          <w:color w:val="auto"/>
          <w:sz w:val="21"/>
          <w:highlight w:val="none"/>
        </w:rPr>
      </w:pPr>
      <w:r>
        <w:rPr>
          <w:rFonts w:hint="eastAsia" w:hAnsi="宋体"/>
          <w:bCs/>
          <w:color w:val="auto"/>
          <w:sz w:val="21"/>
          <w:highlight w:val="none"/>
        </w:rPr>
        <w:t>二、</w:t>
      </w:r>
      <w:r>
        <w:rPr>
          <w:rFonts w:hAnsi="宋体"/>
          <w:bCs/>
          <w:color w:val="auto"/>
          <w:sz w:val="21"/>
          <w:highlight w:val="none"/>
        </w:rPr>
        <w:t>...</w:t>
      </w:r>
    </w:p>
    <w:p w14:paraId="286DAAC3">
      <w:pPr>
        <w:pStyle w:val="4"/>
        <w:spacing w:line="360" w:lineRule="auto"/>
        <w:rPr>
          <w:rFonts w:hAnsi="宋体"/>
          <w:bCs/>
          <w:color w:val="auto"/>
          <w:sz w:val="21"/>
          <w:highlight w:val="none"/>
        </w:rPr>
      </w:pPr>
      <w:r>
        <w:rPr>
          <w:rFonts w:hint="eastAsia" w:hAnsi="宋体"/>
          <w:bCs/>
          <w:color w:val="auto"/>
          <w:sz w:val="21"/>
          <w:highlight w:val="none"/>
        </w:rPr>
        <w:t>三、</w:t>
      </w:r>
      <w:r>
        <w:rPr>
          <w:rFonts w:hAnsi="宋体"/>
          <w:bCs/>
          <w:color w:val="auto"/>
          <w:sz w:val="21"/>
          <w:highlight w:val="none"/>
        </w:rPr>
        <w:t>...</w:t>
      </w:r>
    </w:p>
    <w:p w14:paraId="20EC8FF4">
      <w:pPr>
        <w:pStyle w:val="4"/>
        <w:spacing w:line="360" w:lineRule="auto"/>
        <w:rPr>
          <w:rFonts w:hAnsi="宋体"/>
          <w:bCs/>
          <w:color w:val="auto"/>
          <w:sz w:val="21"/>
          <w:highlight w:val="none"/>
        </w:rPr>
      </w:pPr>
      <w:r>
        <w:rPr>
          <w:rFonts w:hint="eastAsia" w:hAnsi="宋体"/>
          <w:bCs/>
          <w:color w:val="auto"/>
          <w:sz w:val="21"/>
          <w:highlight w:val="none"/>
        </w:rPr>
        <w:t>四、</w:t>
      </w:r>
      <w:r>
        <w:rPr>
          <w:rFonts w:hAnsi="宋体"/>
          <w:bCs/>
          <w:color w:val="auto"/>
          <w:sz w:val="21"/>
          <w:highlight w:val="none"/>
        </w:rPr>
        <w:t>...</w:t>
      </w:r>
    </w:p>
    <w:p w14:paraId="70E97E74">
      <w:pPr>
        <w:adjustRightInd w:val="0"/>
        <w:snapToGrid w:val="0"/>
        <w:spacing w:line="440" w:lineRule="exact"/>
        <w:rPr>
          <w:rFonts w:ascii="宋体" w:hAnsi="宋体"/>
          <w:bCs/>
          <w:color w:val="auto"/>
          <w:highlight w:val="none"/>
        </w:rPr>
      </w:pPr>
    </w:p>
    <w:p w14:paraId="3AE183F5">
      <w:pPr>
        <w:adjustRightInd w:val="0"/>
        <w:snapToGrid w:val="0"/>
        <w:spacing w:line="440" w:lineRule="exact"/>
        <w:rPr>
          <w:rFonts w:ascii="宋体" w:hAnsi="宋体"/>
          <w:bCs/>
          <w:color w:val="auto"/>
          <w:highlight w:val="none"/>
        </w:rPr>
      </w:pPr>
    </w:p>
    <w:p w14:paraId="2A948730">
      <w:pPr>
        <w:adjustRightInd w:val="0"/>
        <w:snapToGrid w:val="0"/>
        <w:spacing w:line="440" w:lineRule="exact"/>
        <w:rPr>
          <w:rFonts w:ascii="宋体" w:hAnsi="宋体"/>
          <w:bCs/>
          <w:color w:val="auto"/>
          <w:highlight w:val="none"/>
        </w:rPr>
      </w:pPr>
      <w:r>
        <w:rPr>
          <w:rFonts w:hint="eastAsia" w:ascii="宋体" w:hAnsi="宋体"/>
          <w:bCs/>
          <w:color w:val="auto"/>
          <w:highlight w:val="none"/>
        </w:rPr>
        <w:t>投标人法定代表人（负责人）或授权代理人（签字）：</w:t>
      </w:r>
      <w:r>
        <w:rPr>
          <w:rFonts w:hint="eastAsia" w:ascii="宋体" w:hAnsi="宋体"/>
          <w:bCs/>
          <w:color w:val="auto"/>
          <w:highlight w:val="none"/>
          <w:u w:val="single"/>
        </w:rPr>
        <w:t xml:space="preserve">                            </w:t>
      </w:r>
    </w:p>
    <w:p w14:paraId="66C939A1">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投标人名称（公章）：</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14:paraId="44AFF9D3">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月 </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5DD9161C">
      <w:pPr>
        <w:pStyle w:val="4"/>
        <w:spacing w:line="360" w:lineRule="auto"/>
        <w:rPr>
          <w:color w:val="auto"/>
          <w:highlight w:val="none"/>
        </w:rPr>
      </w:pPr>
    </w:p>
    <w:p w14:paraId="3EB92C0A">
      <w:pPr>
        <w:adjustRightInd w:val="0"/>
        <w:snapToGrid w:val="0"/>
        <w:spacing w:line="440" w:lineRule="exact"/>
        <w:rPr>
          <w:color w:val="auto"/>
          <w:highlight w:val="none"/>
        </w:rPr>
      </w:pPr>
      <w:r>
        <w:rPr>
          <w:rFonts w:hint="eastAsia"/>
          <w:color w:val="auto"/>
          <w:highlight w:val="none"/>
        </w:rPr>
        <w:t>（投标人认为本节无须提交的，应注明“本节空白”字样）。</w:t>
      </w:r>
    </w:p>
    <w:p w14:paraId="4C1C8707">
      <w:pPr>
        <w:pStyle w:val="4"/>
        <w:rPr>
          <w:color w:val="auto"/>
          <w:highlight w:val="none"/>
        </w:rPr>
      </w:pPr>
    </w:p>
    <w:p w14:paraId="0CD2582B">
      <w:pPr>
        <w:pStyle w:val="4"/>
        <w:rPr>
          <w:color w:val="auto"/>
          <w:highlight w:val="none"/>
        </w:rPr>
      </w:pPr>
    </w:p>
    <w:p w14:paraId="3B4E584C">
      <w:pPr>
        <w:pStyle w:val="4"/>
        <w:rPr>
          <w:color w:val="auto"/>
          <w:highlight w:val="none"/>
        </w:rPr>
      </w:pPr>
    </w:p>
    <w:p w14:paraId="67EAC157">
      <w:pPr>
        <w:pStyle w:val="4"/>
        <w:rPr>
          <w:color w:val="auto"/>
          <w:highlight w:val="none"/>
        </w:rPr>
      </w:pPr>
    </w:p>
    <w:p w14:paraId="16D4CBFA">
      <w:pPr>
        <w:pStyle w:val="4"/>
        <w:rPr>
          <w:color w:val="auto"/>
          <w:highlight w:val="none"/>
        </w:rPr>
      </w:pPr>
    </w:p>
    <w:p w14:paraId="1F67A8BE">
      <w:pPr>
        <w:pStyle w:val="4"/>
        <w:rPr>
          <w:color w:val="auto"/>
          <w:highlight w:val="none"/>
        </w:rPr>
      </w:pPr>
    </w:p>
    <w:p w14:paraId="5C99A41D">
      <w:pPr>
        <w:pStyle w:val="4"/>
        <w:rPr>
          <w:color w:val="auto"/>
          <w:highlight w:val="none"/>
        </w:rPr>
      </w:pPr>
    </w:p>
    <w:p w14:paraId="5882EF9B">
      <w:pPr>
        <w:pStyle w:val="4"/>
        <w:rPr>
          <w:color w:val="auto"/>
          <w:highlight w:val="none"/>
        </w:rPr>
      </w:pPr>
    </w:p>
    <w:p w14:paraId="26D3170A">
      <w:pPr>
        <w:pStyle w:val="4"/>
        <w:rPr>
          <w:color w:val="auto"/>
          <w:highlight w:val="none"/>
        </w:rPr>
      </w:pPr>
    </w:p>
    <w:p w14:paraId="36164738">
      <w:pPr>
        <w:pStyle w:val="4"/>
        <w:rPr>
          <w:color w:val="auto"/>
          <w:highlight w:val="none"/>
        </w:rPr>
      </w:pPr>
    </w:p>
    <w:p w14:paraId="79D5B857">
      <w:pPr>
        <w:pStyle w:val="4"/>
        <w:rPr>
          <w:color w:val="auto"/>
          <w:highlight w:val="none"/>
        </w:rPr>
      </w:pPr>
    </w:p>
    <w:p w14:paraId="040F105C">
      <w:pPr>
        <w:ind w:left="0" w:leftChars="0"/>
        <w:jc w:val="left"/>
        <w:rPr>
          <w:rFonts w:hint="eastAsia" w:ascii="仿宋" w:hAnsi="仿宋" w:eastAsia="仿宋" w:cs="仿宋"/>
          <w:color w:val="auto"/>
          <w:kern w:val="0"/>
          <w:sz w:val="32"/>
          <w:szCs w:val="32"/>
          <w:highlight w:val="none"/>
          <w:u w:val="none" w:color="auto"/>
          <w:lang w:val="en-US" w:eastAsia="zh-CN"/>
        </w:rPr>
      </w:pPr>
      <w:r>
        <w:rPr>
          <w:rFonts w:hint="eastAsia" w:ascii="仿宋" w:hAnsi="仿宋" w:eastAsia="仿宋" w:cs="仿宋"/>
          <w:color w:val="auto"/>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auto"/>
          <w:kern w:val="0"/>
          <w:sz w:val="32"/>
          <w:szCs w:val="32"/>
          <w:highlight w:val="none"/>
          <w:u w:val="none" w:color="auto"/>
          <w:lang w:val="en-US" w:eastAsia="zh-CN"/>
        </w:rPr>
      </w:pPr>
      <w:r>
        <w:rPr>
          <w:rFonts w:hint="eastAsia" w:ascii="宋体" w:hAnsi="宋体" w:eastAsia="宋体" w:cs="宋体"/>
          <w:b/>
          <w:bCs/>
          <w:color w:val="auto"/>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auto"/>
          <w:kern w:val="0"/>
          <w:sz w:val="32"/>
          <w:szCs w:val="32"/>
          <w:highlight w:val="none"/>
          <w:u w:val="none" w:color="auto"/>
          <w:lang w:val="en-US" w:eastAsia="zh-CN"/>
        </w:rPr>
      </w:pPr>
      <w:r>
        <w:rPr>
          <w:rFonts w:hint="eastAsia" w:ascii="仿宋" w:hAnsi="仿宋" w:eastAsia="仿宋" w:cs="仿宋"/>
          <w:color w:val="auto"/>
          <w:kern w:val="0"/>
          <w:sz w:val="32"/>
          <w:szCs w:val="32"/>
          <w:highlight w:val="none"/>
          <w:u w:val="none" w:color="auto"/>
          <w:lang w:val="en-US" w:eastAsia="zh-CN"/>
        </w:rPr>
        <w:t>(样本)</w:t>
      </w:r>
    </w:p>
    <w:p w14:paraId="523DAC69">
      <w:pPr>
        <w:bidi w:val="0"/>
        <w:rPr>
          <w:rFonts w:hint="eastAsia"/>
          <w:color w:val="auto"/>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u w:val="none" w:color="auto"/>
          <w:lang w:val="en-US" w:eastAsia="zh-CN"/>
        </w:rPr>
      </w:pPr>
      <w:r>
        <w:rPr>
          <w:rFonts w:hint="eastAsia" w:ascii="仿宋" w:hAnsi="仿宋" w:eastAsia="仿宋" w:cs="仿宋"/>
          <w:color w:val="auto"/>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4EE65F02">
      <w:pPr>
        <w:pStyle w:val="4"/>
        <w:rPr>
          <w:color w:val="auto"/>
          <w:highlight w:val="none"/>
        </w:rPr>
      </w:pPr>
    </w:p>
    <w:p w14:paraId="2FCE4BED">
      <w:pPr>
        <w:pStyle w:val="4"/>
        <w:rPr>
          <w:color w:val="auto"/>
          <w:highlight w:val="none"/>
        </w:rPr>
      </w:pPr>
    </w:p>
    <w:p w14:paraId="74322394">
      <w:pPr>
        <w:pStyle w:val="4"/>
        <w:rPr>
          <w:color w:val="auto"/>
          <w:highlight w:val="none"/>
        </w:rPr>
      </w:pPr>
    </w:p>
    <w:p w14:paraId="2BE77100">
      <w:pPr>
        <w:pStyle w:val="4"/>
        <w:rPr>
          <w:color w:val="auto"/>
          <w:highlight w:val="none"/>
        </w:rPr>
      </w:pPr>
    </w:p>
    <w:p w14:paraId="2C199D65">
      <w:pPr>
        <w:pStyle w:val="4"/>
        <w:rPr>
          <w:color w:val="auto"/>
          <w:highlight w:val="none"/>
        </w:rPr>
      </w:pPr>
    </w:p>
    <w:p w14:paraId="687674B9">
      <w:pPr>
        <w:pStyle w:val="4"/>
        <w:rPr>
          <w:color w:val="auto"/>
          <w:highlight w:val="none"/>
        </w:rPr>
      </w:pPr>
    </w:p>
    <w:p w14:paraId="1DF4F574">
      <w:pPr>
        <w:pStyle w:val="4"/>
        <w:rPr>
          <w:color w:val="auto"/>
          <w:highlight w:val="none"/>
        </w:rPr>
      </w:pPr>
    </w:p>
    <w:p w14:paraId="52628B73">
      <w:pPr>
        <w:pStyle w:val="4"/>
        <w:rPr>
          <w:color w:val="auto"/>
          <w:highlight w:val="none"/>
        </w:rPr>
      </w:pPr>
    </w:p>
    <w:p w14:paraId="53D7D1C9">
      <w:pPr>
        <w:pStyle w:val="4"/>
        <w:rPr>
          <w:color w:val="auto"/>
          <w:highlight w:val="none"/>
        </w:rPr>
      </w:pPr>
    </w:p>
    <w:p w14:paraId="28BCAC3E">
      <w:pPr>
        <w:pStyle w:val="4"/>
        <w:rPr>
          <w:color w:val="auto"/>
          <w:highlight w:val="none"/>
        </w:rPr>
      </w:pPr>
    </w:p>
    <w:p w14:paraId="6AB4C437">
      <w:pPr>
        <w:pStyle w:val="4"/>
        <w:ind w:firstLine="0"/>
        <w:rPr>
          <w:color w:val="auto"/>
          <w:highlight w:val="none"/>
        </w:rPr>
      </w:pPr>
    </w:p>
    <w:p w14:paraId="39FF2004">
      <w:pPr>
        <w:pStyle w:val="4"/>
        <w:rPr>
          <w:color w:val="auto"/>
          <w:highlight w:val="none"/>
        </w:rPr>
      </w:pPr>
    </w:p>
    <w:p w14:paraId="1120BD94">
      <w:pPr>
        <w:pStyle w:val="4"/>
        <w:rPr>
          <w:color w:val="auto"/>
          <w:highlight w:val="none"/>
        </w:rPr>
      </w:pPr>
    </w:p>
    <w:p w14:paraId="1C906574">
      <w:pPr>
        <w:pStyle w:val="4"/>
        <w:rPr>
          <w:color w:val="auto"/>
          <w:highlight w:val="none"/>
        </w:rPr>
      </w:pPr>
    </w:p>
    <w:p w14:paraId="215D381F">
      <w:pPr>
        <w:pStyle w:val="3"/>
        <w:numPr>
          <w:ilvl w:val="0"/>
          <w:numId w:val="0"/>
        </w:numPr>
        <w:rPr>
          <w:color w:val="auto"/>
          <w:sz w:val="52"/>
          <w:highlight w:val="none"/>
        </w:rPr>
      </w:pPr>
      <w:bookmarkStart w:id="1960" w:name="_Toc32153"/>
      <w:bookmarkStart w:id="1961" w:name="_Toc456888293"/>
      <w:bookmarkStart w:id="1962" w:name="_Toc456887842"/>
      <w:r>
        <w:rPr>
          <w:rFonts w:hint="eastAsia"/>
          <w:color w:val="auto"/>
          <w:sz w:val="52"/>
          <w:highlight w:val="none"/>
        </w:rPr>
        <w:t>其 他 格 式</w:t>
      </w:r>
      <w:bookmarkEnd w:id="1916"/>
      <w:bookmarkEnd w:id="1960"/>
      <w:bookmarkEnd w:id="1961"/>
      <w:bookmarkEnd w:id="1962"/>
    </w:p>
    <w:p w14:paraId="2F1678E3">
      <w:pPr>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14:paraId="64D1F462">
      <w:pPr>
        <w:rPr>
          <w:rFonts w:ascii="宋体" w:hAnsi="宋体"/>
          <w:color w:val="auto"/>
          <w:highlight w:val="none"/>
        </w:rPr>
      </w:pPr>
    </w:p>
    <w:p w14:paraId="4237A902">
      <w:pPr>
        <w:rPr>
          <w:rFonts w:ascii="宋体" w:hAnsi="宋体"/>
          <w:color w:val="auto"/>
          <w:highlight w:val="none"/>
        </w:rPr>
      </w:pPr>
    </w:p>
    <w:p w14:paraId="6D298A3D">
      <w:pPr>
        <w:rPr>
          <w:rFonts w:ascii="宋体" w:hAnsi="宋体"/>
          <w:color w:val="auto"/>
          <w:highlight w:val="none"/>
        </w:rPr>
      </w:pPr>
    </w:p>
    <w:p w14:paraId="388091E5">
      <w:pPr>
        <w:rPr>
          <w:rFonts w:ascii="宋体" w:hAnsi="宋体"/>
          <w:color w:val="auto"/>
          <w:highlight w:val="none"/>
        </w:rPr>
      </w:pPr>
    </w:p>
    <w:p w14:paraId="48849E19">
      <w:pPr>
        <w:rPr>
          <w:rFonts w:ascii="宋体" w:hAnsi="宋体"/>
          <w:color w:val="auto"/>
          <w:highlight w:val="none"/>
        </w:rPr>
      </w:pPr>
    </w:p>
    <w:p w14:paraId="0B7F5E97">
      <w:pPr>
        <w:rPr>
          <w:rFonts w:ascii="宋体" w:hAnsi="宋体"/>
          <w:color w:val="auto"/>
          <w:highlight w:val="none"/>
        </w:rPr>
      </w:pPr>
    </w:p>
    <w:p w14:paraId="4D1B6673">
      <w:pPr>
        <w:rPr>
          <w:rFonts w:ascii="宋体" w:hAnsi="宋体"/>
          <w:color w:val="auto"/>
          <w:highlight w:val="none"/>
        </w:rPr>
      </w:pPr>
    </w:p>
    <w:p w14:paraId="2847C38D">
      <w:pPr>
        <w:rPr>
          <w:rFonts w:ascii="宋体" w:hAnsi="宋体"/>
          <w:color w:val="auto"/>
          <w:highlight w:val="none"/>
        </w:rPr>
      </w:pPr>
    </w:p>
    <w:p w14:paraId="1B3FDA5F">
      <w:pPr>
        <w:rPr>
          <w:rFonts w:ascii="宋体" w:hAnsi="宋体"/>
          <w:color w:val="auto"/>
          <w:highlight w:val="none"/>
        </w:rPr>
      </w:pPr>
    </w:p>
    <w:p w14:paraId="42336DB8">
      <w:pPr>
        <w:rPr>
          <w:rFonts w:ascii="宋体" w:hAnsi="宋体"/>
          <w:color w:val="auto"/>
          <w:highlight w:val="none"/>
        </w:rPr>
      </w:pPr>
    </w:p>
    <w:p w14:paraId="75D5E4CB">
      <w:pPr>
        <w:rPr>
          <w:rFonts w:ascii="宋体" w:hAnsi="宋体"/>
          <w:color w:val="auto"/>
          <w:highlight w:val="none"/>
        </w:rPr>
      </w:pPr>
    </w:p>
    <w:p w14:paraId="0BF6DA64">
      <w:pPr>
        <w:rPr>
          <w:rFonts w:ascii="宋体" w:hAnsi="宋体"/>
          <w:color w:val="auto"/>
          <w:highlight w:val="none"/>
        </w:rPr>
      </w:pPr>
    </w:p>
    <w:p w14:paraId="7A76B752">
      <w:pPr>
        <w:rPr>
          <w:rFonts w:ascii="宋体" w:hAnsi="宋体"/>
          <w:color w:val="auto"/>
          <w:highlight w:val="none"/>
        </w:rPr>
      </w:pPr>
    </w:p>
    <w:p w14:paraId="32F0A981">
      <w:pPr>
        <w:rPr>
          <w:rFonts w:ascii="宋体" w:hAnsi="宋体"/>
          <w:color w:val="auto"/>
          <w:highlight w:val="none"/>
        </w:rPr>
      </w:pPr>
    </w:p>
    <w:p w14:paraId="09F2FB89">
      <w:pPr>
        <w:rPr>
          <w:rFonts w:ascii="宋体" w:hAnsi="宋体"/>
          <w:color w:val="auto"/>
          <w:highlight w:val="none"/>
        </w:rPr>
      </w:pPr>
    </w:p>
    <w:p w14:paraId="50750E8D">
      <w:pPr>
        <w:rPr>
          <w:rFonts w:ascii="宋体" w:hAnsi="宋体"/>
          <w:color w:val="auto"/>
          <w:highlight w:val="none"/>
        </w:rPr>
      </w:pPr>
    </w:p>
    <w:p w14:paraId="6BEBB5A2">
      <w:pPr>
        <w:rPr>
          <w:rFonts w:ascii="宋体" w:hAnsi="宋体"/>
          <w:color w:val="auto"/>
          <w:highlight w:val="none"/>
        </w:rPr>
      </w:pPr>
    </w:p>
    <w:p w14:paraId="53D8A545">
      <w:pPr>
        <w:rPr>
          <w:rFonts w:ascii="宋体" w:hAnsi="宋体"/>
          <w:color w:val="auto"/>
          <w:highlight w:val="none"/>
        </w:rPr>
      </w:pPr>
    </w:p>
    <w:p w14:paraId="3F452C31">
      <w:pPr>
        <w:rPr>
          <w:rFonts w:ascii="宋体" w:hAnsi="宋体"/>
          <w:color w:val="auto"/>
          <w:highlight w:val="none"/>
        </w:rPr>
      </w:pPr>
    </w:p>
    <w:p w14:paraId="2A1FF44F">
      <w:pPr>
        <w:rPr>
          <w:rFonts w:hint="eastAsia"/>
          <w:b/>
          <w:bCs/>
          <w:color w:val="auto"/>
          <w:sz w:val="44"/>
          <w:szCs w:val="44"/>
          <w:highlight w:val="none"/>
        </w:rPr>
      </w:pPr>
      <w:r>
        <w:rPr>
          <w:rFonts w:hint="eastAsia"/>
          <w:b/>
          <w:bCs/>
          <w:color w:val="auto"/>
          <w:sz w:val="44"/>
          <w:szCs w:val="44"/>
          <w:highlight w:val="none"/>
        </w:rPr>
        <w:br w:type="page"/>
      </w:r>
    </w:p>
    <w:p w14:paraId="3B6E7FCC">
      <w:pPr>
        <w:jc w:val="center"/>
        <w:rPr>
          <w:rFonts w:hint="eastAsia"/>
          <w:b/>
          <w:bCs/>
          <w:color w:val="auto"/>
          <w:szCs w:val="21"/>
          <w:highlight w:val="none"/>
        </w:rPr>
      </w:pPr>
      <w:r>
        <w:rPr>
          <w:rFonts w:hint="eastAsia"/>
          <w:b/>
          <w:bCs/>
          <w:color w:val="auto"/>
          <w:sz w:val="44"/>
          <w:szCs w:val="44"/>
          <w:highlight w:val="none"/>
        </w:rPr>
        <w:t>购买标书登记表</w:t>
      </w:r>
    </w:p>
    <w:p w14:paraId="0B4E4DD2">
      <w:pPr>
        <w:jc w:val="center"/>
        <w:rPr>
          <w:rFonts w:hint="eastAsia"/>
          <w:color w:val="auto"/>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57CC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25FE311">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5"/>
            <w:noWrap w:val="0"/>
            <w:vAlign w:val="top"/>
          </w:tcPr>
          <w:p w14:paraId="2AB8219B">
            <w:pPr>
              <w:rPr>
                <w:rFonts w:hint="eastAsia"/>
                <w:color w:val="auto"/>
                <w:sz w:val="28"/>
                <w:szCs w:val="28"/>
                <w:highlight w:val="none"/>
              </w:rPr>
            </w:pPr>
          </w:p>
        </w:tc>
      </w:tr>
      <w:tr w14:paraId="7F48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3EF616B">
            <w:pPr>
              <w:jc w:val="center"/>
              <w:rPr>
                <w:rFonts w:hint="eastAsia"/>
                <w:color w:val="auto"/>
                <w:sz w:val="28"/>
                <w:szCs w:val="28"/>
                <w:highlight w:val="none"/>
              </w:rPr>
            </w:pPr>
            <w:r>
              <w:rPr>
                <w:rFonts w:hint="eastAsia"/>
                <w:color w:val="auto"/>
                <w:sz w:val="28"/>
                <w:szCs w:val="28"/>
                <w:highlight w:val="none"/>
              </w:rPr>
              <w:t>招标编号</w:t>
            </w:r>
          </w:p>
        </w:tc>
        <w:tc>
          <w:tcPr>
            <w:tcW w:w="2747" w:type="dxa"/>
            <w:gridSpan w:val="2"/>
            <w:noWrap w:val="0"/>
            <w:vAlign w:val="top"/>
          </w:tcPr>
          <w:p w14:paraId="22E30F63">
            <w:pPr>
              <w:rPr>
                <w:rFonts w:hint="eastAsia"/>
                <w:color w:val="auto"/>
                <w:sz w:val="28"/>
                <w:szCs w:val="28"/>
                <w:highlight w:val="none"/>
              </w:rPr>
            </w:pPr>
          </w:p>
        </w:tc>
        <w:tc>
          <w:tcPr>
            <w:tcW w:w="1549" w:type="dxa"/>
            <w:gridSpan w:val="2"/>
            <w:noWrap w:val="0"/>
            <w:vAlign w:val="center"/>
          </w:tcPr>
          <w:p w14:paraId="5F447849">
            <w:pPr>
              <w:jc w:val="center"/>
              <w:rPr>
                <w:rFonts w:hint="default" w:eastAsia="宋体"/>
                <w:color w:val="auto"/>
                <w:sz w:val="28"/>
                <w:szCs w:val="28"/>
                <w:highlight w:val="none"/>
                <w:lang w:val="en-US" w:eastAsia="zh-CN"/>
              </w:rPr>
            </w:pPr>
            <w:r>
              <w:rPr>
                <w:rFonts w:hint="eastAsia"/>
                <w:color w:val="auto"/>
                <w:sz w:val="28"/>
                <w:szCs w:val="28"/>
                <w:highlight w:val="none"/>
                <w:lang w:val="en-US" w:eastAsia="zh-CN"/>
              </w:rPr>
              <w:t>包组号</w:t>
            </w:r>
          </w:p>
        </w:tc>
        <w:tc>
          <w:tcPr>
            <w:tcW w:w="2479" w:type="dxa"/>
            <w:noWrap w:val="0"/>
            <w:vAlign w:val="top"/>
          </w:tcPr>
          <w:p w14:paraId="4E8CED9F">
            <w:pPr>
              <w:rPr>
                <w:rFonts w:hint="eastAsia"/>
                <w:color w:val="auto"/>
                <w:sz w:val="28"/>
                <w:szCs w:val="28"/>
                <w:highlight w:val="none"/>
              </w:rPr>
            </w:pPr>
          </w:p>
        </w:tc>
      </w:tr>
      <w:tr w14:paraId="6860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0CEDEB32">
            <w:pPr>
              <w:jc w:val="center"/>
              <w:rPr>
                <w:rFonts w:hint="eastAsia"/>
                <w:color w:val="auto"/>
                <w:sz w:val="28"/>
                <w:szCs w:val="28"/>
                <w:highlight w:val="none"/>
              </w:rPr>
            </w:pPr>
            <w:r>
              <w:rPr>
                <w:rFonts w:hint="eastAsia"/>
                <w:color w:val="auto"/>
                <w:sz w:val="28"/>
                <w:szCs w:val="28"/>
                <w:highlight w:val="none"/>
              </w:rPr>
              <w:t>购买时间</w:t>
            </w:r>
          </w:p>
        </w:tc>
        <w:tc>
          <w:tcPr>
            <w:tcW w:w="6775" w:type="dxa"/>
            <w:gridSpan w:val="5"/>
            <w:noWrap w:val="0"/>
            <w:vAlign w:val="top"/>
          </w:tcPr>
          <w:p w14:paraId="6741EE8D">
            <w:pPr>
              <w:rPr>
                <w:rFonts w:hint="eastAsia"/>
                <w:color w:val="auto"/>
                <w:sz w:val="28"/>
                <w:szCs w:val="28"/>
                <w:highlight w:val="none"/>
              </w:rPr>
            </w:pPr>
          </w:p>
        </w:tc>
      </w:tr>
      <w:tr w14:paraId="007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91F4781">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5"/>
            <w:noWrap w:val="0"/>
            <w:vAlign w:val="top"/>
          </w:tcPr>
          <w:p w14:paraId="61044025">
            <w:pPr>
              <w:rPr>
                <w:rFonts w:hint="eastAsia"/>
                <w:color w:val="auto"/>
                <w:sz w:val="28"/>
                <w:szCs w:val="28"/>
                <w:highlight w:val="none"/>
              </w:rPr>
            </w:pPr>
          </w:p>
        </w:tc>
      </w:tr>
      <w:tr w14:paraId="6F6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6807F71">
            <w:pPr>
              <w:jc w:val="center"/>
              <w:rPr>
                <w:rFonts w:hint="eastAsia"/>
                <w:color w:val="auto"/>
                <w:sz w:val="28"/>
                <w:szCs w:val="28"/>
                <w:highlight w:val="none"/>
              </w:rPr>
            </w:pPr>
            <w:r>
              <w:rPr>
                <w:rFonts w:hint="eastAsia"/>
                <w:color w:val="auto"/>
                <w:sz w:val="28"/>
                <w:szCs w:val="28"/>
                <w:highlight w:val="none"/>
              </w:rPr>
              <w:t>地址</w:t>
            </w:r>
          </w:p>
        </w:tc>
        <w:tc>
          <w:tcPr>
            <w:tcW w:w="6775" w:type="dxa"/>
            <w:gridSpan w:val="5"/>
            <w:noWrap w:val="0"/>
            <w:vAlign w:val="top"/>
          </w:tcPr>
          <w:p w14:paraId="152BC9DE">
            <w:pPr>
              <w:rPr>
                <w:rFonts w:hint="eastAsia"/>
                <w:color w:val="auto"/>
                <w:sz w:val="28"/>
                <w:szCs w:val="28"/>
                <w:highlight w:val="none"/>
              </w:rPr>
            </w:pPr>
          </w:p>
        </w:tc>
      </w:tr>
      <w:tr w14:paraId="0C3C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D7766B1">
            <w:pPr>
              <w:jc w:val="center"/>
              <w:rPr>
                <w:rFonts w:hint="eastAsia"/>
                <w:color w:val="auto"/>
                <w:sz w:val="28"/>
                <w:szCs w:val="28"/>
                <w:highlight w:val="none"/>
              </w:rPr>
            </w:pPr>
            <w:r>
              <w:rPr>
                <w:rFonts w:hint="eastAsia"/>
                <w:color w:val="auto"/>
                <w:sz w:val="28"/>
                <w:szCs w:val="28"/>
                <w:highlight w:val="none"/>
              </w:rPr>
              <w:t>电话</w:t>
            </w:r>
          </w:p>
        </w:tc>
        <w:tc>
          <w:tcPr>
            <w:tcW w:w="2112" w:type="dxa"/>
            <w:noWrap w:val="0"/>
            <w:vAlign w:val="top"/>
          </w:tcPr>
          <w:p w14:paraId="0C24A202">
            <w:pPr>
              <w:rPr>
                <w:rFonts w:hint="eastAsia"/>
                <w:color w:val="auto"/>
                <w:sz w:val="28"/>
                <w:szCs w:val="28"/>
                <w:highlight w:val="none"/>
              </w:rPr>
            </w:pPr>
          </w:p>
        </w:tc>
        <w:tc>
          <w:tcPr>
            <w:tcW w:w="1768" w:type="dxa"/>
            <w:gridSpan w:val="2"/>
            <w:noWrap w:val="0"/>
            <w:vAlign w:val="center"/>
          </w:tcPr>
          <w:p w14:paraId="6E9E81A5">
            <w:pPr>
              <w:jc w:val="center"/>
              <w:rPr>
                <w:rFonts w:hint="eastAsia"/>
                <w:color w:val="auto"/>
                <w:sz w:val="28"/>
                <w:szCs w:val="28"/>
                <w:highlight w:val="none"/>
              </w:rPr>
            </w:pPr>
            <w:r>
              <w:rPr>
                <w:rFonts w:hint="eastAsia"/>
                <w:color w:val="auto"/>
                <w:sz w:val="28"/>
                <w:szCs w:val="28"/>
                <w:highlight w:val="none"/>
              </w:rPr>
              <w:t>传真</w:t>
            </w:r>
          </w:p>
        </w:tc>
        <w:tc>
          <w:tcPr>
            <w:tcW w:w="2895" w:type="dxa"/>
            <w:gridSpan w:val="2"/>
            <w:noWrap w:val="0"/>
            <w:vAlign w:val="top"/>
          </w:tcPr>
          <w:p w14:paraId="16E97C45">
            <w:pPr>
              <w:rPr>
                <w:rFonts w:hint="eastAsia"/>
                <w:color w:val="auto"/>
                <w:sz w:val="28"/>
                <w:szCs w:val="28"/>
                <w:highlight w:val="none"/>
              </w:rPr>
            </w:pPr>
          </w:p>
        </w:tc>
      </w:tr>
      <w:tr w14:paraId="0C6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78D9165">
            <w:pPr>
              <w:jc w:val="center"/>
              <w:rPr>
                <w:rFonts w:hint="eastAsia"/>
                <w:color w:val="auto"/>
                <w:sz w:val="28"/>
                <w:szCs w:val="28"/>
                <w:highlight w:val="none"/>
              </w:rPr>
            </w:pPr>
            <w:r>
              <w:rPr>
                <w:rFonts w:hint="eastAsia"/>
                <w:color w:val="auto"/>
                <w:sz w:val="28"/>
                <w:szCs w:val="28"/>
                <w:highlight w:val="none"/>
              </w:rPr>
              <w:t>联系人</w:t>
            </w:r>
          </w:p>
        </w:tc>
        <w:tc>
          <w:tcPr>
            <w:tcW w:w="2112" w:type="dxa"/>
            <w:noWrap w:val="0"/>
            <w:vAlign w:val="top"/>
          </w:tcPr>
          <w:p w14:paraId="46C0FB33">
            <w:pPr>
              <w:rPr>
                <w:rFonts w:hint="eastAsia"/>
                <w:color w:val="auto"/>
                <w:sz w:val="28"/>
                <w:szCs w:val="28"/>
                <w:highlight w:val="none"/>
              </w:rPr>
            </w:pPr>
          </w:p>
        </w:tc>
        <w:tc>
          <w:tcPr>
            <w:tcW w:w="1768" w:type="dxa"/>
            <w:gridSpan w:val="2"/>
            <w:noWrap w:val="0"/>
            <w:vAlign w:val="center"/>
          </w:tcPr>
          <w:p w14:paraId="05585A89">
            <w:pPr>
              <w:jc w:val="center"/>
              <w:rPr>
                <w:rFonts w:hint="eastAsia"/>
                <w:color w:val="auto"/>
                <w:sz w:val="28"/>
                <w:szCs w:val="28"/>
                <w:highlight w:val="none"/>
              </w:rPr>
            </w:pPr>
            <w:r>
              <w:rPr>
                <w:rFonts w:hint="eastAsia"/>
                <w:color w:val="auto"/>
                <w:sz w:val="28"/>
                <w:szCs w:val="28"/>
                <w:highlight w:val="none"/>
              </w:rPr>
              <w:t>手机</w:t>
            </w:r>
          </w:p>
        </w:tc>
        <w:tc>
          <w:tcPr>
            <w:tcW w:w="2895" w:type="dxa"/>
            <w:gridSpan w:val="2"/>
            <w:noWrap w:val="0"/>
            <w:vAlign w:val="top"/>
          </w:tcPr>
          <w:p w14:paraId="704B442D">
            <w:pPr>
              <w:rPr>
                <w:rFonts w:hint="eastAsia"/>
                <w:color w:val="auto"/>
                <w:sz w:val="28"/>
                <w:szCs w:val="28"/>
                <w:highlight w:val="none"/>
              </w:rPr>
            </w:pPr>
          </w:p>
        </w:tc>
      </w:tr>
      <w:tr w14:paraId="5CBA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AFC730E">
            <w:pPr>
              <w:jc w:val="center"/>
              <w:rPr>
                <w:rFonts w:hint="eastAsia"/>
                <w:color w:val="auto"/>
                <w:sz w:val="28"/>
                <w:szCs w:val="28"/>
                <w:highlight w:val="none"/>
              </w:rPr>
            </w:pPr>
            <w:r>
              <w:rPr>
                <w:rFonts w:hint="eastAsia"/>
                <w:color w:val="auto"/>
                <w:sz w:val="28"/>
                <w:szCs w:val="28"/>
                <w:highlight w:val="none"/>
              </w:rPr>
              <w:t>职务</w:t>
            </w:r>
          </w:p>
        </w:tc>
        <w:tc>
          <w:tcPr>
            <w:tcW w:w="2112" w:type="dxa"/>
            <w:noWrap w:val="0"/>
            <w:vAlign w:val="top"/>
          </w:tcPr>
          <w:p w14:paraId="2C25A56C">
            <w:pPr>
              <w:rPr>
                <w:rFonts w:hint="eastAsia"/>
                <w:color w:val="auto"/>
                <w:sz w:val="28"/>
                <w:szCs w:val="28"/>
                <w:highlight w:val="none"/>
              </w:rPr>
            </w:pPr>
          </w:p>
        </w:tc>
        <w:tc>
          <w:tcPr>
            <w:tcW w:w="1768" w:type="dxa"/>
            <w:gridSpan w:val="2"/>
            <w:noWrap w:val="0"/>
            <w:vAlign w:val="center"/>
          </w:tcPr>
          <w:p w14:paraId="498DE243">
            <w:pPr>
              <w:jc w:val="center"/>
              <w:rPr>
                <w:rFonts w:hint="eastAsia"/>
                <w:color w:val="auto"/>
                <w:sz w:val="28"/>
                <w:szCs w:val="28"/>
                <w:highlight w:val="none"/>
              </w:rPr>
            </w:pPr>
            <w:r>
              <w:rPr>
                <w:rFonts w:hint="eastAsia"/>
                <w:color w:val="auto"/>
                <w:sz w:val="28"/>
                <w:szCs w:val="28"/>
                <w:highlight w:val="none"/>
              </w:rPr>
              <w:t>电子邮件</w:t>
            </w:r>
          </w:p>
        </w:tc>
        <w:tc>
          <w:tcPr>
            <w:tcW w:w="2895" w:type="dxa"/>
            <w:gridSpan w:val="2"/>
            <w:noWrap w:val="0"/>
            <w:vAlign w:val="top"/>
          </w:tcPr>
          <w:p w14:paraId="73881D12">
            <w:pPr>
              <w:rPr>
                <w:rFonts w:hint="eastAsia"/>
                <w:color w:val="auto"/>
                <w:sz w:val="28"/>
                <w:szCs w:val="28"/>
                <w:highlight w:val="none"/>
              </w:rPr>
            </w:pPr>
          </w:p>
        </w:tc>
      </w:tr>
      <w:tr w14:paraId="1B1C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1CD695C">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5"/>
            <w:noWrap w:val="0"/>
            <w:vAlign w:val="top"/>
          </w:tcPr>
          <w:p w14:paraId="3D40D055">
            <w:pPr>
              <w:rPr>
                <w:rFonts w:hint="eastAsia"/>
                <w:color w:val="auto"/>
                <w:sz w:val="28"/>
                <w:szCs w:val="28"/>
                <w:highlight w:val="none"/>
              </w:rPr>
            </w:pPr>
          </w:p>
        </w:tc>
      </w:tr>
      <w:tr w14:paraId="7BD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9D7EA6">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5"/>
            <w:noWrap w:val="0"/>
            <w:vAlign w:val="top"/>
          </w:tcPr>
          <w:p w14:paraId="2648BC72">
            <w:pPr>
              <w:rPr>
                <w:rFonts w:hint="eastAsia"/>
                <w:color w:val="auto"/>
                <w:sz w:val="28"/>
                <w:szCs w:val="28"/>
                <w:highlight w:val="none"/>
              </w:rPr>
            </w:pPr>
          </w:p>
        </w:tc>
      </w:tr>
      <w:tr w14:paraId="4314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EC527BA">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5"/>
            <w:noWrap w:val="0"/>
            <w:vAlign w:val="top"/>
          </w:tcPr>
          <w:p w14:paraId="7D1FC37E">
            <w:pPr>
              <w:rPr>
                <w:rFonts w:hint="eastAsia"/>
                <w:color w:val="auto"/>
                <w:sz w:val="28"/>
                <w:szCs w:val="28"/>
                <w:highlight w:val="none"/>
              </w:rPr>
            </w:pPr>
          </w:p>
        </w:tc>
      </w:tr>
    </w:tbl>
    <w:p w14:paraId="648D1F72">
      <w:pPr>
        <w:spacing w:line="360" w:lineRule="auto"/>
        <w:jc w:val="center"/>
        <w:rPr>
          <w:rFonts w:hint="eastAsia" w:ascii="宋体" w:hAnsi="宋体"/>
          <w:b/>
          <w:color w:val="auto"/>
          <w:sz w:val="24"/>
          <w:highlight w:val="none"/>
        </w:rPr>
      </w:pPr>
    </w:p>
    <w:p w14:paraId="5A9BBDEA">
      <w:pPr>
        <w:spacing w:line="360" w:lineRule="auto"/>
        <w:jc w:val="center"/>
        <w:rPr>
          <w:rFonts w:hint="eastAsia" w:ascii="宋体" w:hAnsi="宋体"/>
          <w:b/>
          <w:color w:val="auto"/>
          <w:sz w:val="24"/>
          <w:highlight w:val="none"/>
        </w:rPr>
      </w:pPr>
    </w:p>
    <w:p w14:paraId="22DAFCEE">
      <w:pPr>
        <w:spacing w:line="360" w:lineRule="auto"/>
        <w:jc w:val="center"/>
        <w:rPr>
          <w:rFonts w:hint="eastAsia" w:ascii="宋体" w:hAnsi="宋体"/>
          <w:b/>
          <w:color w:val="auto"/>
          <w:sz w:val="24"/>
          <w:highlight w:val="none"/>
        </w:rPr>
      </w:pPr>
    </w:p>
    <w:p w14:paraId="12A35881">
      <w:pPr>
        <w:spacing w:line="360" w:lineRule="auto"/>
        <w:jc w:val="center"/>
        <w:rPr>
          <w:rFonts w:hint="eastAsia" w:ascii="宋体" w:hAnsi="宋体"/>
          <w:b/>
          <w:color w:val="auto"/>
          <w:sz w:val="24"/>
          <w:highlight w:val="none"/>
        </w:rPr>
      </w:pPr>
    </w:p>
    <w:p w14:paraId="02952131">
      <w:pPr>
        <w:spacing w:line="360" w:lineRule="auto"/>
        <w:jc w:val="center"/>
        <w:rPr>
          <w:rFonts w:hint="eastAsia" w:ascii="宋体" w:hAnsi="宋体"/>
          <w:b/>
          <w:color w:val="auto"/>
          <w:sz w:val="24"/>
          <w:highlight w:val="none"/>
        </w:rPr>
      </w:pPr>
    </w:p>
    <w:p w14:paraId="11BA2D73">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14:paraId="4653F27F">
      <w:pPr>
        <w:pStyle w:val="41"/>
        <w:snapToGrid w:val="0"/>
        <w:spacing w:before="0" w:beforeAutospacing="0" w:after="0" w:afterAutospacing="0" w:line="360" w:lineRule="auto"/>
        <w:jc w:val="both"/>
        <w:rPr>
          <w:color w:val="auto"/>
          <w:szCs w:val="21"/>
          <w:highlight w:val="none"/>
        </w:rPr>
      </w:pPr>
    </w:p>
    <w:p w14:paraId="7EAD5B14">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14:paraId="4E01661D">
      <w:pPr>
        <w:pStyle w:val="41"/>
        <w:snapToGrid w:val="0"/>
        <w:spacing w:before="0" w:beforeAutospacing="0" w:after="0" w:afterAutospacing="0" w:line="360" w:lineRule="auto"/>
        <w:jc w:val="both"/>
        <w:rPr>
          <w:color w:val="auto"/>
          <w:szCs w:val="21"/>
          <w:highlight w:val="none"/>
        </w:rPr>
      </w:pPr>
    </w:p>
    <w:p w14:paraId="2D5AC5F9">
      <w:pPr>
        <w:pStyle w:val="41"/>
        <w:snapToGrid w:val="0"/>
        <w:spacing w:before="0" w:beforeAutospacing="0" w:after="0" w:afterAutospacing="0" w:line="360" w:lineRule="auto"/>
        <w:jc w:val="both"/>
        <w:rPr>
          <w:color w:val="auto"/>
          <w:highlight w:val="none"/>
        </w:rPr>
      </w:pPr>
      <w:r>
        <w:rPr>
          <w:rFonts w:hint="eastAsia"/>
          <w:color w:val="auto"/>
          <w:highlight w:val="none"/>
        </w:rPr>
        <w:t>1：询问函格式</w:t>
      </w:r>
    </w:p>
    <w:p w14:paraId="75AC16CB">
      <w:pPr>
        <w:pStyle w:val="41"/>
        <w:spacing w:before="0" w:beforeAutospacing="0" w:after="0" w:afterAutospacing="0" w:line="360" w:lineRule="auto"/>
        <w:jc w:val="center"/>
        <w:rPr>
          <w:rStyle w:val="49"/>
          <w:rFonts w:cs="Times New Roman"/>
          <w:color w:val="auto"/>
          <w:highlight w:val="none"/>
        </w:rPr>
      </w:pPr>
      <w:r>
        <w:rPr>
          <w:rStyle w:val="49"/>
          <w:rFonts w:hint="eastAsia" w:cs="Times New Roman"/>
          <w:b w:val="0"/>
          <w:color w:val="auto"/>
          <w:highlight w:val="none"/>
        </w:rPr>
        <w:t>询问函</w:t>
      </w:r>
    </w:p>
    <w:p w14:paraId="2FF47E4E">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14:paraId="5AE27642">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14:paraId="255C5428">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14:paraId="4F291691">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14:paraId="4622F0A5">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14:paraId="2F2C0F0A">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14:paraId="546172B5">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14:paraId="01948637">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14:paraId="4F98BF62">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14:paraId="421332D3">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14:paraId="0165ADBD">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14:paraId="15C4024A">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14:paraId="7987F096">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14:paraId="5206DE83">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E29D282">
      <w:pPr>
        <w:snapToGrid w:val="0"/>
        <w:spacing w:line="360" w:lineRule="auto"/>
        <w:ind w:firstLine="432" w:firstLineChars="180"/>
        <w:rPr>
          <w:rFonts w:ascii="宋体" w:hAnsi="宋体"/>
          <w:color w:val="auto"/>
          <w:sz w:val="24"/>
          <w:highlight w:val="none"/>
        </w:rPr>
      </w:pPr>
    </w:p>
    <w:p w14:paraId="6F66C618">
      <w:pPr>
        <w:pStyle w:val="41"/>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14:paraId="57C343D2">
      <w:pPr>
        <w:pStyle w:val="41"/>
        <w:spacing w:before="0" w:beforeAutospacing="0" w:after="0" w:afterAutospacing="0" w:line="360" w:lineRule="auto"/>
        <w:jc w:val="center"/>
        <w:rPr>
          <w:rStyle w:val="49"/>
          <w:rFonts w:cs="Times New Roman"/>
          <w:color w:val="auto"/>
          <w:highlight w:val="none"/>
        </w:rPr>
      </w:pPr>
      <w:r>
        <w:rPr>
          <w:rStyle w:val="49"/>
          <w:rFonts w:hint="eastAsia" w:cs="Times New Roman"/>
          <w:b w:val="0"/>
          <w:color w:val="auto"/>
          <w:highlight w:val="none"/>
        </w:rPr>
        <w:t>质疑函</w:t>
      </w:r>
    </w:p>
    <w:p w14:paraId="347AA47A">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14:paraId="22D932B9">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14:paraId="45E1D249">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607DAB69">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14:paraId="61F16310">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14:paraId="3E7ABA2E">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14:paraId="0FC02B8D">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72978A6F">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14:paraId="40776287">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14:paraId="39FFBDAE">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14:paraId="54BAF002">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14:paraId="51FD2CA2">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14:paraId="579559DD">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14:paraId="4B2C9479">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14:paraId="526D63D6">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14:paraId="08108D00">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14:paraId="58D025A7">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14:paraId="31B9B947">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14:paraId="6EC0057F">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14:paraId="1F7CB572">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14:paraId="218E7451">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14:paraId="79B94F8C">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14:paraId="45351E2B">
      <w:pPr>
        <w:rPr>
          <w:rFonts w:ascii="宋体" w:hAnsi="宋体"/>
          <w:color w:val="auto"/>
          <w:sz w:val="24"/>
          <w:highlight w:val="none"/>
        </w:rPr>
      </w:pPr>
    </w:p>
    <w:p w14:paraId="770D6EE4">
      <w:pPr>
        <w:rPr>
          <w:rFonts w:ascii="宋体" w:hAnsi="宋体"/>
          <w:color w:val="auto"/>
          <w:sz w:val="24"/>
          <w:highlight w:val="none"/>
        </w:rPr>
      </w:pPr>
      <w:r>
        <w:rPr>
          <w:rFonts w:hint="eastAsia" w:ascii="宋体" w:hAnsi="宋体"/>
          <w:color w:val="auto"/>
          <w:sz w:val="24"/>
          <w:highlight w:val="none"/>
        </w:rPr>
        <w:t xml:space="preserve">签字(签章)：                   公章：                      </w:t>
      </w:r>
    </w:p>
    <w:p w14:paraId="4B3CAAE7">
      <w:pPr>
        <w:rPr>
          <w:rFonts w:ascii="宋体" w:hAnsi="宋体"/>
          <w:color w:val="auto"/>
          <w:sz w:val="24"/>
          <w:highlight w:val="none"/>
        </w:rPr>
      </w:pPr>
    </w:p>
    <w:p w14:paraId="042EE85F">
      <w:pPr>
        <w:rPr>
          <w:rFonts w:ascii="宋体" w:hAnsi="宋体"/>
          <w:color w:val="auto"/>
          <w:sz w:val="24"/>
          <w:highlight w:val="none"/>
        </w:rPr>
      </w:pPr>
      <w:r>
        <w:rPr>
          <w:rFonts w:hint="eastAsia" w:ascii="宋体" w:hAnsi="宋体"/>
          <w:color w:val="auto"/>
          <w:sz w:val="24"/>
          <w:highlight w:val="none"/>
        </w:rPr>
        <w:t xml:space="preserve">日期：    </w:t>
      </w:r>
    </w:p>
    <w:p w14:paraId="0F27BA71">
      <w:pPr>
        <w:adjustRightInd w:val="0"/>
        <w:snapToGrid w:val="0"/>
        <w:spacing w:line="360" w:lineRule="auto"/>
        <w:rPr>
          <w:rFonts w:ascii="宋体" w:hAnsi="宋体" w:cs="仿宋"/>
          <w:color w:val="auto"/>
          <w:sz w:val="24"/>
          <w:highlight w:val="none"/>
        </w:rPr>
      </w:pPr>
    </w:p>
    <w:p w14:paraId="7DECDF2D">
      <w:pPr>
        <w:adjustRightInd w:val="0"/>
        <w:snapToGrid w:val="0"/>
        <w:spacing w:line="360" w:lineRule="auto"/>
        <w:rPr>
          <w:rFonts w:ascii="宋体" w:hAnsi="宋体" w:cs="仿宋"/>
          <w:color w:val="auto"/>
          <w:sz w:val="24"/>
          <w:highlight w:val="none"/>
        </w:rPr>
      </w:pPr>
    </w:p>
    <w:p w14:paraId="2A0D6979">
      <w:pPr>
        <w:adjustRightInd w:val="0"/>
        <w:snapToGrid w:val="0"/>
        <w:spacing w:line="360" w:lineRule="auto"/>
        <w:rPr>
          <w:rFonts w:ascii="宋体" w:hAnsi="宋体" w:cs="仿宋"/>
          <w:color w:val="auto"/>
          <w:sz w:val="24"/>
          <w:highlight w:val="none"/>
        </w:rPr>
      </w:pPr>
    </w:p>
    <w:p w14:paraId="56AA6176">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14:paraId="0E40A84C">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41806B51">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41DD993A">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1356B6F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58ED9C51">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14:paraId="46A1AFAE">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14:paraId="3FC97A49">
      <w:pPr>
        <w:widowControl/>
        <w:snapToGrid w:val="0"/>
        <w:spacing w:line="360" w:lineRule="auto"/>
        <w:ind w:right="960"/>
        <w:rPr>
          <w:rFonts w:ascii="宋体" w:hAnsi="宋体"/>
          <w:color w:val="auto"/>
          <w:sz w:val="24"/>
          <w:highlight w:val="none"/>
        </w:rPr>
      </w:pPr>
    </w:p>
    <w:p w14:paraId="22F2080E">
      <w:pPr>
        <w:spacing w:line="360" w:lineRule="auto"/>
        <w:jc w:val="left"/>
        <w:rPr>
          <w:rFonts w:ascii="仿宋_GB2312" w:hAnsi="仿宋" w:eastAsia="仿宋_GB2312"/>
          <w:color w:val="auto"/>
          <w:sz w:val="24"/>
          <w:highlight w:val="none"/>
        </w:rPr>
      </w:pPr>
    </w:p>
    <w:p w14:paraId="1F2342B6">
      <w:pPr>
        <w:rPr>
          <w:rFonts w:ascii="宋体" w:hAnsi="宋体"/>
          <w:b/>
          <w:color w:val="auto"/>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B089">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C521">
    <w:pPr>
      <w:pStyle w:val="28"/>
      <w:framePr w:wrap="around" w:vAnchor="text" w:hAnchor="margin" w:xAlign="center" w:y="1"/>
      <w:rPr>
        <w:rStyle w:val="50"/>
      </w:rPr>
    </w:pPr>
    <w:r>
      <w:fldChar w:fldCharType="begin"/>
    </w:r>
    <w:r>
      <w:rPr>
        <w:rStyle w:val="50"/>
      </w:rPr>
      <w:instrText xml:space="preserve">PAGE  </w:instrText>
    </w:r>
    <w:r>
      <w:fldChar w:fldCharType="end"/>
    </w:r>
  </w:p>
  <w:p w14:paraId="6FA48F9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3E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EFE9">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2E2D">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D406">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24E">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1F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8D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1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1">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15"/>
  </w:num>
  <w:num w:numId="24">
    <w:abstractNumId w:val="20"/>
  </w:num>
  <w:num w:numId="25">
    <w:abstractNumId w:val="21"/>
  </w:num>
  <w:num w:numId="26">
    <w:abstractNumId w:val="4"/>
  </w:num>
  <w:num w:numId="27">
    <w:abstractNumId w:val="9"/>
  </w:num>
  <w:num w:numId="28">
    <w:abstractNumId w:val="22"/>
    <w:lvlOverride w:ilvl="0">
      <w:startOverride w:val="1"/>
    </w:lvlOverride>
  </w:num>
  <w:num w:numId="29">
    <w:abstractNumId w:val="30"/>
  </w:num>
  <w:num w:numId="30">
    <w:abstractNumId w:val="1"/>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iNmYyYjVkNGE3NTBlNTI5NjhmNDJhNWZkOWZiMm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4001AC"/>
    <w:rsid w:val="02B676C8"/>
    <w:rsid w:val="02FA0695"/>
    <w:rsid w:val="034376EE"/>
    <w:rsid w:val="056C3B1A"/>
    <w:rsid w:val="05BC6FB2"/>
    <w:rsid w:val="060E0879"/>
    <w:rsid w:val="067F3525"/>
    <w:rsid w:val="06F268BA"/>
    <w:rsid w:val="07536DD3"/>
    <w:rsid w:val="08680198"/>
    <w:rsid w:val="08C90A87"/>
    <w:rsid w:val="096C7482"/>
    <w:rsid w:val="0AAE43D8"/>
    <w:rsid w:val="0B04049C"/>
    <w:rsid w:val="0B1930FE"/>
    <w:rsid w:val="0B5C2951"/>
    <w:rsid w:val="0B7C0033"/>
    <w:rsid w:val="0BC62CE6"/>
    <w:rsid w:val="0BCA4A38"/>
    <w:rsid w:val="0BD45D4F"/>
    <w:rsid w:val="0BD75BB1"/>
    <w:rsid w:val="0BDE0F14"/>
    <w:rsid w:val="0C1069CD"/>
    <w:rsid w:val="0C57284E"/>
    <w:rsid w:val="0C576DA7"/>
    <w:rsid w:val="0CBA42CC"/>
    <w:rsid w:val="0D4903E8"/>
    <w:rsid w:val="0D715B96"/>
    <w:rsid w:val="0DB77A48"/>
    <w:rsid w:val="0E83303B"/>
    <w:rsid w:val="0F515C7A"/>
    <w:rsid w:val="0F621C2B"/>
    <w:rsid w:val="0F7D29E3"/>
    <w:rsid w:val="0FBA4D52"/>
    <w:rsid w:val="0FCA12E5"/>
    <w:rsid w:val="10A87A66"/>
    <w:rsid w:val="10AC760C"/>
    <w:rsid w:val="11453112"/>
    <w:rsid w:val="12FC5EFD"/>
    <w:rsid w:val="13F562D3"/>
    <w:rsid w:val="140F3BE7"/>
    <w:rsid w:val="14B6708E"/>
    <w:rsid w:val="15E4627C"/>
    <w:rsid w:val="162B2238"/>
    <w:rsid w:val="170C32A1"/>
    <w:rsid w:val="17232DE9"/>
    <w:rsid w:val="175D7EF5"/>
    <w:rsid w:val="1832166E"/>
    <w:rsid w:val="18361C8A"/>
    <w:rsid w:val="18C106D2"/>
    <w:rsid w:val="19AB1C63"/>
    <w:rsid w:val="1ADD03C2"/>
    <w:rsid w:val="1B411AB0"/>
    <w:rsid w:val="1B8806C2"/>
    <w:rsid w:val="1B8A1741"/>
    <w:rsid w:val="1BD96BFA"/>
    <w:rsid w:val="1C3660D4"/>
    <w:rsid w:val="1C5D20B1"/>
    <w:rsid w:val="1CFB7D84"/>
    <w:rsid w:val="1D9D51F3"/>
    <w:rsid w:val="1E8F40C9"/>
    <w:rsid w:val="1EA04399"/>
    <w:rsid w:val="1EDF441B"/>
    <w:rsid w:val="1F7C464D"/>
    <w:rsid w:val="21151D88"/>
    <w:rsid w:val="211B629E"/>
    <w:rsid w:val="213E63AC"/>
    <w:rsid w:val="21451B35"/>
    <w:rsid w:val="2293278E"/>
    <w:rsid w:val="229D4E67"/>
    <w:rsid w:val="22D121EA"/>
    <w:rsid w:val="23B56C14"/>
    <w:rsid w:val="23FA051B"/>
    <w:rsid w:val="24F31469"/>
    <w:rsid w:val="251D242F"/>
    <w:rsid w:val="258260FF"/>
    <w:rsid w:val="25934CC0"/>
    <w:rsid w:val="26FD3595"/>
    <w:rsid w:val="27740528"/>
    <w:rsid w:val="29E55A72"/>
    <w:rsid w:val="2A4D7312"/>
    <w:rsid w:val="2A515672"/>
    <w:rsid w:val="2A56694F"/>
    <w:rsid w:val="2AB90BF0"/>
    <w:rsid w:val="2B0B536D"/>
    <w:rsid w:val="2C11611D"/>
    <w:rsid w:val="2C16133A"/>
    <w:rsid w:val="2C866C92"/>
    <w:rsid w:val="2CA62D0A"/>
    <w:rsid w:val="2CCF04B2"/>
    <w:rsid w:val="2D3441B1"/>
    <w:rsid w:val="2E8828A0"/>
    <w:rsid w:val="2F0D6640"/>
    <w:rsid w:val="2F3C3982"/>
    <w:rsid w:val="2F79273D"/>
    <w:rsid w:val="2F917175"/>
    <w:rsid w:val="2FD14C2F"/>
    <w:rsid w:val="30280A07"/>
    <w:rsid w:val="304750D7"/>
    <w:rsid w:val="305D28EF"/>
    <w:rsid w:val="30B84A40"/>
    <w:rsid w:val="31271F3F"/>
    <w:rsid w:val="312850D7"/>
    <w:rsid w:val="316B4B60"/>
    <w:rsid w:val="316F4012"/>
    <w:rsid w:val="32543208"/>
    <w:rsid w:val="32755858"/>
    <w:rsid w:val="327D62BB"/>
    <w:rsid w:val="32E53E60"/>
    <w:rsid w:val="337268B3"/>
    <w:rsid w:val="33FE342B"/>
    <w:rsid w:val="34416DCB"/>
    <w:rsid w:val="34E45C3F"/>
    <w:rsid w:val="351112A6"/>
    <w:rsid w:val="35984C94"/>
    <w:rsid w:val="35A95E9C"/>
    <w:rsid w:val="35B4484A"/>
    <w:rsid w:val="367B3670"/>
    <w:rsid w:val="36897F35"/>
    <w:rsid w:val="36A93B22"/>
    <w:rsid w:val="37954CDD"/>
    <w:rsid w:val="37C815BB"/>
    <w:rsid w:val="388D4973"/>
    <w:rsid w:val="38EC5F48"/>
    <w:rsid w:val="38FC368E"/>
    <w:rsid w:val="39074B30"/>
    <w:rsid w:val="39145CDA"/>
    <w:rsid w:val="399F745E"/>
    <w:rsid w:val="39BC44F6"/>
    <w:rsid w:val="39C2426F"/>
    <w:rsid w:val="3A7061B9"/>
    <w:rsid w:val="3D4A5933"/>
    <w:rsid w:val="3D697DFA"/>
    <w:rsid w:val="3DF239A8"/>
    <w:rsid w:val="3EEA2F2A"/>
    <w:rsid w:val="3F55760A"/>
    <w:rsid w:val="3F67457A"/>
    <w:rsid w:val="3F7A3E2D"/>
    <w:rsid w:val="3FB92C2C"/>
    <w:rsid w:val="40D00013"/>
    <w:rsid w:val="41597EF3"/>
    <w:rsid w:val="417116E0"/>
    <w:rsid w:val="418C7C5C"/>
    <w:rsid w:val="41CD7A3E"/>
    <w:rsid w:val="42051A04"/>
    <w:rsid w:val="42F205FF"/>
    <w:rsid w:val="43542429"/>
    <w:rsid w:val="43F44183"/>
    <w:rsid w:val="44B55D88"/>
    <w:rsid w:val="45190EF4"/>
    <w:rsid w:val="458F470E"/>
    <w:rsid w:val="45EC57D9"/>
    <w:rsid w:val="468E4E6D"/>
    <w:rsid w:val="46E93AC7"/>
    <w:rsid w:val="47881F31"/>
    <w:rsid w:val="47A85461"/>
    <w:rsid w:val="47B03BA9"/>
    <w:rsid w:val="47C702AC"/>
    <w:rsid w:val="47E96FDE"/>
    <w:rsid w:val="49A308A5"/>
    <w:rsid w:val="4A0B4034"/>
    <w:rsid w:val="4A2E02C6"/>
    <w:rsid w:val="4B4945D8"/>
    <w:rsid w:val="4B9E1DB9"/>
    <w:rsid w:val="4C3A14A5"/>
    <w:rsid w:val="4CA74208"/>
    <w:rsid w:val="4D842037"/>
    <w:rsid w:val="4D8954FA"/>
    <w:rsid w:val="4D9B2F7F"/>
    <w:rsid w:val="4DBC0187"/>
    <w:rsid w:val="4DCD4142"/>
    <w:rsid w:val="4E000399"/>
    <w:rsid w:val="4E1524EB"/>
    <w:rsid w:val="4EED444F"/>
    <w:rsid w:val="4F3912D1"/>
    <w:rsid w:val="4F952A3E"/>
    <w:rsid w:val="50086B0C"/>
    <w:rsid w:val="50485D02"/>
    <w:rsid w:val="50C07F8E"/>
    <w:rsid w:val="51656440"/>
    <w:rsid w:val="52267A1D"/>
    <w:rsid w:val="52BB6C5F"/>
    <w:rsid w:val="54022FBD"/>
    <w:rsid w:val="54810BF1"/>
    <w:rsid w:val="550024AC"/>
    <w:rsid w:val="55D04519"/>
    <w:rsid w:val="560A2766"/>
    <w:rsid w:val="570016CA"/>
    <w:rsid w:val="5768620E"/>
    <w:rsid w:val="58072942"/>
    <w:rsid w:val="58310C72"/>
    <w:rsid w:val="587B479B"/>
    <w:rsid w:val="589647C1"/>
    <w:rsid w:val="589D1393"/>
    <w:rsid w:val="58B24FBD"/>
    <w:rsid w:val="59857735"/>
    <w:rsid w:val="5A2447B1"/>
    <w:rsid w:val="5A932E77"/>
    <w:rsid w:val="5AAB6294"/>
    <w:rsid w:val="5BB53BA8"/>
    <w:rsid w:val="5BFD3E45"/>
    <w:rsid w:val="5C545A2F"/>
    <w:rsid w:val="5C6D5D5D"/>
    <w:rsid w:val="5CDA13D1"/>
    <w:rsid w:val="5D886622"/>
    <w:rsid w:val="5E93433C"/>
    <w:rsid w:val="5F250023"/>
    <w:rsid w:val="5F4D6E91"/>
    <w:rsid w:val="5F742670"/>
    <w:rsid w:val="607C110F"/>
    <w:rsid w:val="60AE2B4F"/>
    <w:rsid w:val="614B38A4"/>
    <w:rsid w:val="61573FF7"/>
    <w:rsid w:val="6161462F"/>
    <w:rsid w:val="62600C89"/>
    <w:rsid w:val="62E31CA2"/>
    <w:rsid w:val="63C82222"/>
    <w:rsid w:val="63CA1BA3"/>
    <w:rsid w:val="645529A9"/>
    <w:rsid w:val="646F1658"/>
    <w:rsid w:val="64862C2B"/>
    <w:rsid w:val="6552795A"/>
    <w:rsid w:val="65A6686F"/>
    <w:rsid w:val="65D0211A"/>
    <w:rsid w:val="6661072D"/>
    <w:rsid w:val="66B71094"/>
    <w:rsid w:val="66EC3434"/>
    <w:rsid w:val="671309C0"/>
    <w:rsid w:val="67821A09"/>
    <w:rsid w:val="680B78E9"/>
    <w:rsid w:val="68440261"/>
    <w:rsid w:val="69210081"/>
    <w:rsid w:val="696608D8"/>
    <w:rsid w:val="69A73642"/>
    <w:rsid w:val="6A615EE7"/>
    <w:rsid w:val="6A8B3BD0"/>
    <w:rsid w:val="6B6A2FF0"/>
    <w:rsid w:val="6B982889"/>
    <w:rsid w:val="6C2076DB"/>
    <w:rsid w:val="6C5C6966"/>
    <w:rsid w:val="6CD26C28"/>
    <w:rsid w:val="6E015061"/>
    <w:rsid w:val="6EF03395"/>
    <w:rsid w:val="6F320A9F"/>
    <w:rsid w:val="704F058F"/>
    <w:rsid w:val="70B7060E"/>
    <w:rsid w:val="714E7574"/>
    <w:rsid w:val="715E7281"/>
    <w:rsid w:val="72250B6E"/>
    <w:rsid w:val="72394572"/>
    <w:rsid w:val="73110955"/>
    <w:rsid w:val="735A1441"/>
    <w:rsid w:val="741E4320"/>
    <w:rsid w:val="756D4E06"/>
    <w:rsid w:val="75823C7E"/>
    <w:rsid w:val="75B4336E"/>
    <w:rsid w:val="75F265F9"/>
    <w:rsid w:val="765B56E0"/>
    <w:rsid w:val="77F02658"/>
    <w:rsid w:val="793067AF"/>
    <w:rsid w:val="79380304"/>
    <w:rsid w:val="79F2507B"/>
    <w:rsid w:val="7A3126F0"/>
    <w:rsid w:val="7BAE7A93"/>
    <w:rsid w:val="7C6155FB"/>
    <w:rsid w:val="7C7E5513"/>
    <w:rsid w:val="7C9932BE"/>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4"/>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4"/>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4"/>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4"/>
    <w:link w:val="106"/>
    <w:qFormat/>
    <w:uiPriority w:val="0"/>
    <w:pPr>
      <w:keepNext/>
      <w:keepLines/>
      <w:spacing w:before="280" w:after="290" w:line="376" w:lineRule="auto"/>
      <w:outlineLvl w:val="4"/>
    </w:pPr>
    <w:rPr>
      <w:b/>
      <w:sz w:val="28"/>
      <w:szCs w:val="20"/>
    </w:rPr>
  </w:style>
  <w:style w:type="paragraph" w:styleId="8">
    <w:name w:val="heading 6"/>
    <w:basedOn w:val="1"/>
    <w:next w:val="4"/>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4"/>
    <w:link w:val="111"/>
    <w:qFormat/>
    <w:uiPriority w:val="0"/>
    <w:pPr>
      <w:keepNext/>
      <w:keepLines/>
      <w:spacing w:before="240" w:after="64" w:line="320" w:lineRule="auto"/>
      <w:outlineLvl w:val="6"/>
    </w:pPr>
    <w:rPr>
      <w:b/>
      <w:sz w:val="24"/>
      <w:szCs w:val="20"/>
    </w:rPr>
  </w:style>
  <w:style w:type="paragraph" w:styleId="10">
    <w:name w:val="heading 8"/>
    <w:basedOn w:val="1"/>
    <w:next w:val="4"/>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4"/>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autoRedefine/>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autoRedefine/>
    <w:qFormat/>
    <w:uiPriority w:val="0"/>
    <w:pPr>
      <w:tabs>
        <w:tab w:val="center" w:pos="4153"/>
        <w:tab w:val="right" w:pos="8306"/>
      </w:tabs>
      <w:snapToGrid w:val="0"/>
      <w:jc w:val="left"/>
    </w:pPr>
    <w:rPr>
      <w:sz w:val="18"/>
      <w:szCs w:val="20"/>
    </w:rPr>
  </w:style>
  <w:style w:type="paragraph" w:styleId="29">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qFormat/>
    <w:uiPriority w:val="39"/>
    <w:pPr>
      <w:tabs>
        <w:tab w:val="right" w:leader="dot" w:pos="8949"/>
      </w:tabs>
      <w:spacing w:before="120" w:after="120"/>
      <w:jc w:val="left"/>
    </w:pPr>
    <w:rPr>
      <w:b/>
      <w:bCs/>
      <w:caps/>
      <w:szCs w:val="21"/>
    </w:rPr>
  </w:style>
  <w:style w:type="paragraph" w:styleId="31">
    <w:name w:val="toc 4"/>
    <w:basedOn w:val="1"/>
    <w:next w:val="1"/>
    <w:autoRedefine/>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next w:val="35"/>
    <w:link w:val="133"/>
    <w:autoRedefine/>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autoRedefine/>
    <w:qFormat/>
    <w:uiPriority w:val="0"/>
  </w:style>
  <w:style w:type="character" w:styleId="51">
    <w:name w:val="Emphasis"/>
    <w:qFormat/>
    <w:uiPriority w:val="20"/>
    <w:rPr>
      <w:i/>
      <w:iCs/>
    </w:rPr>
  </w:style>
  <w:style w:type="character" w:styleId="52">
    <w:name w:val="Hyperlink"/>
    <w:autoRedefine/>
    <w:qFormat/>
    <w:uiPriority w:val="99"/>
    <w:rPr>
      <w:color w:val="0000FF"/>
      <w:u w:val="single"/>
    </w:rPr>
  </w:style>
  <w:style w:type="character" w:styleId="53">
    <w:name w:val="annotation referenc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6"/>
    <w:autoRedefine/>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4"/>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5"/>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0"/>
    <w:autoRedefine/>
    <w:qFormat/>
    <w:uiPriority w:val="0"/>
    <w:rPr>
      <w:i/>
      <w:kern w:val="2"/>
      <w:sz w:val="21"/>
      <w:szCs w:val="24"/>
    </w:rPr>
  </w:style>
  <w:style w:type="character" w:customStyle="1" w:styleId="130">
    <w:name w:val="标题 1 Char"/>
    <w:link w:val="2"/>
    <w:autoRedefine/>
    <w:qFormat/>
    <w:uiPriority w:val="0"/>
    <w:rPr>
      <w:rFonts w:ascii="黑体" w:eastAsia="黑体"/>
      <w:bCs/>
      <w:kern w:val="44"/>
      <w:sz w:val="24"/>
      <w:szCs w:val="24"/>
    </w:rPr>
  </w:style>
  <w:style w:type="character" w:customStyle="1" w:styleId="131">
    <w:name w:val="批注文字 Char"/>
    <w:link w:val="16"/>
    <w:autoRedefine/>
    <w:qFormat/>
    <w:uiPriority w:val="0"/>
    <w:rPr>
      <w:kern w:val="2"/>
      <w:sz w:val="24"/>
      <w:szCs w:val="24"/>
    </w:rPr>
  </w:style>
  <w:style w:type="character" w:customStyle="1" w:styleId="132">
    <w:name w:val="页脚 Char"/>
    <w:link w:val="28"/>
    <w:autoRedefine/>
    <w:qFormat/>
    <w:uiPriority w:val="0"/>
    <w:rPr>
      <w:rFonts w:eastAsia="宋体"/>
      <w:kern w:val="2"/>
      <w:sz w:val="18"/>
      <w:lang w:val="en-US" w:eastAsia="zh-CN" w:bidi="ar-SA"/>
    </w:rPr>
  </w:style>
  <w:style w:type="character" w:customStyle="1" w:styleId="133">
    <w:name w:val="正文首行缩进 Char"/>
    <w:link w:val="44"/>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4"/>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qFormat/>
    <w:uiPriority w:val="1"/>
    <w:pPr>
      <w:spacing w:before="70"/>
    </w:pPr>
    <w:rPr>
      <w:rFonts w:ascii="宋体" w:hAnsi="宋体" w:eastAsia="宋体" w:cs="宋体"/>
      <w:lang w:val="zh-CN" w:eastAsia="zh-CN" w:bidi="zh-CN"/>
    </w:rPr>
  </w:style>
  <w:style w:type="paragraph" w:customStyle="1" w:styleId="308">
    <w:name w:val="首行缩进"/>
    <w:basedOn w:val="1"/>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qFormat/>
    <w:uiPriority w:val="34"/>
    <w:pPr>
      <w:ind w:firstLine="420" w:firstLineChars="200"/>
    </w:pPr>
    <w:rPr>
      <w:rFonts w:ascii="Times New Roman" w:hAnsi="Times New Roman" w:cs="Times New Roman"/>
      <w:kern w:val="0"/>
      <w:sz w:val="2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7766</Words>
  <Characters>8332</Characters>
  <Lines>286</Lines>
  <Paragraphs>80</Paragraphs>
  <TotalTime>1</TotalTime>
  <ScaleCrop>false</ScaleCrop>
  <LinksUpToDate>false</LinksUpToDate>
  <CharactersWithSpaces>8554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锁锁</cp:lastModifiedBy>
  <cp:lastPrinted>2025-01-27T01:38:00Z</cp:lastPrinted>
  <dcterms:modified xsi:type="dcterms:W3CDTF">2025-01-27T03:06:07Z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E0B6C10659A44F5C81DAC4B79408920D</vt:lpwstr>
  </property>
  <property fmtid="{D5CDD505-2E9C-101B-9397-08002B2CF9AE}" pid="4" name="KSOTemplateDocerSaveRecord">
    <vt:lpwstr>eyJoZGlkIjoiODY3MGRkMjVkNTE0MTY5YzdkZmQ5ZDA1NjJhNjczM2UiLCJ1c2VySWQiOiI5Njg4Nzk5MjUifQ==</vt:lpwstr>
  </property>
</Properties>
</file>