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auto"/>
          <w:sz w:val="32"/>
          <w:highlight w:val="none"/>
        </w:rPr>
      </w:pPr>
      <w:bookmarkStart w:id="0" w:name="_Toc491658631"/>
    </w:p>
    <w:p>
      <w:pPr>
        <w:pStyle w:val="24"/>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auto"/>
          <w:sz w:val="52"/>
          <w:szCs w:val="52"/>
          <w:highlight w:val="none"/>
        </w:rPr>
      </w:pPr>
    </w:p>
    <w:p>
      <w:pPr>
        <w:pStyle w:val="24"/>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公开招标</w:t>
      </w:r>
    </w:p>
    <w:p>
      <w:pPr>
        <w:pStyle w:val="24"/>
        <w:widowControl/>
        <w:adjustRightInd w:val="0"/>
        <w:snapToGrid w:val="0"/>
        <w:spacing w:line="360" w:lineRule="auto"/>
        <w:jc w:val="center"/>
        <w:rPr>
          <w:rFonts w:ascii="黑体" w:eastAsia="黑体"/>
          <w:bCs/>
          <w:color w:val="auto"/>
          <w:sz w:val="72"/>
          <w:szCs w:val="72"/>
          <w:highlight w:val="none"/>
        </w:rPr>
      </w:pPr>
    </w:p>
    <w:p>
      <w:pPr>
        <w:pStyle w:val="24"/>
        <w:widowControl/>
        <w:adjustRightInd w:val="0"/>
        <w:snapToGrid w:val="0"/>
        <w:spacing w:line="360" w:lineRule="auto"/>
        <w:jc w:val="center"/>
        <w:rPr>
          <w:rFonts w:ascii="黑体" w:eastAsia="黑体"/>
          <w:bCs/>
          <w:color w:val="auto"/>
          <w:sz w:val="36"/>
          <w:highlight w:val="none"/>
        </w:rPr>
      </w:pPr>
      <w:r>
        <w:rPr>
          <w:rFonts w:hint="eastAsia" w:ascii="黑体" w:eastAsia="黑体"/>
          <w:bCs/>
          <w:color w:val="auto"/>
          <w:sz w:val="72"/>
          <w:highlight w:val="none"/>
        </w:rPr>
        <w:t>招  标  文  件</w:t>
      </w:r>
    </w:p>
    <w:p>
      <w:pPr>
        <w:pStyle w:val="24"/>
        <w:widowControl/>
        <w:adjustRightInd w:val="0"/>
        <w:snapToGrid w:val="0"/>
        <w:spacing w:line="360" w:lineRule="auto"/>
        <w:jc w:val="center"/>
        <w:rPr>
          <w:rFonts w:ascii="黑体" w:hAnsi="黑体" w:eastAsia="黑体"/>
          <w:bCs/>
          <w:color w:val="auto"/>
          <w:sz w:val="24"/>
          <w:szCs w:val="24"/>
          <w:highlight w:val="none"/>
          <w:bdr w:val="single" w:color="auto" w:sz="4" w:space="0"/>
        </w:rPr>
      </w:pPr>
    </w:p>
    <w:p>
      <w:pPr>
        <w:pStyle w:val="24"/>
        <w:widowControl/>
        <w:adjustRightInd w:val="0"/>
        <w:snapToGrid w:val="0"/>
        <w:spacing w:line="360" w:lineRule="auto"/>
        <w:jc w:val="center"/>
        <w:rPr>
          <w:rFonts w:ascii="黑体" w:eastAsia="黑体"/>
          <w:bCs/>
          <w:color w:val="auto"/>
          <w:sz w:val="52"/>
          <w:szCs w:val="52"/>
          <w:highlight w:val="none"/>
        </w:rPr>
      </w:pPr>
    </w:p>
    <w:p>
      <w:pPr>
        <w:pStyle w:val="24"/>
        <w:widowControl/>
        <w:adjustRightInd w:val="0"/>
        <w:snapToGrid w:val="0"/>
        <w:spacing w:line="360" w:lineRule="auto"/>
        <w:rPr>
          <w:rFonts w:ascii="黑体" w:eastAsia="黑体"/>
          <w:bCs/>
          <w:color w:val="auto"/>
          <w:sz w:val="52"/>
          <w:szCs w:val="52"/>
          <w:highlight w:val="none"/>
        </w:rPr>
      </w:pPr>
    </w:p>
    <w:p>
      <w:pPr>
        <w:pStyle w:val="24"/>
        <w:widowControl/>
        <w:adjustRightInd w:val="0"/>
        <w:snapToGrid w:val="0"/>
        <w:spacing w:line="360" w:lineRule="auto"/>
        <w:rPr>
          <w:rFonts w:ascii="黑体" w:eastAsia="黑体"/>
          <w:bCs/>
          <w:color w:val="auto"/>
          <w:sz w:val="52"/>
          <w:szCs w:val="52"/>
          <w:highlight w:val="none"/>
        </w:rPr>
      </w:pPr>
    </w:p>
    <w:tbl>
      <w:tblPr>
        <w:tblStyle w:val="47"/>
        <w:tblW w:w="8314" w:type="dxa"/>
        <w:jc w:val="center"/>
        <w:tblLayout w:type="fixed"/>
        <w:tblCellMar>
          <w:top w:w="0" w:type="dxa"/>
          <w:left w:w="108" w:type="dxa"/>
          <w:bottom w:w="0" w:type="dxa"/>
          <w:right w:w="108" w:type="dxa"/>
        </w:tblCellMar>
      </w:tblPr>
      <w:tblGrid>
        <w:gridCol w:w="1951"/>
        <w:gridCol w:w="284"/>
        <w:gridCol w:w="6079"/>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079" w:type="dxa"/>
            <w:vAlign w:val="center"/>
          </w:tcPr>
          <w:p>
            <w:pPr>
              <w:pStyle w:val="24"/>
              <w:widowControl/>
              <w:adjustRightInd w:val="0"/>
              <w:snapToGrid w:val="0"/>
              <w:spacing w:line="360" w:lineRule="auto"/>
              <w:jc w:val="left"/>
              <w:rPr>
                <w:rFonts w:hint="eastAsia" w:hAnsi="宋体" w:eastAsia="宋体"/>
                <w:b/>
                <w:color w:val="auto"/>
                <w:sz w:val="28"/>
                <w:szCs w:val="28"/>
                <w:highlight w:val="none"/>
                <w:lang w:eastAsia="zh-CN"/>
              </w:rPr>
            </w:pPr>
            <w:r>
              <w:rPr>
                <w:rFonts w:hint="eastAsia" w:hAnsi="宋体"/>
                <w:b/>
                <w:color w:val="auto"/>
                <w:sz w:val="28"/>
                <w:szCs w:val="28"/>
                <w:highlight w:val="none"/>
                <w:lang w:eastAsia="zh-CN"/>
              </w:rPr>
              <w:t>YXCG-20240516</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079" w:type="dxa"/>
            <w:vAlign w:val="center"/>
          </w:tcPr>
          <w:p>
            <w:pPr>
              <w:pStyle w:val="24"/>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阳江市江城区人民检察院2024年度库存综合档案数字化加工服务项目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24"/>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079" w:type="dxa"/>
            <w:vAlign w:val="center"/>
          </w:tcPr>
          <w:p>
            <w:pPr>
              <w:pStyle w:val="24"/>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阳江市江城区人民检察院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079" w:type="dxa"/>
            <w:vAlign w:val="center"/>
          </w:tcPr>
          <w:p>
            <w:pPr>
              <w:pStyle w:val="24"/>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pPr>
        <w:pStyle w:val="24"/>
        <w:widowControl/>
        <w:adjustRightInd w:val="0"/>
        <w:snapToGrid w:val="0"/>
        <w:spacing w:line="360" w:lineRule="auto"/>
        <w:jc w:val="center"/>
        <w:rPr>
          <w:rFonts w:ascii="黑体" w:eastAsia="黑体"/>
          <w:bCs/>
          <w:color w:val="auto"/>
          <w:sz w:val="24"/>
          <w:highlight w:val="none"/>
        </w:rPr>
      </w:pPr>
    </w:p>
    <w:p>
      <w:pPr>
        <w:pStyle w:val="24"/>
        <w:widowControl/>
        <w:adjustRightInd w:val="0"/>
        <w:snapToGrid w:val="0"/>
        <w:spacing w:line="360" w:lineRule="auto"/>
        <w:jc w:val="center"/>
        <w:rPr>
          <w:rFonts w:hAnsi="宋体"/>
          <w:b/>
          <w:color w:val="auto"/>
          <w:sz w:val="36"/>
          <w:highlight w:val="none"/>
        </w:rPr>
      </w:pPr>
      <w:r>
        <w:rPr>
          <w:rFonts w:hint="eastAsia" w:ascii="黑体" w:eastAsia="黑体"/>
          <w:bCs/>
          <w:color w:val="auto"/>
          <w:sz w:val="24"/>
          <w:highlight w:val="none"/>
        </w:rPr>
        <w:t>二○</w:t>
      </w:r>
      <w:r>
        <w:rPr>
          <w:rFonts w:hint="eastAsia" w:ascii="黑体" w:eastAsia="黑体"/>
          <w:bCs/>
          <w:color w:val="auto"/>
          <w:sz w:val="24"/>
          <w:highlight w:val="none"/>
          <w:lang w:val="en-US" w:eastAsia="zh-CN"/>
        </w:rPr>
        <w:t>二四</w:t>
      </w:r>
      <w:r>
        <w:rPr>
          <w:rFonts w:hint="eastAsia" w:ascii="黑体" w:eastAsia="黑体"/>
          <w:bCs/>
          <w:color w:val="auto"/>
          <w:sz w:val="24"/>
          <w:highlight w:val="none"/>
        </w:rPr>
        <w:t>年</w:t>
      </w:r>
      <w:r>
        <w:rPr>
          <w:rFonts w:hint="eastAsia" w:ascii="黑体" w:eastAsia="黑体"/>
          <w:bCs/>
          <w:color w:val="auto"/>
          <w:sz w:val="24"/>
          <w:highlight w:val="none"/>
          <w:lang w:val="en-US" w:eastAsia="zh-CN"/>
        </w:rPr>
        <w:t>五</w:t>
      </w:r>
      <w:r>
        <w:rPr>
          <w:rFonts w:hint="eastAsia" w:ascii="黑体" w:eastAsia="黑体"/>
          <w:bCs/>
          <w:color w:val="auto"/>
          <w:sz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请供应商特别留意招标文件上注明的投标截止和开标时间，逾期送达或邮寄送达的投标文件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ascii="宋体" w:hAnsi="宋体"/>
          <w:b/>
          <w:color w:val="auto"/>
          <w:szCs w:val="21"/>
          <w:highlight w:val="none"/>
          <w:u w:val="single"/>
        </w:rPr>
        <w:t>招标文件中标有“★”的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请正确填写《开标一览表》，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的投标项目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报价要求详见招标文件《开标一览表》</w:t>
      </w:r>
      <w:r>
        <w:rPr>
          <w:rFonts w:ascii="宋体" w:hAnsi="宋体"/>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请仔细检查《投标函》、《开标一览表》、</w:t>
      </w:r>
      <w:r>
        <w:rPr>
          <w:rFonts w:hint="eastAsia" w:ascii="宋体" w:hAnsi="宋体"/>
          <w:color w:val="auto"/>
          <w:szCs w:val="21"/>
          <w:highlight w:val="none"/>
        </w:rPr>
        <w:t>《法定代表人（负责人）证明书》、</w:t>
      </w:r>
      <w:r>
        <w:rPr>
          <w:rFonts w:ascii="宋体" w:hAnsi="宋体"/>
          <w:color w:val="auto"/>
          <w:szCs w:val="21"/>
          <w:highlight w:val="none"/>
        </w:rPr>
        <w:t>《</w:t>
      </w:r>
      <w:r>
        <w:rPr>
          <w:rFonts w:hint="eastAsia" w:ascii="宋体" w:hAnsi="宋体"/>
          <w:color w:val="auto"/>
          <w:szCs w:val="21"/>
          <w:highlight w:val="none"/>
        </w:rPr>
        <w:t>法定代表人（负责人）</w:t>
      </w:r>
      <w:r>
        <w:rPr>
          <w:rFonts w:ascii="宋体" w:hAnsi="宋体"/>
          <w:color w:val="auto"/>
          <w:szCs w:val="21"/>
          <w:highlight w:val="none"/>
        </w:rPr>
        <w:t>授权书》等重要格式文件是否有按要求盖公章或签名</w:t>
      </w:r>
      <w:r>
        <w:rPr>
          <w:rFonts w:hint="eastAsia" w:ascii="宋体" w:hAnsi="宋体" w:cs="Tahoma"/>
          <w:b/>
          <w:bCs/>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建议将投标文件按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评标委员会</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24"/>
        <w:widowControl/>
        <w:adjustRightInd w:val="0"/>
        <w:snapToGrid w:val="0"/>
        <w:spacing w:line="440" w:lineRule="exact"/>
        <w:ind w:firstLine="413" w:firstLineChars="196"/>
        <w:rPr>
          <w:rFonts w:ascii="黑体" w:eastAsia="黑体"/>
          <w:bCs/>
          <w:color w:val="auto"/>
          <w:sz w:val="30"/>
          <w:szCs w:val="30"/>
          <w:highlight w:val="none"/>
        </w:rPr>
      </w:pPr>
      <w:r>
        <w:rPr>
          <w:rFonts w:hint="eastAsia" w:hAnsi="宋体" w:cs="仿宋_GB2312"/>
          <w:b/>
          <w:bCs/>
          <w:color w:val="auto"/>
          <w:highlight w:val="none"/>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auto"/>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auto"/>
          <w:szCs w:val="21"/>
          <w:highlight w:val="none"/>
        </w:rPr>
      </w:pPr>
      <w:r>
        <w:rPr>
          <w:rFonts w:ascii="宋体" w:hAnsi="宋体"/>
          <w:bCs/>
          <w:color w:val="auto"/>
          <w:szCs w:val="21"/>
          <w:highlight w:val="none"/>
        </w:rPr>
        <w:tab/>
      </w:r>
      <w:r>
        <w:rPr>
          <w:rFonts w:ascii="宋体" w:hAnsi="宋体"/>
          <w:bCs/>
          <w:color w:val="auto"/>
          <w:szCs w:val="21"/>
          <w:highlight w:val="none"/>
        </w:rPr>
        <w:tab/>
      </w: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center"/>
        <w:rPr>
          <w:rFonts w:ascii="宋体" w:hAnsi="宋体"/>
          <w:b/>
          <w:bCs/>
          <w:color w:val="auto"/>
          <w:sz w:val="32"/>
          <w:szCs w:val="32"/>
          <w:highlight w:val="none"/>
        </w:rPr>
      </w:pPr>
      <w:r>
        <w:rPr>
          <w:rFonts w:hint="eastAsia" w:ascii="宋体" w:hAnsi="宋体"/>
          <w:b/>
          <w:bCs/>
          <w:color w:val="auto"/>
          <w:sz w:val="32"/>
          <w:szCs w:val="32"/>
          <w:highlight w:val="none"/>
        </w:rPr>
        <w:t>目   录</w:t>
      </w:r>
    </w:p>
    <w:p>
      <w:pPr>
        <w:pStyle w:val="2"/>
        <w:numPr>
          <w:ilvl w:val="0"/>
          <w:numId w:val="0"/>
        </w:numPr>
        <w:spacing w:beforeLines="0" w:line="240" w:lineRule="auto"/>
        <w:rPr>
          <w:color w:val="auto"/>
          <w:highlight w:val="none"/>
        </w:rPr>
      </w:pPr>
    </w:p>
    <w:p>
      <w:pPr>
        <w:pStyle w:val="31"/>
        <w:tabs>
          <w:tab w:val="right" w:leader="dot" w:pos="9070"/>
          <w:tab w:val="clear" w:pos="8949"/>
        </w:tabs>
      </w:pPr>
      <w:r>
        <w:rPr>
          <w:b w:val="0"/>
          <w:bCs w:val="0"/>
          <w:caps w:val="0"/>
          <w:color w:val="auto"/>
          <w:highlight w:val="none"/>
        </w:rPr>
        <w:fldChar w:fldCharType="begin"/>
      </w:r>
      <w:r>
        <w:rPr>
          <w:b w:val="0"/>
          <w:bCs w:val="0"/>
          <w:caps w:val="0"/>
          <w:color w:val="auto"/>
          <w:highlight w:val="none"/>
        </w:rPr>
        <w:instrText xml:space="preserve"> TOC \o "1-3" \h \z \u </w:instrText>
      </w:r>
      <w:r>
        <w:rPr>
          <w:b w:val="0"/>
          <w:bCs w:val="0"/>
          <w:caps w:val="0"/>
          <w:color w:val="auto"/>
          <w:highlight w:val="none"/>
        </w:rPr>
        <w:fldChar w:fldCharType="separate"/>
      </w:r>
      <w:r>
        <w:rPr>
          <w:bCs w:val="0"/>
          <w:caps w:val="0"/>
          <w:color w:val="auto"/>
          <w:highlight w:val="none"/>
        </w:rPr>
        <w:fldChar w:fldCharType="begin"/>
      </w:r>
      <w:r>
        <w:rPr>
          <w:bCs w:val="0"/>
          <w:caps w:val="0"/>
          <w:highlight w:val="none"/>
        </w:rPr>
        <w:instrText xml:space="preserve"> HYPERLINK \l _Toc946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_Toc946 \h </w:instrText>
      </w:r>
      <w:r>
        <w:fldChar w:fldCharType="separate"/>
      </w:r>
      <w:r>
        <w:t>5</w:t>
      </w:r>
      <w:r>
        <w:fldChar w:fldCharType="end"/>
      </w:r>
      <w:r>
        <w:rPr>
          <w:bCs w:val="0"/>
          <w:caps w:val="0"/>
          <w:color w:val="auto"/>
          <w:highlight w:val="none"/>
        </w:rPr>
        <w:fldChar w:fldCharType="end"/>
      </w:r>
    </w:p>
    <w:p>
      <w:pPr>
        <w:pStyle w:val="31"/>
        <w:tabs>
          <w:tab w:val="right" w:leader="dot" w:pos="9070"/>
          <w:tab w:val="clear" w:pos="8949"/>
        </w:tabs>
      </w:pPr>
      <w:r>
        <w:rPr>
          <w:bCs/>
          <w:caps/>
          <w:color w:val="auto"/>
          <w:szCs w:val="21"/>
          <w:highlight w:val="none"/>
        </w:rPr>
        <w:fldChar w:fldCharType="begin"/>
      </w:r>
      <w:r>
        <w:rPr>
          <w:bCs/>
          <w:caps/>
          <w:szCs w:val="21"/>
          <w:highlight w:val="none"/>
        </w:rPr>
        <w:instrText xml:space="preserve"> HYPERLINK \l _Toc21271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_Toc21271 \h </w:instrText>
      </w:r>
      <w:r>
        <w:fldChar w:fldCharType="separate"/>
      </w:r>
      <w:r>
        <w:t>7</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_Toc29777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_Toc29777 \h </w:instrText>
      </w:r>
      <w:r>
        <w:fldChar w:fldCharType="separate"/>
      </w:r>
      <w:r>
        <w:t>7</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_Toc26712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_Toc26712 \h </w:instrText>
      </w:r>
      <w:r>
        <w:fldChar w:fldCharType="separate"/>
      </w:r>
      <w:r>
        <w:t>9</w:t>
      </w:r>
      <w:r>
        <w:fldChar w:fldCharType="end"/>
      </w:r>
      <w:r>
        <w:rPr>
          <w:bCs/>
          <w:caps/>
          <w:color w:val="auto"/>
          <w:szCs w:val="21"/>
          <w:highlight w:val="none"/>
        </w:rPr>
        <w:fldChar w:fldCharType="end"/>
      </w:r>
    </w:p>
    <w:p>
      <w:pPr>
        <w:pStyle w:val="31"/>
        <w:tabs>
          <w:tab w:val="right" w:leader="dot" w:pos="9070"/>
          <w:tab w:val="clear" w:pos="8949"/>
        </w:tabs>
      </w:pPr>
      <w:r>
        <w:rPr>
          <w:bCs/>
          <w:caps/>
          <w:color w:val="auto"/>
          <w:szCs w:val="21"/>
          <w:highlight w:val="none"/>
        </w:rPr>
        <w:fldChar w:fldCharType="begin"/>
      </w:r>
      <w:r>
        <w:rPr>
          <w:bCs/>
          <w:caps/>
          <w:szCs w:val="21"/>
          <w:highlight w:val="none"/>
        </w:rPr>
        <w:instrText xml:space="preserve"> HYPERLINK \l _Toc13135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_Toc13135 \h </w:instrText>
      </w:r>
      <w:r>
        <w:fldChar w:fldCharType="separate"/>
      </w:r>
      <w:r>
        <w:t>17</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_Toc4783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_Toc4783 \h </w:instrText>
      </w:r>
      <w:r>
        <w:fldChar w:fldCharType="separate"/>
      </w:r>
      <w:r>
        <w:t>17</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_Toc21365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_Toc21365 \h </w:instrText>
      </w:r>
      <w:r>
        <w:fldChar w:fldCharType="separate"/>
      </w:r>
      <w:r>
        <w:t>18</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_Toc21863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_Toc21863 \h </w:instrText>
      </w:r>
      <w:r>
        <w:fldChar w:fldCharType="separate"/>
      </w:r>
      <w:r>
        <w:t>18</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_Toc8175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_Toc8175 \h </w:instrText>
      </w:r>
      <w:r>
        <w:fldChar w:fldCharType="separate"/>
      </w:r>
      <w:r>
        <w:t>18</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_Toc14249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_Toc14249 \h </w:instrText>
      </w:r>
      <w:r>
        <w:fldChar w:fldCharType="separate"/>
      </w:r>
      <w:r>
        <w:t>18</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_Toc4405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_Toc4405 \h </w:instrText>
      </w:r>
      <w:r>
        <w:fldChar w:fldCharType="separate"/>
      </w:r>
      <w:r>
        <w:t>19</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_Toc20051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tab/>
      </w:r>
      <w:r>
        <w:fldChar w:fldCharType="begin"/>
      </w:r>
      <w:r>
        <w:instrText xml:space="preserve"> PAGEREF _Toc20051 \h </w:instrText>
      </w:r>
      <w:r>
        <w:fldChar w:fldCharType="separate"/>
      </w:r>
      <w:r>
        <w:t>19</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_Toc30183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_Toc30183 \h </w:instrText>
      </w:r>
      <w:r>
        <w:fldChar w:fldCharType="separate"/>
      </w:r>
      <w:r>
        <w:t>19</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_Toc28117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_Toc28117 \h </w:instrText>
      </w:r>
      <w:r>
        <w:fldChar w:fldCharType="separate"/>
      </w:r>
      <w:r>
        <w:t>19</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_Toc22456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tab/>
      </w:r>
      <w:r>
        <w:fldChar w:fldCharType="begin"/>
      </w:r>
      <w:r>
        <w:instrText xml:space="preserve"> PAGEREF _Toc22456 \h </w:instrText>
      </w:r>
      <w:r>
        <w:fldChar w:fldCharType="separate"/>
      </w:r>
      <w:r>
        <w:t>20</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_Toc3065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_Toc3065 \h </w:instrText>
      </w:r>
      <w:r>
        <w:fldChar w:fldCharType="separate"/>
      </w:r>
      <w:r>
        <w:t>20</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_Toc9385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_Toc9385 \h </w:instrText>
      </w:r>
      <w:r>
        <w:fldChar w:fldCharType="separate"/>
      </w:r>
      <w:r>
        <w:t>20</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_Toc22700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_Toc22700 \h </w:instrText>
      </w:r>
      <w:r>
        <w:fldChar w:fldCharType="separate"/>
      </w:r>
      <w:r>
        <w:t>20</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_Toc10016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_Toc10016 \h </w:instrText>
      </w:r>
      <w:r>
        <w:fldChar w:fldCharType="separate"/>
      </w:r>
      <w:r>
        <w:t>20</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_Toc3648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_Toc3648 \h </w:instrText>
      </w:r>
      <w:r>
        <w:fldChar w:fldCharType="separate"/>
      </w:r>
      <w:r>
        <w:t>20</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_Toc27544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_Toc27544 \h </w:instrText>
      </w:r>
      <w:r>
        <w:fldChar w:fldCharType="separate"/>
      </w:r>
      <w:r>
        <w:t>21</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_Toc15573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_Toc15573 \h </w:instrText>
      </w:r>
      <w:r>
        <w:fldChar w:fldCharType="separate"/>
      </w:r>
      <w:r>
        <w:t>21</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_Toc26883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_Toc26883 \h </w:instrText>
      </w:r>
      <w:r>
        <w:fldChar w:fldCharType="separate"/>
      </w:r>
      <w:r>
        <w:t>21</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_Toc12725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_Toc12725 \h </w:instrText>
      </w:r>
      <w:r>
        <w:fldChar w:fldCharType="separate"/>
      </w:r>
      <w:r>
        <w:t>22</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_Toc10522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_Toc10522 \h </w:instrText>
      </w:r>
      <w:r>
        <w:fldChar w:fldCharType="separate"/>
      </w:r>
      <w:r>
        <w:t>22</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_Toc25326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tab/>
      </w:r>
      <w:r>
        <w:fldChar w:fldCharType="begin"/>
      </w:r>
      <w:r>
        <w:instrText xml:space="preserve"> PAGEREF _Toc25326 \h </w:instrText>
      </w:r>
      <w:r>
        <w:fldChar w:fldCharType="separate"/>
      </w:r>
      <w:r>
        <w:t>23</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_Toc22559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_Toc22559 \h </w:instrText>
      </w:r>
      <w:r>
        <w:fldChar w:fldCharType="separate"/>
      </w:r>
      <w:r>
        <w:t>23</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_Toc18547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_Toc18547 \h </w:instrText>
      </w:r>
      <w:r>
        <w:fldChar w:fldCharType="separate"/>
      </w:r>
      <w:r>
        <w:t>23</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_Toc8174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_Toc8174 \h </w:instrText>
      </w:r>
      <w:r>
        <w:fldChar w:fldCharType="separate"/>
      </w:r>
      <w:r>
        <w:t>23</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_Toc6024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_Toc6024 \h </w:instrText>
      </w:r>
      <w:r>
        <w:fldChar w:fldCharType="separate"/>
      </w:r>
      <w:r>
        <w:t>23</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_Toc4169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tab/>
      </w:r>
      <w:r>
        <w:fldChar w:fldCharType="begin"/>
      </w:r>
      <w:r>
        <w:instrText xml:space="preserve"> PAGEREF _Toc4169 \h </w:instrText>
      </w:r>
      <w:r>
        <w:fldChar w:fldCharType="separate"/>
      </w:r>
      <w:r>
        <w:t>24</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_Toc14918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_Toc14918 \h </w:instrText>
      </w:r>
      <w:r>
        <w:fldChar w:fldCharType="separate"/>
      </w:r>
      <w:r>
        <w:t>24</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_Toc9920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_Toc9920 \h </w:instrText>
      </w:r>
      <w:r>
        <w:fldChar w:fldCharType="separate"/>
      </w:r>
      <w:r>
        <w:t>24</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_Toc27763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_Toc27763 \h </w:instrText>
      </w:r>
      <w:r>
        <w:fldChar w:fldCharType="separate"/>
      </w:r>
      <w:r>
        <w:t>24</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_Toc23207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_Toc23207 \h </w:instrText>
      </w:r>
      <w:r>
        <w:fldChar w:fldCharType="separate"/>
      </w:r>
      <w:r>
        <w:t>25</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_Toc28688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_Toc28688 \h </w:instrText>
      </w:r>
      <w:r>
        <w:fldChar w:fldCharType="separate"/>
      </w:r>
      <w:r>
        <w:t>25</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_Toc30202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_Toc30202 \h </w:instrText>
      </w:r>
      <w:r>
        <w:fldChar w:fldCharType="separate"/>
      </w:r>
      <w:r>
        <w:t>25</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_Toc7997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_Toc7997 \h </w:instrText>
      </w:r>
      <w:r>
        <w:fldChar w:fldCharType="separate"/>
      </w:r>
      <w:r>
        <w:t>26</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_Toc2591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_Toc2591 \h </w:instrText>
      </w:r>
      <w:r>
        <w:fldChar w:fldCharType="separate"/>
      </w:r>
      <w:r>
        <w:t>26</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_Toc3691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_Toc3691 \h </w:instrText>
      </w:r>
      <w:r>
        <w:fldChar w:fldCharType="separate"/>
      </w:r>
      <w:r>
        <w:t>26</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_Toc2014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_Toc2014 \h </w:instrText>
      </w:r>
      <w:r>
        <w:fldChar w:fldCharType="separate"/>
      </w:r>
      <w:r>
        <w:t>26</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_Toc18677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_Toc18677 \h </w:instrText>
      </w:r>
      <w:r>
        <w:fldChar w:fldCharType="separate"/>
      </w:r>
      <w:r>
        <w:t>26</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_Toc31759 </w:instrText>
      </w:r>
      <w:r>
        <w:rPr>
          <w:bCs/>
          <w:caps/>
          <w:szCs w:val="21"/>
          <w:highlight w:val="none"/>
        </w:rPr>
        <w:fldChar w:fldCharType="separate"/>
      </w:r>
      <w:r>
        <w:rPr>
          <w:rFonts w:hint="eastAsia"/>
          <w:highlight w:val="none"/>
        </w:rPr>
        <w:t>Ｆ  授予合同</w:t>
      </w:r>
      <w:r>
        <w:tab/>
      </w:r>
      <w:r>
        <w:fldChar w:fldCharType="begin"/>
      </w:r>
      <w:r>
        <w:instrText xml:space="preserve"> PAGEREF _Toc31759 \h </w:instrText>
      </w:r>
      <w:r>
        <w:fldChar w:fldCharType="separate"/>
      </w:r>
      <w:r>
        <w:t>28</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_Toc17295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_Toc17295 \h </w:instrText>
      </w:r>
      <w:r>
        <w:fldChar w:fldCharType="separate"/>
      </w:r>
      <w:r>
        <w:t>28</w:t>
      </w:r>
      <w:r>
        <w:fldChar w:fldCharType="end"/>
      </w:r>
      <w:r>
        <w:rPr>
          <w:bCs/>
          <w:caps/>
          <w:color w:val="auto"/>
          <w:szCs w:val="21"/>
          <w:highlight w:val="none"/>
        </w:rPr>
        <w:fldChar w:fldCharType="end"/>
      </w:r>
    </w:p>
    <w:p>
      <w:pPr>
        <w:pStyle w:val="23"/>
        <w:tabs>
          <w:tab w:val="right" w:leader="dot" w:pos="9070"/>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_Toc16082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_Toc16082 \h </w:instrText>
      </w:r>
      <w:r>
        <w:fldChar w:fldCharType="separate"/>
      </w:r>
      <w:r>
        <w:t>28</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_Toc15156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_Toc15156 \h </w:instrText>
      </w:r>
      <w:r>
        <w:fldChar w:fldCharType="separate"/>
      </w:r>
      <w:r>
        <w:t>29</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_Toc4415 </w:instrText>
      </w:r>
      <w:r>
        <w:rPr>
          <w:bCs/>
          <w:caps/>
          <w:szCs w:val="21"/>
          <w:highlight w:val="none"/>
        </w:rPr>
        <w:fldChar w:fldCharType="separate"/>
      </w:r>
      <w:r>
        <w:rPr>
          <w:rFonts w:hint="eastAsia"/>
          <w:highlight w:val="none"/>
        </w:rPr>
        <w:t>H、评标细则</w:t>
      </w:r>
      <w:r>
        <w:tab/>
      </w:r>
      <w:r>
        <w:fldChar w:fldCharType="begin"/>
      </w:r>
      <w:r>
        <w:instrText xml:space="preserve"> PAGEREF _Toc4415 \h </w:instrText>
      </w:r>
      <w:r>
        <w:fldChar w:fldCharType="separate"/>
      </w:r>
      <w:r>
        <w:t>31</w:t>
      </w:r>
      <w:r>
        <w:fldChar w:fldCharType="end"/>
      </w:r>
      <w:r>
        <w:rPr>
          <w:bCs/>
          <w:caps/>
          <w:color w:val="auto"/>
          <w:szCs w:val="21"/>
          <w:highlight w:val="none"/>
        </w:rPr>
        <w:fldChar w:fldCharType="end"/>
      </w:r>
    </w:p>
    <w:p>
      <w:pPr>
        <w:pStyle w:val="31"/>
        <w:tabs>
          <w:tab w:val="right" w:leader="dot" w:pos="9070"/>
          <w:tab w:val="clear" w:pos="8949"/>
        </w:tabs>
      </w:pPr>
      <w:r>
        <w:rPr>
          <w:bCs/>
          <w:caps/>
          <w:color w:val="auto"/>
          <w:szCs w:val="21"/>
          <w:highlight w:val="none"/>
        </w:rPr>
        <w:fldChar w:fldCharType="begin"/>
      </w:r>
      <w:r>
        <w:rPr>
          <w:bCs/>
          <w:caps/>
          <w:szCs w:val="21"/>
          <w:highlight w:val="none"/>
        </w:rPr>
        <w:instrText xml:space="preserve"> HYPERLINK \l _Toc11383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_Toc11383 \h </w:instrText>
      </w:r>
      <w:r>
        <w:fldChar w:fldCharType="separate"/>
      </w:r>
      <w:r>
        <w:t>34</w:t>
      </w:r>
      <w:r>
        <w:fldChar w:fldCharType="end"/>
      </w:r>
      <w:r>
        <w:rPr>
          <w:bCs/>
          <w:caps/>
          <w:color w:val="auto"/>
          <w:szCs w:val="21"/>
          <w:highlight w:val="none"/>
        </w:rPr>
        <w:fldChar w:fldCharType="end"/>
      </w:r>
    </w:p>
    <w:p>
      <w:pPr>
        <w:pStyle w:val="31"/>
        <w:tabs>
          <w:tab w:val="right" w:leader="dot" w:pos="9070"/>
          <w:tab w:val="clear" w:pos="8949"/>
        </w:tabs>
      </w:pPr>
      <w:r>
        <w:rPr>
          <w:bCs/>
          <w:caps/>
          <w:color w:val="auto"/>
          <w:szCs w:val="21"/>
          <w:highlight w:val="none"/>
        </w:rPr>
        <w:fldChar w:fldCharType="begin"/>
      </w:r>
      <w:r>
        <w:rPr>
          <w:bCs/>
          <w:caps/>
          <w:szCs w:val="21"/>
          <w:highlight w:val="none"/>
        </w:rPr>
        <w:instrText xml:space="preserve"> HYPERLINK \l _Toc17914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tab/>
      </w:r>
      <w:r>
        <w:fldChar w:fldCharType="begin"/>
      </w:r>
      <w:r>
        <w:instrText xml:space="preserve"> PAGEREF _Toc17914 \h </w:instrText>
      </w:r>
      <w:r>
        <w:fldChar w:fldCharType="separate"/>
      </w:r>
      <w:r>
        <w:t>37</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_Toc11871 </w:instrText>
      </w:r>
      <w:r>
        <w:rPr>
          <w:bCs/>
          <w:caps/>
          <w:szCs w:val="21"/>
          <w:highlight w:val="none"/>
        </w:rPr>
        <w:fldChar w:fldCharType="separate"/>
      </w:r>
      <w:r>
        <w:rPr>
          <w:rFonts w:hint="eastAsia"/>
          <w:highlight w:val="none"/>
        </w:rPr>
        <w:t>资格审查封面格式</w:t>
      </w:r>
      <w:r>
        <w:tab/>
      </w:r>
      <w:r>
        <w:fldChar w:fldCharType="begin"/>
      </w:r>
      <w:r>
        <w:instrText xml:space="preserve"> PAGEREF _Toc11871 \h </w:instrText>
      </w:r>
      <w:r>
        <w:fldChar w:fldCharType="separate"/>
      </w:r>
      <w:r>
        <w:t>37</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_Toc13076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_Toc13076 \h </w:instrText>
      </w:r>
      <w:r>
        <w:fldChar w:fldCharType="separate"/>
      </w:r>
      <w:r>
        <w:t>39</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_Toc5439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_Toc5439 \h </w:instrText>
      </w:r>
      <w:r>
        <w:fldChar w:fldCharType="separate"/>
      </w:r>
      <w:r>
        <w:t>39</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_Toc24588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_Toc24588 \h </w:instrText>
      </w:r>
      <w:r>
        <w:fldChar w:fldCharType="separate"/>
      </w:r>
      <w:r>
        <w:t>40</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_Toc9510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_Toc9510 \h </w:instrText>
      </w:r>
      <w:r>
        <w:fldChar w:fldCharType="separate"/>
      </w:r>
      <w:r>
        <w:t>41</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_Toc14598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_Toc14598 \h </w:instrText>
      </w:r>
      <w:r>
        <w:fldChar w:fldCharType="separate"/>
      </w:r>
      <w:r>
        <w:t>42</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_Toc6353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_Toc6353 \h </w:instrText>
      </w:r>
      <w:r>
        <w:fldChar w:fldCharType="separate"/>
      </w:r>
      <w:r>
        <w:t>42</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_Toc6240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_Toc6240 \h </w:instrText>
      </w:r>
      <w:r>
        <w:fldChar w:fldCharType="separate"/>
      </w:r>
      <w:r>
        <w:t>44</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_Toc10576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_Toc10576 \h </w:instrText>
      </w:r>
      <w:r>
        <w:fldChar w:fldCharType="separate"/>
      </w:r>
      <w:r>
        <w:t>45</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_Toc16979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_Toc16979 \h </w:instrText>
      </w:r>
      <w:r>
        <w:fldChar w:fldCharType="separate"/>
      </w:r>
      <w:r>
        <w:t>46</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_Toc25536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_Toc25536 \h </w:instrText>
      </w:r>
      <w:r>
        <w:fldChar w:fldCharType="separate"/>
      </w:r>
      <w:r>
        <w:t>47</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_Toc2631 </w:instrText>
      </w:r>
      <w:r>
        <w:rPr>
          <w:bCs/>
          <w:caps/>
          <w:szCs w:val="21"/>
          <w:highlight w:val="none"/>
        </w:rPr>
        <w:fldChar w:fldCharType="separate"/>
      </w:r>
      <w:r>
        <w:rPr>
          <w:rFonts w:hint="eastAsia"/>
          <w:highlight w:val="none"/>
        </w:rPr>
        <w:t>附件一：投标函</w:t>
      </w:r>
      <w:r>
        <w:tab/>
      </w:r>
      <w:r>
        <w:fldChar w:fldCharType="begin"/>
      </w:r>
      <w:r>
        <w:instrText xml:space="preserve"> PAGEREF _Toc2631 \h </w:instrText>
      </w:r>
      <w:r>
        <w:fldChar w:fldCharType="separate"/>
      </w:r>
      <w:r>
        <w:t>48</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_Toc17851 </w:instrText>
      </w:r>
      <w:r>
        <w:rPr>
          <w:bCs/>
          <w:caps/>
          <w:szCs w:val="21"/>
          <w:highlight w:val="none"/>
        </w:rPr>
        <w:fldChar w:fldCharType="separate"/>
      </w:r>
      <w:r>
        <w:rPr>
          <w:rFonts w:hint="eastAsia"/>
          <w:highlight w:val="none"/>
        </w:rPr>
        <w:t>附件二：开标一览表</w:t>
      </w:r>
      <w:r>
        <w:tab/>
      </w:r>
      <w:r>
        <w:fldChar w:fldCharType="begin"/>
      </w:r>
      <w:r>
        <w:instrText xml:space="preserve"> PAGEREF _Toc17851 \h </w:instrText>
      </w:r>
      <w:r>
        <w:fldChar w:fldCharType="separate"/>
      </w:r>
      <w:r>
        <w:t>49</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_Toc22517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_Toc22517 \h </w:instrText>
      </w:r>
      <w:r>
        <w:fldChar w:fldCharType="separate"/>
      </w:r>
      <w:r>
        <w:t>50</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_Toc7796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_Toc7796 \h </w:instrText>
      </w:r>
      <w:r>
        <w:fldChar w:fldCharType="separate"/>
      </w:r>
      <w:r>
        <w:t>51</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_Toc12958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_Toc12958 \h </w:instrText>
      </w:r>
      <w:r>
        <w:fldChar w:fldCharType="separate"/>
      </w:r>
      <w:r>
        <w:t>52</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_Toc24990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_Toc24990 \h </w:instrText>
      </w:r>
      <w:r>
        <w:fldChar w:fldCharType="separate"/>
      </w:r>
      <w:r>
        <w:t>53</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_Toc27346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_Toc27346 \h </w:instrText>
      </w:r>
      <w:r>
        <w:fldChar w:fldCharType="separate"/>
      </w:r>
      <w:r>
        <w:t>54</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_Toc17032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_Toc17032 \h </w:instrText>
      </w:r>
      <w:r>
        <w:fldChar w:fldCharType="separate"/>
      </w:r>
      <w:r>
        <w:t>55</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_Toc32675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_Toc32675 \h </w:instrText>
      </w:r>
      <w:r>
        <w:fldChar w:fldCharType="separate"/>
      </w:r>
      <w:r>
        <w:t>56</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_Toc24850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_Toc24850 \h </w:instrText>
      </w:r>
      <w:r>
        <w:fldChar w:fldCharType="separate"/>
      </w:r>
      <w:r>
        <w:t>57</w:t>
      </w:r>
      <w:r>
        <w:fldChar w:fldCharType="end"/>
      </w:r>
      <w:r>
        <w:rPr>
          <w:bCs/>
          <w:caps/>
          <w:color w:val="auto"/>
          <w:szCs w:val="21"/>
          <w:highlight w:val="none"/>
        </w:rPr>
        <w:fldChar w:fldCharType="end"/>
      </w:r>
    </w:p>
    <w:p>
      <w:pPr>
        <w:pStyle w:val="38"/>
        <w:tabs>
          <w:tab w:val="right" w:leader="dot" w:pos="9070"/>
          <w:tab w:val="clear" w:pos="8948"/>
        </w:tabs>
      </w:pPr>
      <w:r>
        <w:rPr>
          <w:bCs/>
          <w:caps/>
          <w:color w:val="auto"/>
          <w:szCs w:val="21"/>
          <w:highlight w:val="none"/>
        </w:rPr>
        <w:fldChar w:fldCharType="begin"/>
      </w:r>
      <w:r>
        <w:rPr>
          <w:bCs/>
          <w:caps/>
          <w:szCs w:val="21"/>
          <w:highlight w:val="none"/>
        </w:rPr>
        <w:instrText xml:space="preserve"> HYPERLINK \l _Toc564 </w:instrText>
      </w:r>
      <w:r>
        <w:rPr>
          <w:bCs/>
          <w:caps/>
          <w:szCs w:val="21"/>
          <w:highlight w:val="none"/>
        </w:rPr>
        <w:fldChar w:fldCharType="separate"/>
      </w:r>
      <w:r>
        <w:rPr>
          <w:rFonts w:hint="eastAsia"/>
          <w:highlight w:val="none"/>
        </w:rPr>
        <w:t>其 他 格 式</w:t>
      </w:r>
      <w:r>
        <w:tab/>
      </w:r>
      <w:r>
        <w:fldChar w:fldCharType="begin"/>
      </w:r>
      <w:r>
        <w:instrText xml:space="preserve"> PAGEREF _Toc564 \h </w:instrText>
      </w:r>
      <w:r>
        <w:fldChar w:fldCharType="separate"/>
      </w:r>
      <w:r>
        <w:t>58</w:t>
      </w:r>
      <w:r>
        <w:fldChar w:fldCharType="end"/>
      </w:r>
      <w:r>
        <w:rPr>
          <w:bCs/>
          <w:caps/>
          <w:color w:val="auto"/>
          <w:szCs w:val="21"/>
          <w:highlight w:val="none"/>
        </w:rPr>
        <w:fldChar w:fldCharType="end"/>
      </w:r>
    </w:p>
    <w:p>
      <w:pPr>
        <w:rPr>
          <w:color w:val="auto"/>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auto"/>
          <w:szCs w:val="21"/>
          <w:highlight w:val="none"/>
        </w:rPr>
        <w:fldChar w:fldCharType="end"/>
      </w:r>
    </w:p>
    <w:bookmarkEnd w:id="0"/>
    <w:p>
      <w:pPr>
        <w:pStyle w:val="2"/>
        <w:numPr>
          <w:ilvl w:val="0"/>
          <w:numId w:val="0"/>
        </w:numPr>
        <w:spacing w:beforeLines="0"/>
        <w:rPr>
          <w:color w:val="auto"/>
          <w:highlight w:val="none"/>
        </w:rPr>
      </w:pPr>
      <w:bookmarkStart w:id="1" w:name="_Toc336681892"/>
      <w:bookmarkStart w:id="2" w:name="_Toc339362257"/>
      <w:bookmarkStart w:id="3" w:name="_Toc342296708"/>
      <w:bookmarkStart w:id="4" w:name="_Toc366072457"/>
      <w:bookmarkStart w:id="5" w:name="_Toc333237612"/>
      <w:bookmarkStart w:id="6" w:name="_Toc331683994"/>
      <w:bookmarkStart w:id="7" w:name="_Toc339019828"/>
      <w:bookmarkStart w:id="8" w:name="_Toc336681537"/>
      <w:bookmarkStart w:id="9" w:name="_Toc349127583"/>
      <w:bookmarkStart w:id="10" w:name="_Toc350756403"/>
      <w:bookmarkStart w:id="11" w:name="_Toc340507403"/>
      <w:bookmarkStart w:id="12" w:name="_Toc333935278"/>
      <w:bookmarkStart w:id="13" w:name="_Toc339020048"/>
      <w:bookmarkStart w:id="14" w:name="_Toc345513762"/>
      <w:bookmarkStart w:id="15" w:name="_Toc333238571"/>
      <w:bookmarkStart w:id="16" w:name="_Toc333237723"/>
      <w:bookmarkStart w:id="17" w:name="_Toc339019954"/>
      <w:bookmarkStart w:id="18" w:name="_Toc337632315"/>
      <w:bookmarkStart w:id="19" w:name="_Toc331512856"/>
      <w:bookmarkStart w:id="20" w:name="_Toc350438702"/>
      <w:bookmarkStart w:id="21" w:name="_Toc365985108"/>
      <w:bookmarkStart w:id="22" w:name="_Toc332206657"/>
      <w:bookmarkStart w:id="23" w:name="_Toc365967002"/>
      <w:bookmarkStart w:id="24" w:name="_Toc333935619"/>
      <w:bookmarkStart w:id="25" w:name="_Toc342060322"/>
      <w:bookmarkStart w:id="26" w:name="_Toc330459945"/>
      <w:bookmarkStart w:id="27" w:name="_Toc339441044"/>
      <w:bookmarkStart w:id="28" w:name="_Toc340677031"/>
      <w:bookmarkStart w:id="29" w:name="_Toc349143546"/>
      <w:bookmarkStart w:id="30" w:name="_Toc340672830"/>
      <w:bookmarkStart w:id="31" w:name="_Toc332270305"/>
      <w:bookmarkStart w:id="32" w:name="_Toc341348291"/>
      <w:bookmarkStart w:id="33" w:name="_Toc339020186"/>
      <w:bookmarkStart w:id="34" w:name="_Toc946"/>
      <w:bookmarkStart w:id="35" w:name="_Toc500860978"/>
      <w:r>
        <w:rPr>
          <w:rFonts w:hint="eastAsia"/>
          <w:color w:val="auto"/>
          <w:highlight w:val="none"/>
        </w:rPr>
        <w:t>第一</w:t>
      </w:r>
      <w:bookmarkStart w:id="36" w:name="_Hlt23321731"/>
      <w:bookmarkEnd w:id="36"/>
      <w:r>
        <w:rPr>
          <w:rFonts w:hint="eastAsia"/>
          <w:color w:val="auto"/>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auto"/>
          <w:highlight w:val="none"/>
        </w:rPr>
      </w:pPr>
      <w:r>
        <w:rPr>
          <w:rFonts w:hint="eastAsia" w:ascii="宋体" w:hAnsi="宋体"/>
          <w:bCs/>
          <w:color w:val="auto"/>
          <w:highlight w:val="none"/>
        </w:rPr>
        <w:t>广东业信采购招标有限公司（以下简称“代理采购机构”）受</w:t>
      </w:r>
      <w:r>
        <w:rPr>
          <w:rFonts w:hint="eastAsia" w:ascii="宋体" w:hAnsi="宋体"/>
          <w:bCs/>
          <w:color w:val="auto"/>
          <w:highlight w:val="none"/>
          <w:lang w:eastAsia="zh-CN"/>
        </w:rPr>
        <w:t>阳江市江城区人民检察院</w:t>
      </w:r>
      <w:r>
        <w:rPr>
          <w:rFonts w:hint="eastAsia" w:ascii="宋体" w:hAnsi="宋体"/>
          <w:bCs/>
          <w:color w:val="auto"/>
          <w:highlight w:val="none"/>
        </w:rPr>
        <w:t>（以下简称</w:t>
      </w:r>
      <w:r>
        <w:rPr>
          <w:rFonts w:ascii="宋体" w:hAnsi="宋体"/>
          <w:bCs/>
          <w:color w:val="auto"/>
          <w:highlight w:val="none"/>
        </w:rPr>
        <w:t>“</w:t>
      </w:r>
      <w:r>
        <w:rPr>
          <w:rFonts w:hint="eastAsia" w:ascii="宋体" w:hAnsi="宋体"/>
          <w:bCs/>
          <w:color w:val="auto"/>
          <w:highlight w:val="none"/>
        </w:rPr>
        <w:t>采购人</w:t>
      </w:r>
      <w:r>
        <w:rPr>
          <w:rFonts w:ascii="宋体" w:hAnsi="宋体"/>
          <w:bCs/>
          <w:color w:val="auto"/>
          <w:highlight w:val="none"/>
        </w:rPr>
        <w:t>”</w:t>
      </w:r>
      <w:r>
        <w:rPr>
          <w:rFonts w:hint="eastAsia" w:ascii="宋体" w:hAnsi="宋体"/>
          <w:bCs/>
          <w:color w:val="auto"/>
          <w:highlight w:val="none"/>
        </w:rPr>
        <w:t>）的委托，就</w:t>
      </w:r>
      <w:r>
        <w:rPr>
          <w:rFonts w:hint="eastAsia" w:ascii="宋体" w:hAnsi="宋体"/>
          <w:bCs/>
          <w:color w:val="auto"/>
          <w:highlight w:val="none"/>
          <w:lang w:eastAsia="zh-CN"/>
        </w:rPr>
        <w:t>阳江市江城区人民检察院2024年度库存综合档案数字化加工服务项目</w:t>
      </w:r>
      <w:r>
        <w:rPr>
          <w:rFonts w:hint="eastAsia" w:ascii="宋体" w:hAnsi="宋体"/>
          <w:bCs/>
          <w:color w:val="auto"/>
          <w:highlight w:val="none"/>
        </w:rPr>
        <w:t>进行公开招标 (项目编号:</w:t>
      </w:r>
      <w:r>
        <w:rPr>
          <w:rFonts w:ascii="宋体" w:hAnsi="宋体"/>
          <w:bCs/>
          <w:color w:val="auto"/>
          <w:highlight w:val="none"/>
        </w:rPr>
        <w:t xml:space="preserve"> </w:t>
      </w:r>
      <w:r>
        <w:rPr>
          <w:rFonts w:hint="eastAsia" w:ascii="宋体" w:hAnsi="宋体"/>
          <w:bCs/>
          <w:color w:val="auto"/>
          <w:highlight w:val="none"/>
          <w:lang w:eastAsia="zh-CN"/>
        </w:rPr>
        <w:t>YXCG-20240516</w:t>
      </w:r>
      <w:r>
        <w:rPr>
          <w:rFonts w:hint="eastAsia" w:ascii="宋体" w:hAnsi="宋体"/>
          <w:bCs/>
          <w:color w:val="auto"/>
          <w:highlight w:val="none"/>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auto"/>
          <w:szCs w:val="21"/>
          <w:highlight w:val="none"/>
        </w:rPr>
      </w:pPr>
      <w:r>
        <w:rPr>
          <w:rFonts w:hint="eastAsia" w:ascii="宋体" w:hAnsi="宋体" w:cs="Tahoma"/>
          <w:b/>
          <w:bCs/>
          <w:color w:val="auto"/>
          <w:highlight w:val="none"/>
        </w:rPr>
        <w:t>一、</w:t>
      </w:r>
      <w:r>
        <w:rPr>
          <w:rFonts w:hint="eastAsia" w:ascii="Tahoma" w:hAnsi="Tahoma" w:cs="Tahoma"/>
          <w:b/>
          <w:bCs/>
          <w:color w:val="auto"/>
          <w:szCs w:val="21"/>
          <w:highlight w:val="none"/>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auto"/>
          <w:highlight w:val="none"/>
        </w:rPr>
      </w:pPr>
      <w:r>
        <w:rPr>
          <w:rFonts w:hint="eastAsia" w:ascii="宋体" w:hAnsi="宋体"/>
          <w:bCs/>
          <w:color w:val="auto"/>
          <w:highlight w:val="none"/>
        </w:rPr>
        <w:t>项目名称：</w:t>
      </w:r>
      <w:r>
        <w:rPr>
          <w:rFonts w:hint="eastAsia" w:ascii="宋体" w:hAnsi="宋体"/>
          <w:bCs/>
          <w:color w:val="auto"/>
          <w:highlight w:val="none"/>
          <w:lang w:eastAsia="zh-CN"/>
        </w:rPr>
        <w:t>阳江市江城区人民检察院2024年度库存综合档案数字化加工服务项目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auto"/>
          <w:highlight w:val="none"/>
        </w:rPr>
      </w:pPr>
      <w:r>
        <w:rPr>
          <w:rFonts w:hint="eastAsia" w:ascii="宋体" w:hAnsi="宋体"/>
          <w:bCs/>
          <w:color w:val="auto"/>
          <w:highlight w:val="none"/>
        </w:rPr>
        <w:t xml:space="preserve">项目编号: </w:t>
      </w:r>
      <w:r>
        <w:rPr>
          <w:rFonts w:hint="eastAsia" w:ascii="宋体" w:hAnsi="宋体"/>
          <w:bCs/>
          <w:color w:val="auto"/>
          <w:highlight w:val="none"/>
          <w:lang w:eastAsia="zh-CN"/>
        </w:rPr>
        <w:t xml:space="preserve"> YXCG-20240516</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auto"/>
          <w:highlight w:val="none"/>
        </w:rPr>
      </w:pPr>
      <w:r>
        <w:rPr>
          <w:rFonts w:hint="eastAsia" w:ascii="宋体" w:hAnsi="宋体"/>
          <w:bCs/>
          <w:color w:val="auto"/>
          <w:highlight w:val="none"/>
        </w:rPr>
        <w:t>投标报价上限：人民币357000</w:t>
      </w:r>
      <w:r>
        <w:rPr>
          <w:rFonts w:hint="eastAsia" w:ascii="宋体" w:hAnsi="宋体"/>
          <w:bCs/>
          <w:color w:val="auto"/>
          <w:highlight w:val="none"/>
          <w:lang w:val="en-US" w:eastAsia="zh-CN"/>
        </w:rPr>
        <w:t>.00</w:t>
      </w:r>
      <w:r>
        <w:rPr>
          <w:rFonts w:hint="eastAsia" w:ascii="宋体" w:hAnsi="宋体"/>
          <w:bCs/>
          <w:color w:val="auto"/>
          <w:highlight w:val="none"/>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auto"/>
          <w:highlight w:val="none"/>
        </w:rPr>
      </w:pPr>
      <w:r>
        <w:rPr>
          <w:rFonts w:hint="eastAsia" w:ascii="宋体" w:hAnsi="宋体"/>
          <w:bCs/>
          <w:color w:val="auto"/>
          <w:highlight w:val="none"/>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auto"/>
          <w:highlight w:val="none"/>
        </w:rPr>
      </w:pPr>
      <w:r>
        <w:rPr>
          <w:rFonts w:hint="eastAsia" w:ascii="宋体" w:hAnsi="宋体" w:cs="宋体"/>
          <w:b/>
          <w:bCs/>
          <w:color w:val="auto"/>
          <w:highlight w:val="none"/>
          <w:lang w:val="en-US" w:eastAsia="zh-CN"/>
        </w:rPr>
        <w:t>完工期</w:t>
      </w:r>
      <w:r>
        <w:rPr>
          <w:rFonts w:hint="eastAsia" w:ascii="宋体" w:hAnsi="宋体" w:eastAsia="宋体" w:cs="宋体"/>
          <w:b/>
          <w:bCs/>
          <w:color w:val="auto"/>
          <w:highlight w:val="none"/>
          <w:lang w:val="en-US" w:eastAsia="zh-CN"/>
        </w:rPr>
        <w:t>：</w:t>
      </w:r>
      <w:r>
        <w:rPr>
          <w:rFonts w:hint="eastAsia" w:ascii="宋体" w:hAnsi="宋体" w:eastAsia="宋体" w:cs="宋体"/>
          <w:color w:val="auto"/>
          <w:highlight w:val="none"/>
          <w:lang w:val="en-US" w:eastAsia="zh-CN"/>
        </w:rPr>
        <w:t>合同签订生效之日起</w:t>
      </w:r>
      <w:r>
        <w:rPr>
          <w:rFonts w:hint="eastAsia" w:ascii="宋体" w:hAnsi="宋体" w:cs="宋体"/>
          <w:color w:val="auto"/>
          <w:highlight w:val="none"/>
          <w:lang w:val="en-US" w:eastAsia="zh-CN"/>
        </w:rPr>
        <w:t>6个月内完工</w:t>
      </w:r>
      <w:r>
        <w:rPr>
          <w:rFonts w:hint="eastAsia" w:ascii="宋体" w:hAnsi="宋体" w:eastAsia="宋体" w:cs="宋体"/>
          <w:color w:val="auto"/>
          <w:highlight w:val="none"/>
          <w:lang w:val="en-US" w:eastAsia="zh-CN"/>
        </w:rPr>
        <w:t>（超出于该</w:t>
      </w:r>
      <w:r>
        <w:rPr>
          <w:rFonts w:hint="eastAsia" w:ascii="宋体" w:hAnsi="宋体" w:cs="宋体"/>
          <w:color w:val="auto"/>
          <w:highlight w:val="none"/>
          <w:lang w:val="en-US" w:eastAsia="zh-CN"/>
        </w:rPr>
        <w:t>完工期</w:t>
      </w:r>
      <w:r>
        <w:rPr>
          <w:rFonts w:hint="eastAsia" w:ascii="宋体" w:hAnsi="宋体" w:eastAsia="宋体" w:cs="宋体"/>
          <w:color w:val="auto"/>
          <w:highlight w:val="none"/>
          <w:lang w:val="en-US" w:eastAsia="zh-CN"/>
        </w:rPr>
        <w:t>将作为无效投标处理）</w:t>
      </w:r>
      <w:r>
        <w:rPr>
          <w:rFonts w:ascii="宋体" w:hAnsi="宋体" w:eastAsia="宋体"/>
          <w:color w:val="auto"/>
          <w:szCs w:val="21"/>
          <w:highlight w:val="none"/>
        </w:rPr>
        <w:t>。</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auto"/>
          <w:highlight w:val="none"/>
        </w:rPr>
      </w:pPr>
      <w:r>
        <w:rPr>
          <w:rFonts w:hint="eastAsia" w:ascii="宋体" w:hAnsi="宋体" w:cs="Tahoma"/>
          <w:color w:val="auto"/>
          <w:kern w:val="28"/>
          <w:szCs w:val="21"/>
          <w:highlight w:val="none"/>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auto"/>
          <w:highlight w:val="none"/>
        </w:rPr>
      </w:pPr>
      <w:r>
        <w:rPr>
          <w:rFonts w:hint="eastAsia" w:ascii="宋体" w:hAnsi="宋体" w:cs="Tahoma"/>
          <w:b/>
          <w:bCs/>
          <w:color w:val="auto"/>
          <w:highlight w:val="none"/>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auto"/>
          <w:szCs w:val="21"/>
          <w:highlight w:val="none"/>
        </w:rPr>
      </w:pPr>
      <w:r>
        <w:rPr>
          <w:rFonts w:hint="eastAsia" w:ascii="宋体" w:hAnsi="宋体"/>
          <w:color w:val="auto"/>
          <w:szCs w:val="21"/>
          <w:highlight w:val="none"/>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auto"/>
          <w:highlight w:val="none"/>
        </w:rPr>
      </w:pPr>
      <w:r>
        <w:rPr>
          <w:rFonts w:hint="eastAsia" w:ascii="宋体" w:hAnsi="宋体"/>
          <w:color w:val="auto"/>
          <w:szCs w:val="21"/>
          <w:highlight w:val="none"/>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auto"/>
          <w:szCs w:val="21"/>
          <w:highlight w:val="none"/>
        </w:rPr>
      </w:pPr>
      <w:r>
        <w:rPr>
          <w:rFonts w:hint="eastAsia" w:ascii="宋体" w:hAnsi="宋体"/>
          <w:color w:val="auto"/>
          <w:szCs w:val="21"/>
          <w:highlight w:val="none"/>
        </w:rPr>
        <w:t>单位负责人为同一人或者存在直接控股、管理关系的不同投标人，不得参加同一合同项下的政府采购活动；（</w:t>
      </w:r>
      <w:r>
        <w:rPr>
          <w:rFonts w:hint="eastAsia" w:ascii="宋体" w:hAnsi="宋体"/>
          <w:color w:val="auto"/>
          <w:szCs w:val="21"/>
          <w:highlight w:val="none"/>
          <w:lang w:val="en-US" w:eastAsia="zh-CN"/>
        </w:rPr>
        <w:t>提供《投标函》承诺</w:t>
      </w:r>
      <w:r>
        <w:rPr>
          <w:rFonts w:hint="eastAsia" w:ascii="宋体" w:hAnsi="宋体"/>
          <w:color w:val="auto"/>
          <w:szCs w:val="21"/>
          <w:highlight w:val="none"/>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auto"/>
          <w:szCs w:val="21"/>
          <w:highlight w:val="none"/>
        </w:rPr>
      </w:pPr>
      <w:r>
        <w:rPr>
          <w:rFonts w:hint="eastAsia" w:ascii="宋体" w:hAnsi="宋体"/>
          <w:color w:val="auto"/>
          <w:szCs w:val="21"/>
          <w:highlight w:val="none"/>
        </w:rPr>
        <w:t>为采购项目提供整体设计、规范编制或者项目管理、监理、检测等服务的投标人，不得再参加该项目的其他采购活动；（</w:t>
      </w:r>
      <w:r>
        <w:rPr>
          <w:rFonts w:hint="eastAsia" w:ascii="宋体" w:hAnsi="宋体"/>
          <w:color w:val="auto"/>
          <w:szCs w:val="21"/>
          <w:highlight w:val="none"/>
          <w:lang w:val="en-US" w:eastAsia="zh-CN"/>
        </w:rPr>
        <w:t>提供《投标函》承诺</w:t>
      </w:r>
      <w:r>
        <w:rPr>
          <w:rFonts w:hint="eastAsia" w:ascii="宋体" w:hAnsi="宋体"/>
          <w:color w:val="auto"/>
          <w:szCs w:val="21"/>
          <w:highlight w:val="none"/>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auto"/>
          <w:szCs w:val="21"/>
          <w:highlight w:val="none"/>
        </w:rPr>
      </w:pPr>
      <w:r>
        <w:rPr>
          <w:rFonts w:hint="eastAsia" w:ascii="宋体" w:hAnsi="宋体"/>
          <w:color w:val="auto"/>
          <w:szCs w:val="21"/>
          <w:highlight w:val="none"/>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auto"/>
          <w:szCs w:val="21"/>
          <w:highlight w:val="none"/>
        </w:rPr>
      </w:pPr>
      <w:r>
        <w:rPr>
          <w:rFonts w:hint="eastAsia" w:ascii="宋体" w:hAnsi="宋体"/>
          <w:color w:val="auto"/>
          <w:szCs w:val="21"/>
          <w:highlight w:val="none"/>
        </w:rPr>
        <w:t>投标人</w:t>
      </w:r>
      <w:r>
        <w:rPr>
          <w:rFonts w:hint="eastAsia" w:hAnsi="宋体"/>
          <w:color w:val="auto"/>
          <w:szCs w:val="21"/>
          <w:highlight w:val="none"/>
        </w:rPr>
        <w:t>须</w:t>
      </w:r>
      <w:r>
        <w:rPr>
          <w:rFonts w:hint="eastAsia" w:hAnsi="宋体" w:cs="宋体"/>
          <w:color w:val="auto"/>
          <w:szCs w:val="21"/>
          <w:highlight w:val="none"/>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auto"/>
          <w:szCs w:val="21"/>
          <w:highlight w:val="none"/>
        </w:rPr>
      </w:pPr>
      <w:r>
        <w:rPr>
          <w:rFonts w:hint="eastAsia" w:ascii="Tahoma" w:hAnsi="Tahoma" w:cs="Tahoma"/>
          <w:b/>
          <w:bCs/>
          <w:color w:val="auto"/>
          <w:szCs w:val="21"/>
          <w:highlight w:val="none"/>
        </w:rPr>
        <w:t>三、</w:t>
      </w:r>
      <w:r>
        <w:rPr>
          <w:rFonts w:ascii="Tahoma" w:hAnsi="Tahoma" w:cs="Tahoma"/>
          <w:b/>
          <w:bCs/>
          <w:color w:val="auto"/>
          <w:szCs w:val="21"/>
          <w:highlight w:val="none"/>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auto"/>
          <w:highlight w:val="none"/>
        </w:rPr>
      </w:pPr>
      <w:r>
        <w:rPr>
          <w:rFonts w:hint="eastAsia" w:ascii="宋体" w:hAnsi="宋体" w:cs="宋体"/>
          <w:color w:val="auto"/>
          <w:kern w:val="0"/>
          <w:szCs w:val="21"/>
          <w:highlight w:val="none"/>
        </w:rPr>
        <w:t xml:space="preserve">  1．</w:t>
      </w:r>
      <w:r>
        <w:rPr>
          <w:rFonts w:hint="eastAsia" w:ascii="宋体" w:hAnsi="宋体" w:cs="Arial"/>
          <w:color w:val="auto"/>
          <w:highlight w:val="none"/>
        </w:rPr>
        <w:t>招标文件公示时</w:t>
      </w:r>
      <w:r>
        <w:rPr>
          <w:rFonts w:hint="eastAsia" w:ascii="宋体" w:hAnsi="宋体"/>
          <w:bCs/>
          <w:color w:val="auto"/>
          <w:highlight w:val="none"/>
        </w:rPr>
        <w:t>间及下载</w:t>
      </w:r>
      <w:r>
        <w:rPr>
          <w:rFonts w:hint="eastAsia" w:ascii="宋体" w:hAnsi="宋体" w:eastAsia="宋体" w:cs="宋体"/>
          <w:bCs/>
          <w:color w:val="auto"/>
          <w:highlight w:val="none"/>
        </w:rPr>
        <w:t>：</w:t>
      </w:r>
      <w:sdt>
        <w:sdtPr>
          <w:rPr>
            <w:rFonts w:hint="eastAsia" w:ascii="宋体" w:hAnsi="宋体" w:eastAsia="宋体" w:cs="宋体"/>
            <w:color w:val="auto"/>
            <w:highlight w:val="none"/>
          </w:rPr>
          <w:id w:val="785397802"/>
          <w:lock w:val="sdtLocked"/>
          <w:placeholder>
            <w:docPart w:val="EA96D7F7CF1A4A5297711D2BFC5C5079"/>
          </w:placeholder>
          <w:date w:fullDate="2024-06-04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2024年6月4日</w:t>
          </w:r>
        </w:sdtContent>
      </w:sdt>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至</w:t>
      </w:r>
      <w:r>
        <w:rPr>
          <w:rFonts w:hint="eastAsia" w:ascii="宋体" w:hAnsi="宋体" w:cs="宋体"/>
          <w:color w:val="auto"/>
          <w:kern w:val="2"/>
          <w:sz w:val="21"/>
          <w:szCs w:val="24"/>
          <w:highlight w:val="none"/>
          <w:lang w:val="en-US" w:eastAsia="zh-CN" w:bidi="ar-SA"/>
        </w:rPr>
        <w:t xml:space="preserve"> 2024</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12</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bCs/>
          <w:color w:val="auto"/>
          <w:highlight w:val="none"/>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hint="eastAsia" w:ascii="宋体" w:hAnsi="宋体" w:eastAsia="宋体" w:cs="宋体"/>
          <w:color w:val="auto"/>
          <w:kern w:val="0"/>
          <w:szCs w:val="21"/>
          <w:highlight w:val="none"/>
        </w:rPr>
      </w:pPr>
      <w:r>
        <w:rPr>
          <w:rFonts w:hint="eastAsia" w:ascii="宋体" w:hAnsi="宋体" w:eastAsia="宋体" w:cs="宋体"/>
          <w:bCs/>
          <w:color w:val="auto"/>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auto"/>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1.购买招标文件</w:t>
      </w:r>
      <w:r>
        <w:rPr>
          <w:rFonts w:hint="eastAsia" w:ascii="宋体" w:hAnsi="宋体" w:eastAsia="宋体" w:cs="宋体"/>
          <w:bCs/>
          <w:color w:val="auto"/>
          <w:highlight w:val="none"/>
        </w:rPr>
        <w:t>时间：</w:t>
      </w:r>
      <w:sdt>
        <w:sdtPr>
          <w:rPr>
            <w:rFonts w:hint="eastAsia" w:ascii="宋体" w:hAnsi="宋体" w:eastAsia="宋体" w:cs="宋体"/>
            <w:color w:val="auto"/>
            <w:highlight w:val="none"/>
          </w:rPr>
          <w:id w:val="785397802"/>
          <w:lock w:val="sdtLocked"/>
          <w:placeholder>
            <w:docPart w:val="{9ac8063b-74d6-4474-8a25-d92379c25023}"/>
          </w:placeholder>
          <w:date w:fullDate="2024-01-12T00:00:00Z">
            <w:dateFormat w:val="yyyy'年'M'月'd'日'"/>
            <w:lid w:val="zh-CN"/>
            <w:storeMappedDataAs w:val="datetime"/>
            <w:calendar w:val="gregorian"/>
          </w:date>
        </w:sdtPr>
        <w:sdtEndPr>
          <w:rPr>
            <w:rFonts w:hint="eastAsia" w:ascii="宋体" w:hAnsi="宋体" w:eastAsia="宋体" w:cs="宋体"/>
            <w:color w:val="auto"/>
            <w:highlight w:val="none"/>
          </w:rPr>
        </w:sdtEndPr>
        <w:sdtContent>
          <w:sdt>
            <w:sdtPr>
              <w:rPr>
                <w:rFonts w:hint="eastAsia" w:ascii="宋体" w:hAnsi="宋体" w:eastAsia="宋体" w:cs="宋体"/>
                <w:color w:val="auto"/>
                <w:highlight w:val="none"/>
              </w:rPr>
              <w:id w:val="785397802"/>
              <w:lock w:val="sdtLocked"/>
              <w:placeholder>
                <w:docPart w:val="{31cbe666-033c-442e-99e5-c37ebdf7dfc3}"/>
              </w:placeholder>
              <w:date w:fullDate="2024-06-04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2024年6月4日</w:t>
              </w:r>
            </w:sdtContent>
          </w:sdt>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至</w:t>
          </w:r>
          <w:r>
            <w:rPr>
              <w:rFonts w:hint="eastAsia" w:ascii="宋体" w:hAnsi="宋体" w:cs="宋体"/>
              <w:color w:val="auto"/>
              <w:kern w:val="2"/>
              <w:sz w:val="21"/>
              <w:szCs w:val="24"/>
              <w:highlight w:val="none"/>
              <w:lang w:val="en-US" w:eastAsia="zh-CN" w:bidi="ar-SA"/>
            </w:rPr>
            <w:t xml:space="preserve"> 2024</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12</w:t>
          </w:r>
          <w:r>
            <w:rPr>
              <w:rFonts w:hint="eastAsia" w:ascii="宋体" w:hAnsi="宋体" w:eastAsia="宋体" w:cs="宋体"/>
              <w:color w:val="auto"/>
              <w:kern w:val="2"/>
              <w:sz w:val="21"/>
              <w:szCs w:val="24"/>
              <w:highlight w:val="none"/>
              <w:lang w:val="en-US" w:eastAsia="zh-CN" w:bidi="ar-SA"/>
            </w:rPr>
            <w:t>日</w:t>
          </w:r>
        </w:sdtContent>
      </w:sdt>
      <w:r>
        <w:rPr>
          <w:rFonts w:hint="eastAsia" w:ascii="宋体" w:hAnsi="宋体" w:eastAsia="宋体" w:cs="宋体"/>
          <w:bCs/>
          <w:color w:val="auto"/>
          <w:highlight w:val="none"/>
        </w:rPr>
        <w:t>，上午9:00～12:00，下午2:30～5:30（节假日除外）（北</w:t>
      </w:r>
      <w:r>
        <w:rPr>
          <w:rFonts w:hint="eastAsia" w:ascii="宋体" w:hAnsi="宋体" w:eastAsia="宋体" w:cs="宋体"/>
          <w:color w:val="auto"/>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 xml:space="preserve">  2.购买招标文件地点：阳江市江城区猫山四街33号A座2楼</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  3.招标文件售价：</w:t>
      </w:r>
      <w:r>
        <w:rPr>
          <w:rFonts w:hint="eastAsia" w:ascii="宋体" w:hAnsi="宋体" w:eastAsia="宋体" w:cs="宋体"/>
          <w:bCs/>
          <w:color w:val="auto"/>
          <w:szCs w:val="21"/>
          <w:highlight w:val="none"/>
        </w:rPr>
        <w:t>招标文件每套人民币300元，售后不退</w:t>
      </w:r>
      <w:r>
        <w:rPr>
          <w:rFonts w:hint="eastAsia" w:ascii="宋体" w:hAnsi="宋体" w:eastAsia="宋体" w:cs="宋体"/>
          <w:bCs/>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highlight w:val="none"/>
        </w:rPr>
        <w:t>5.</w:t>
      </w:r>
      <w:r>
        <w:rPr>
          <w:rFonts w:hint="eastAsia" w:ascii="宋体" w:hAnsi="宋体" w:eastAsia="宋体" w:cs="宋体"/>
          <w:bCs/>
          <w:color w:val="auto"/>
          <w:szCs w:val="21"/>
          <w:highlight w:val="none"/>
        </w:rPr>
        <w:t>购买招标文件必须携带</w:t>
      </w:r>
      <w:r>
        <w:rPr>
          <w:rFonts w:hint="eastAsia" w:ascii="宋体" w:hAnsi="宋体" w:cs="宋体"/>
          <w:bCs/>
          <w:color w:val="auto"/>
          <w:szCs w:val="21"/>
          <w:highlight w:val="none"/>
          <w:lang w:eastAsia="zh-CN"/>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auto"/>
          <w:highlight w:val="none"/>
        </w:rPr>
      </w:pPr>
      <w:r>
        <w:rPr>
          <w:rFonts w:hint="eastAsia" w:ascii="宋体" w:hAnsi="宋体" w:eastAsia="宋体" w:cs="宋体"/>
          <w:bCs/>
          <w:color w:val="auto"/>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auto"/>
          <w:highlight w:val="none"/>
        </w:rPr>
        <w:t>报名时投标单位的资料与以上报名条件不符合、不齐全、复印件不清晰或未盖红色公章的将不予受理</w:t>
      </w:r>
      <w:r>
        <w:rPr>
          <w:rFonts w:hint="eastAsia" w:ascii="宋体" w:hAnsi="宋体" w:eastAsia="宋体" w:cs="宋体"/>
          <w:bCs/>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auto"/>
          <w:highlight w:val="none"/>
        </w:rPr>
      </w:pPr>
      <w:r>
        <w:rPr>
          <w:rFonts w:hint="eastAsia" w:ascii="宋体" w:hAnsi="宋体" w:eastAsia="宋体" w:cs="宋体"/>
          <w:b/>
          <w:bCs/>
          <w:color w:val="auto"/>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1.递交投标文件时间：</w:t>
      </w:r>
      <w:r>
        <w:rPr>
          <w:rFonts w:hint="eastAsia" w:ascii="宋体" w:hAnsi="宋体" w:cs="宋体"/>
          <w:color w:val="auto"/>
          <w:kern w:val="2"/>
          <w:sz w:val="21"/>
          <w:szCs w:val="24"/>
          <w:highlight w:val="none"/>
          <w:lang w:val="en-US" w:eastAsia="zh-CN" w:bidi="ar-SA"/>
        </w:rPr>
        <w:t>2024</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25</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9</w:t>
      </w:r>
      <w:r>
        <w:rPr>
          <w:rFonts w:hint="eastAsia" w:ascii="宋体" w:hAnsi="宋体" w:eastAsia="宋体" w:cs="宋体"/>
          <w:color w:val="auto"/>
          <w:highlight w:val="none"/>
        </w:rPr>
        <w:t>:00-</w:t>
      </w:r>
      <w:r>
        <w:rPr>
          <w:rFonts w:hint="eastAsia" w:ascii="宋体" w:hAnsi="宋体" w:cs="宋体"/>
          <w:color w:val="auto"/>
          <w:highlight w:val="none"/>
          <w:lang w:val="en-US" w:eastAsia="zh-CN"/>
        </w:rPr>
        <w:t>9</w:t>
      </w:r>
      <w:r>
        <w:rPr>
          <w:rFonts w:hint="eastAsia" w:ascii="宋体" w:hAnsi="宋体" w:eastAsia="宋体" w:cs="宋体"/>
          <w:color w:val="auto"/>
          <w:highlight w:val="none"/>
        </w:rPr>
        <w:t>:30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2.投标截止时间、开标时间：</w:t>
      </w:r>
      <w:r>
        <w:rPr>
          <w:rFonts w:hint="eastAsia" w:ascii="宋体" w:hAnsi="宋体" w:cs="宋体"/>
          <w:color w:val="auto"/>
          <w:kern w:val="2"/>
          <w:sz w:val="21"/>
          <w:szCs w:val="24"/>
          <w:highlight w:val="none"/>
          <w:lang w:val="en-US" w:eastAsia="zh-CN" w:bidi="ar-SA"/>
        </w:rPr>
        <w:t>2024</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25</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color w:val="auto"/>
          <w:szCs w:val="21"/>
          <w:highlight w:val="none"/>
        </w:rPr>
        <w:t xml:space="preserve"> </w:t>
      </w:r>
      <w:r>
        <w:rPr>
          <w:rFonts w:hint="eastAsia" w:ascii="宋体" w:hAnsi="宋体" w:cs="宋体"/>
          <w:color w:val="auto"/>
          <w:highlight w:val="none"/>
          <w:lang w:val="en-US" w:eastAsia="zh-CN"/>
        </w:rPr>
        <w:t>9</w:t>
      </w:r>
      <w:r>
        <w:rPr>
          <w:rFonts w:hint="eastAsia" w:ascii="宋体" w:hAnsi="宋体" w:eastAsia="宋体" w:cs="宋体"/>
          <w:color w:val="auto"/>
          <w:highlight w:val="none"/>
        </w:rPr>
        <w:t>:30</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3.递交投标文件地点、开标地点：阳江市江城区猫山四街33号A座2楼</w:t>
      </w:r>
      <w:r>
        <w:rPr>
          <w:rFonts w:hint="eastAsia" w:ascii="宋体" w:hAnsi="宋体" w:eastAsia="宋体" w:cs="宋体"/>
          <w:color w:val="auto"/>
          <w:highlight w:val="none"/>
          <w:lang w:val="en-US" w:eastAsia="zh-CN"/>
        </w:rPr>
        <w:t>201</w:t>
      </w:r>
      <w:r>
        <w:rPr>
          <w:rFonts w:hint="eastAsia" w:ascii="宋体" w:hAnsi="宋体" w:eastAsia="宋体" w:cs="宋体"/>
          <w:color w:val="auto"/>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rPr>
        <w:t>名    称：</w:t>
      </w:r>
      <w:r>
        <w:rPr>
          <w:rFonts w:hint="eastAsia" w:ascii="宋体" w:hAnsi="宋体" w:cs="宋体"/>
          <w:color w:val="auto"/>
          <w:kern w:val="28"/>
          <w:szCs w:val="21"/>
          <w:highlight w:val="none"/>
          <w:lang w:eastAsia="zh-CN"/>
        </w:rPr>
        <w:t>阳江市江城区人民检察院</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rPr>
        <w:t>地    址：广东省阳江市江城区马南垌光阳街6号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rPr>
        <w:t xml:space="preserve">联 系 </w:t>
      </w:r>
      <w:r>
        <w:rPr>
          <w:rFonts w:hint="eastAsia" w:ascii="宋体" w:hAnsi="宋体" w:eastAsia="宋体" w:cs="宋体"/>
          <w:color w:val="auto"/>
          <w:kern w:val="28"/>
          <w:szCs w:val="21"/>
          <w:highlight w:val="none"/>
          <w:lang w:val="en-US" w:eastAsia="zh-CN"/>
        </w:rPr>
        <w:t>人：许芯瑜</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rPr>
        <w:t>联系电话：0662-2293616</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2．</w:t>
      </w:r>
      <w:r>
        <w:rPr>
          <w:rFonts w:hint="eastAsia" w:ascii="宋体" w:hAnsi="宋体" w:eastAsia="宋体" w:cs="宋体"/>
          <w:color w:val="auto"/>
          <w:highlight w:val="none"/>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网    址：</w:t>
      </w:r>
      <w:r>
        <w:rPr>
          <w:rFonts w:hint="eastAsia" w:ascii="宋体" w:hAnsi="宋体" w:eastAsia="宋体" w:cs="宋体"/>
          <w:bCs/>
          <w:color w:val="auto"/>
          <w:highlight w:val="none"/>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auto"/>
          <w:spacing w:val="20"/>
          <w:szCs w:val="21"/>
          <w:highlight w:val="none"/>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r>
        <w:rPr>
          <w:rFonts w:hint="eastAsia" w:ascii="宋体" w:hAnsi="宋体" w:cs="宋体"/>
          <w:bCs/>
          <w:color w:val="auto"/>
          <w:highlight w:val="none"/>
          <w:lang w:val="en-US" w:eastAsia="zh-CN"/>
        </w:rPr>
        <w:t xml:space="preserve">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 xml:space="preserve">     </w:t>
      </w:r>
      <w:bookmarkStart w:id="37" w:name="_Toc339441045"/>
      <w:bookmarkStart w:id="38" w:name="_Toc350756404"/>
      <w:bookmarkStart w:id="39" w:name="_Toc342296709"/>
      <w:bookmarkStart w:id="40" w:name="_Toc345513763"/>
      <w:bookmarkStart w:id="41" w:name="_Toc333237613"/>
      <w:bookmarkStart w:id="42" w:name="_Toc332270306"/>
      <w:bookmarkStart w:id="43" w:name="_Toc365985109"/>
      <w:bookmarkStart w:id="44" w:name="_Toc337632316"/>
      <w:bookmarkStart w:id="45" w:name="_Toc365967003"/>
      <w:bookmarkStart w:id="46" w:name="_Toc339019829"/>
      <w:bookmarkStart w:id="47" w:name="_Toc349127584"/>
      <w:bookmarkStart w:id="48" w:name="_Toc340677032"/>
      <w:bookmarkStart w:id="49" w:name="_Toc342060323"/>
      <w:bookmarkStart w:id="50" w:name="_Toc339019955"/>
      <w:bookmarkStart w:id="51" w:name="_Toc331683995"/>
      <w:bookmarkStart w:id="52" w:name="_Toc339362258"/>
      <w:bookmarkStart w:id="53" w:name="_Toc336681893"/>
      <w:bookmarkStart w:id="54" w:name="_Toc330459946"/>
      <w:bookmarkStart w:id="55" w:name="_Toc333238572"/>
      <w:bookmarkStart w:id="56" w:name="_Toc340672831"/>
      <w:bookmarkStart w:id="57" w:name="_Toc333237724"/>
      <w:bookmarkStart w:id="58" w:name="_Toc333935279"/>
      <w:bookmarkStart w:id="59" w:name="_Toc336681538"/>
      <w:bookmarkStart w:id="60" w:name="_Toc350438703"/>
      <w:bookmarkStart w:id="61" w:name="_Toc366072458"/>
      <w:bookmarkStart w:id="62" w:name="_Toc341348292"/>
      <w:bookmarkStart w:id="63" w:name="_Toc331512857"/>
      <w:bookmarkStart w:id="64" w:name="_Toc333935620"/>
      <w:bookmarkStart w:id="65" w:name="_Toc339020187"/>
      <w:bookmarkStart w:id="66" w:name="_Toc340507404"/>
      <w:bookmarkStart w:id="67" w:name="_Toc349143547"/>
      <w:bookmarkStart w:id="68" w:name="_Toc332206658"/>
      <w:bookmarkStart w:id="69" w:name="_Toc339020049"/>
      <w:r>
        <w:rPr>
          <w:rFonts w:hint="eastAsia" w:ascii="宋体" w:hAnsi="宋体" w:eastAsia="宋体" w:cs="宋体"/>
          <w:color w:val="auto"/>
          <w:szCs w:val="21"/>
          <w:highlight w:val="none"/>
        </w:rPr>
        <w:t xml:space="preserve">   </w:t>
      </w:r>
      <w:r>
        <w:rPr>
          <w:rFonts w:hint="eastAsia" w:ascii="宋体" w:hAnsi="宋体" w:cs="宋体"/>
          <w:color w:val="auto"/>
          <w:kern w:val="2"/>
          <w:sz w:val="21"/>
          <w:szCs w:val="24"/>
          <w:highlight w:val="none"/>
          <w:lang w:val="en-US" w:eastAsia="zh-CN" w:bidi="ar-SA"/>
        </w:rPr>
        <w:t xml:space="preserve">   2024</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US" w:eastAsia="zh-CN" w:bidi="ar-SA"/>
        </w:rPr>
        <w:t>日</w:t>
      </w:r>
    </w:p>
    <w:p>
      <w:pPr>
        <w:rPr>
          <w:color w:val="auto"/>
          <w:highlight w:val="none"/>
        </w:rPr>
      </w:pPr>
    </w:p>
    <w:p>
      <w:pPr>
        <w:rPr>
          <w:color w:val="auto"/>
          <w:highlight w:val="none"/>
        </w:rPr>
      </w:pPr>
    </w:p>
    <w:p>
      <w:pPr>
        <w:rPr>
          <w:rFonts w:hint="eastAsia" w:eastAsia="宋体"/>
          <w:color w:val="auto"/>
          <w:highlight w:val="none"/>
          <w:lang w:val="en-US" w:eastAsia="zh-CN"/>
        </w:rPr>
      </w:pPr>
      <w:r>
        <w:rPr>
          <w:rFonts w:hint="eastAsia"/>
          <w:color w:val="auto"/>
          <w:highlight w:val="none"/>
        </w:rPr>
        <w:br w:type="page"/>
      </w:r>
    </w:p>
    <w:p>
      <w:pPr>
        <w:pStyle w:val="2"/>
        <w:numPr>
          <w:ilvl w:val="0"/>
          <w:numId w:val="0"/>
        </w:numPr>
        <w:spacing w:beforeLines="0" w:afterLines="50" w:line="390" w:lineRule="exact"/>
        <w:ind w:left="105" w:leftChars="50" w:firstLine="480" w:firstLineChars="200"/>
        <w:rPr>
          <w:color w:val="auto"/>
          <w:highlight w:val="none"/>
        </w:rPr>
      </w:pPr>
      <w:bookmarkStart w:id="70" w:name="_Toc21271"/>
      <w:r>
        <w:rPr>
          <w:rFonts w:hint="eastAsia"/>
          <w:color w:val="auto"/>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0459949"/>
      <w:bookmarkStart w:id="74" w:name="_Toc333935280"/>
      <w:bookmarkStart w:id="75" w:name="_Toc75570886"/>
      <w:bookmarkStart w:id="76" w:name="_Toc333237614"/>
      <w:bookmarkStart w:id="77" w:name="_Toc333237725"/>
      <w:bookmarkStart w:id="78" w:name="_Toc333935621"/>
      <w:r>
        <w:rPr>
          <w:rFonts w:hint="eastAsia"/>
          <w:color w:val="auto"/>
          <w:highlight w:val="none"/>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auto"/>
          <w:kern w:val="0"/>
          <w:sz w:val="24"/>
          <w:highlight w:val="none"/>
        </w:rPr>
      </w:pPr>
      <w:bookmarkStart w:id="79" w:name="_Toc29777"/>
      <w:bookmarkStart w:id="80" w:name="_Toc333237644"/>
      <w:bookmarkStart w:id="81" w:name="_Toc339441054"/>
      <w:bookmarkStart w:id="82" w:name="_Toc339020062"/>
      <w:bookmarkStart w:id="83" w:name="_Toc365967040"/>
      <w:bookmarkStart w:id="84" w:name="_Toc349143556"/>
      <w:bookmarkStart w:id="85" w:name="_Toc333935313"/>
      <w:bookmarkStart w:id="86" w:name="_Toc336681902"/>
      <w:bookmarkStart w:id="87" w:name="_Toc342060341"/>
      <w:bookmarkStart w:id="88" w:name="_Toc331684005"/>
      <w:bookmarkStart w:id="89" w:name="_Toc333238600"/>
      <w:bookmarkStart w:id="90" w:name="_Toc341348305"/>
      <w:bookmarkStart w:id="91" w:name="_Toc333935654"/>
      <w:bookmarkStart w:id="92" w:name="_Toc345513834"/>
      <w:bookmarkStart w:id="93" w:name="_Toc332206675"/>
      <w:bookmarkStart w:id="94" w:name="_Toc339362267"/>
      <w:bookmarkStart w:id="95" w:name="_Toc339019856"/>
      <w:bookmarkStart w:id="96" w:name="_Toc333237755"/>
      <w:bookmarkStart w:id="97" w:name="_Toc350756417"/>
      <w:bookmarkStart w:id="98" w:name="_Toc349127593"/>
      <w:bookmarkStart w:id="99" w:name="_Toc365985146"/>
      <w:bookmarkStart w:id="100" w:name="_Toc366072495"/>
      <w:bookmarkStart w:id="101" w:name="_Toc339020200"/>
      <w:bookmarkStart w:id="102" w:name="_Toc331512865"/>
      <w:bookmarkStart w:id="103" w:name="_Toc330459952"/>
      <w:bookmarkStart w:id="104" w:name="_Toc350438716"/>
      <w:bookmarkStart w:id="105" w:name="_Toc337632325"/>
      <w:bookmarkStart w:id="106" w:name="_Toc339019982"/>
      <w:bookmarkStart w:id="107" w:name="_Toc342296727"/>
      <w:bookmarkStart w:id="108" w:name="_Toc340677037"/>
      <w:bookmarkStart w:id="109" w:name="_Toc340672836"/>
      <w:bookmarkStart w:id="110" w:name="_Toc340507409"/>
      <w:bookmarkStart w:id="111" w:name="_Toc332270313"/>
      <w:bookmarkStart w:id="112" w:name="_Toc336681547"/>
      <w:r>
        <w:rPr>
          <w:color w:val="auto"/>
          <w:kern w:val="0"/>
          <w:sz w:val="24"/>
          <w:highlight w:val="none"/>
        </w:rPr>
        <w:t xml:space="preserve">A  </w:t>
      </w:r>
      <w:r>
        <w:rPr>
          <w:rFonts w:hint="eastAsia"/>
          <w:color w:val="auto"/>
          <w:kern w:val="0"/>
          <w:sz w:val="24"/>
          <w:highlight w:val="none"/>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详见第一</w:t>
            </w:r>
            <w:r>
              <w:rPr>
                <w:rFonts w:hint="eastAsia" w:ascii="宋体" w:hAnsi="宋体" w:cs="宋体"/>
                <w:color w:val="auto"/>
                <w:highlight w:val="none"/>
                <w:lang w:eastAsia="zh-CN"/>
              </w:rPr>
              <w:t>部分</w:t>
            </w:r>
            <w:r>
              <w:rPr>
                <w:rFonts w:hint="eastAsia" w:ascii="宋体" w:hAnsi="宋体" w:eastAsia="宋体" w:cs="宋体"/>
                <w:color w:val="auto"/>
                <w:highlight w:val="none"/>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lang w:eastAsia="zh-CN"/>
              </w:rPr>
            </w:pPr>
            <w:r>
              <w:rPr>
                <w:rFonts w:hint="eastAsia" w:ascii="宋体" w:hAnsi="宋体" w:cs="宋体"/>
                <w:b/>
                <w:color w:val="auto"/>
                <w:highlight w:val="none"/>
                <w:lang w:eastAsia="zh-CN"/>
              </w:rPr>
              <w:t>完工期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详见第一</w:t>
            </w:r>
            <w:r>
              <w:rPr>
                <w:rFonts w:hint="eastAsia" w:ascii="宋体" w:hAnsi="宋体" w:cs="宋体"/>
                <w:color w:val="auto"/>
                <w:highlight w:val="none"/>
                <w:lang w:eastAsia="zh-CN"/>
              </w:rPr>
              <w:t>部分</w:t>
            </w:r>
            <w:r>
              <w:rPr>
                <w:rFonts w:hint="eastAsia" w:ascii="宋体" w:hAnsi="宋体" w:eastAsia="宋体" w:cs="宋体"/>
                <w:color w:val="auto"/>
                <w:highlight w:val="none"/>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rPr>
              <w:t>完成本项目的一切费用。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b w:val="0"/>
                <w:bCs/>
                <w:color w:val="auto"/>
                <w:sz w:val="21"/>
                <w:szCs w:val="21"/>
                <w:highlight w:val="none"/>
                <w:lang w:eastAsia="zh-CN"/>
              </w:rPr>
              <w:t>采购合同由中标人凭《中标通知书》与采购人双方签订，签订时间为《中标通知书》发出之日起</w:t>
            </w:r>
            <w:r>
              <w:rPr>
                <w:rFonts w:hint="eastAsia" w:ascii="宋体" w:hAnsi="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lang w:eastAsia="zh-CN"/>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cs="宋体"/>
                <w:b/>
                <w:bCs/>
                <w:color w:val="auto"/>
                <w:highlight w:val="none"/>
                <w:lang w:val="en-US" w:eastAsia="zh-CN"/>
              </w:rPr>
              <w:t>完工</w:t>
            </w:r>
            <w:r>
              <w:rPr>
                <w:rFonts w:hint="eastAsia" w:ascii="宋体" w:hAnsi="宋体" w:eastAsia="宋体" w:cs="宋体"/>
                <w:b/>
                <w:bCs/>
                <w:color w:val="auto"/>
                <w:highlight w:val="none"/>
                <w:lang w:val="en-US" w:eastAsia="zh-CN"/>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b w:val="0"/>
                <w:bCs w:val="0"/>
                <w:color w:val="auto"/>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合同签订生效</w:t>
            </w:r>
            <w:r>
              <w:rPr>
                <w:rFonts w:hint="eastAsia" w:ascii="宋体" w:hAnsi="宋体" w:eastAsia="宋体" w:cs="宋体"/>
                <w:color w:val="auto"/>
                <w:highlight w:val="none"/>
                <w:lang w:val="en-US" w:eastAsia="zh-CN"/>
              </w:rPr>
              <w:t>后10</w:t>
            </w:r>
            <w:r>
              <w:rPr>
                <w:rFonts w:hint="eastAsia" w:ascii="宋体" w:hAnsi="宋体" w:eastAsia="宋体" w:cs="宋体"/>
                <w:color w:val="auto"/>
                <w:highlight w:val="none"/>
              </w:rPr>
              <w:t>个工作日内支付合同金额的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2.余下的</w:t>
            </w:r>
            <w:r>
              <w:rPr>
                <w:rFonts w:hint="eastAsia" w:ascii="宋体" w:hAnsi="宋体" w:eastAsia="宋体" w:cs="宋体"/>
                <w:color w:val="auto"/>
                <w:highlight w:val="none"/>
              </w:rPr>
              <w:t>合同款项按照</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供应商每年完成</w:t>
            </w:r>
            <w:r>
              <w:rPr>
                <w:rFonts w:hint="eastAsia" w:ascii="宋体" w:hAnsi="宋体" w:eastAsia="宋体" w:cs="宋体"/>
                <w:color w:val="auto"/>
                <w:highlight w:val="none"/>
                <w:lang w:val="en-US" w:eastAsia="zh-CN"/>
              </w:rPr>
              <w:t>的工作</w:t>
            </w:r>
            <w:r>
              <w:rPr>
                <w:rFonts w:hint="eastAsia" w:ascii="宋体" w:hAnsi="宋体" w:eastAsia="宋体" w:cs="宋体"/>
                <w:color w:val="auto"/>
                <w:highlight w:val="none"/>
              </w:rPr>
              <w:t>量进行支付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支付款项包含已支付合同金额的30%，如支付的款项未达到合同金额的30%则不需支付，如支付的款项超出合同金额的30%，则只需支付超出部分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供应商申请付款时应提交合同履约进度及验收清单分批验收结算。具体支付方式和支付进度，采购人可以根据项目进展情况</w:t>
            </w:r>
            <w:r>
              <w:rPr>
                <w:rFonts w:hint="eastAsia" w:ascii="宋体" w:hAnsi="宋体" w:eastAsia="宋体" w:cs="宋体"/>
                <w:color w:val="auto"/>
                <w:highlight w:val="none"/>
                <w:lang w:val="en-US" w:eastAsia="zh-CN"/>
              </w:rPr>
              <w:t>作</w:t>
            </w:r>
            <w:r>
              <w:rPr>
                <w:rFonts w:hint="eastAsia" w:ascii="宋体" w:hAnsi="宋体" w:eastAsia="宋体" w:cs="宋体"/>
                <w:color w:val="auto"/>
                <w:highlight w:val="none"/>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bookmarkStart w:id="113" w:name="_Toc9380"/>
            <w:bookmarkStart w:id="114" w:name="_Toc117872618"/>
            <w:bookmarkStart w:id="115" w:name="_Toc117857573"/>
            <w:r>
              <w:rPr>
                <w:rFonts w:hint="eastAsia" w:ascii="宋体" w:hAnsi="宋体" w:eastAsia="宋体" w:cs="宋体"/>
                <w:b/>
                <w:bCs/>
                <w:color w:val="auto"/>
                <w:sz w:val="21"/>
                <w:szCs w:val="21"/>
                <w:highlight w:val="none"/>
              </w:rPr>
              <w:t>项目验收</w:t>
            </w:r>
            <w:bookmarkEnd w:id="113"/>
            <w:bookmarkEnd w:id="114"/>
            <w:bookmarkEnd w:id="115"/>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数据验收按批次进行，每个批量加工完成后，首先由中标供应商自检，自检通过以后，向采购人提交验收。验收内容包括：目录数据、扫描图像数据、数据挂接准确率、档案实体。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售后服务</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自验收之日起提供一年售后服务，对于售后服务期内采购人在使用过程中发现的档案数字化错误，</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供应商予以免费更正。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bCs/>
                <w:color w:val="auto"/>
                <w:sz w:val="21"/>
                <w:szCs w:val="21"/>
                <w:highlight w:val="none"/>
                <w:lang w:eastAsia="zh-CN"/>
              </w:rPr>
            </w:pPr>
            <w:bookmarkStart w:id="116" w:name="_Toc117857574"/>
            <w:bookmarkStart w:id="117" w:name="_Toc117872619"/>
            <w:bookmarkStart w:id="118" w:name="_Toc19872"/>
            <w:r>
              <w:rPr>
                <w:rFonts w:hint="eastAsia" w:ascii="宋体" w:hAnsi="宋体" w:eastAsia="宋体" w:cs="宋体"/>
                <w:b/>
                <w:bCs/>
                <w:color w:val="auto"/>
                <w:sz w:val="21"/>
                <w:szCs w:val="21"/>
                <w:highlight w:val="none"/>
                <w:lang w:val="en-US" w:eastAsia="zh-CN"/>
              </w:rPr>
              <w:t>安全保密措施</w:t>
            </w:r>
            <w:bookmarkEnd w:id="116"/>
            <w:bookmarkEnd w:id="117"/>
            <w:bookmarkEnd w:id="118"/>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档案数字化加工人员必须严格遵守《中华人民共和国保密法》、《保密守则》以及《中华人民共和国档案法》等有关规定，遵守采购人有关保密规定，数字 化工作必须在采购人指定的场所内进行，确保场所正常秩序和安全。不得遗失、损坏档案，如有违法行为或违反相关规定，采购人可依法或依据约定追究相应的责任。</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做好以下工作：</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1.提供保证档案实体和档案信息的安全具体措施，签订保密协议和个人安全保密 承诺书，加强对工作人员的保密教育。</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2.建立严格的保密制度，加强管理，杜绝工作人员对档案及档案信息的私自复制 行为。不得以任何理由保存、复印、翻拍、打印各类档案资料，不得对他人泄露档案内容。</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3.不同的工序之间应采取相应的管理措施，杜绝遗失资料等泄密事故的发生。 </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4.所有自带计算机与 U 盘都不能连接互联网及禁用 USB口等输出端口，由单位人 员贴上封条。 </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5.数字化加工场地的安全及保密措施。场地应具备保密设施，保证档案原件的安全和保密。在工作平台上建立监管系统，实时监控工作人员的操作过程，统一记录保存。</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6.档案数字化加工完成后的各种资料所有权属采购人，各种统计资料、纸质资料及各种清单等在项目结束时都必须完整移交；所有设备必须删除有关文件档案内容，经检查确认后，才能搬离工作场地。</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7.档案数字化加工人员不得在工作场所使用与工作无关的任何电器设备，不得私自携带照相工具进入作业场所，通讯工具应在进入作业场所前交由专人统一保管。</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8.工作人员不得以任何形式将各项档案资料带出指定工作现场；不得以任何形式进行泄漏、传播；不得无故查看及讨论档案内容；</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9.不在私人通信中涉及秘密；不在电话、公共场所和家属、子女、亲友面前谈论有关档案秘密；未经采购人同意不得带人进行加工场地参观或学习。</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10.在工作中必须与采购人做好档案的安全交接，并做好整个项目流程各个环节工作的详细登记，完工后全部移交给采购人。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auto"/>
                <w:sz w:val="21"/>
                <w:szCs w:val="21"/>
                <w:highlight w:val="none"/>
                <w:lang w:val="en-US" w:eastAsia="zh-CN"/>
              </w:rPr>
            </w:pPr>
            <w:bookmarkStart w:id="119" w:name="_Toc117872620"/>
            <w:r>
              <w:rPr>
                <w:rFonts w:hint="eastAsia" w:ascii="宋体" w:hAnsi="宋体" w:eastAsia="宋体" w:cs="宋体"/>
                <w:b/>
                <w:bCs/>
                <w:color w:val="auto"/>
                <w:sz w:val="21"/>
                <w:szCs w:val="21"/>
                <w:highlight w:val="none"/>
                <w:lang w:val="en-US" w:eastAsia="zh-CN"/>
              </w:rPr>
              <w:t>数字化加工设备及耗材要求</w:t>
            </w:r>
            <w:bookmarkEnd w:id="119"/>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包含不限于：加工场地的监控安装、服务器、工作电脑、打印机、A3高速扫描仪带平板扫、移动备份硬盘、装订机以及项目开展所需耗材（如条码机、打码器、档案修复托裱工具、档案运输周转箱、手套、棉线、剪刀、浆糊、长尾夹等易耗品），由</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供应商根据项目开展满足所需提供。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11</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Cs w:val="21"/>
                <w:highlight w:val="none"/>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p>
            <w:pPr>
              <w:spacing w:line="300" w:lineRule="exact"/>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根据发改价格[2015]299号文的规定，招标代理服务费实行市场调节价。</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供应商在领取《</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通知书》时应一次性交纳招标代理服务费</w:t>
            </w:r>
            <w:r>
              <w:rPr>
                <w:rFonts w:hint="eastAsia" w:ascii="宋体" w:hAnsi="宋体" w:cs="宋体"/>
                <w:bCs/>
                <w:color w:val="auto"/>
                <w:szCs w:val="21"/>
                <w:highlight w:val="none"/>
                <w:lang w:val="en-US" w:eastAsia="zh-CN"/>
              </w:rPr>
              <w:t>柒仟</w:t>
            </w:r>
            <w:r>
              <w:rPr>
                <w:rFonts w:hint="eastAsia" w:ascii="宋体" w:hAnsi="宋体" w:eastAsia="宋体" w:cs="宋体"/>
                <w:bCs/>
                <w:color w:val="auto"/>
                <w:szCs w:val="21"/>
                <w:highlight w:val="none"/>
              </w:rPr>
              <w:t>元整（￥</w:t>
            </w:r>
            <w:r>
              <w:rPr>
                <w:rFonts w:hint="eastAsia" w:ascii="宋体" w:hAnsi="宋体" w:cs="宋体"/>
                <w:bCs/>
                <w:color w:val="auto"/>
                <w:szCs w:val="21"/>
                <w:highlight w:val="none"/>
                <w:lang w:val="en-US" w:eastAsia="zh-CN"/>
              </w:rPr>
              <w:t>70</w:t>
            </w:r>
            <w:r>
              <w:rPr>
                <w:rFonts w:hint="eastAsia" w:ascii="宋体" w:hAnsi="宋体" w:eastAsia="宋体" w:cs="宋体"/>
                <w:bCs/>
                <w:color w:val="auto"/>
                <w:szCs w:val="21"/>
                <w:highlight w:val="none"/>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pPr>
        <w:adjustRightInd w:val="0"/>
        <w:snapToGrid w:val="0"/>
        <w:spacing w:line="360" w:lineRule="auto"/>
        <w:rPr>
          <w:b/>
          <w:color w:val="auto"/>
          <w:szCs w:val="21"/>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pStyle w:val="3"/>
        <w:numPr>
          <w:ilvl w:val="0"/>
          <w:numId w:val="0"/>
        </w:numPr>
        <w:spacing w:beforeLines="150" w:after="0" w:line="360" w:lineRule="auto"/>
        <w:rPr>
          <w:color w:val="auto"/>
          <w:kern w:val="0"/>
          <w:sz w:val="24"/>
          <w:highlight w:val="none"/>
        </w:rPr>
      </w:pPr>
      <w:bookmarkStart w:id="120" w:name="_Toc505160648"/>
      <w:bookmarkStart w:id="121" w:name="_Toc26712"/>
      <w:r>
        <w:rPr>
          <w:rFonts w:hint="eastAsia"/>
          <w:color w:val="auto"/>
          <w:kern w:val="0"/>
          <w:sz w:val="24"/>
          <w:highlight w:val="none"/>
        </w:rPr>
        <w:t>B  技术要求</w:t>
      </w:r>
      <w:bookmarkEnd w:id="120"/>
      <w:bookmarkEnd w:id="121"/>
    </w:p>
    <w:p>
      <w:pPr>
        <w:adjustRightInd w:val="0"/>
        <w:snapToGrid w:val="0"/>
        <w:spacing w:line="360" w:lineRule="auto"/>
        <w:rPr>
          <w:rFonts w:ascii="宋体" w:hAnsi="宋体" w:cs="宋体"/>
          <w:b/>
          <w:color w:val="auto"/>
          <w:highlight w:val="none"/>
        </w:rPr>
      </w:pPr>
      <w:r>
        <w:rPr>
          <w:rFonts w:hint="eastAsia" w:ascii="宋体" w:hAnsi="宋体" w:cs="宋体"/>
          <w:b/>
          <w:color w:val="auto"/>
          <w:highlight w:val="none"/>
        </w:rPr>
        <w:t>一、项目概况</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随着信息处理技术的不断发展以及计算机应用的日益普及和深入，政府机关和企事业单位信息化进程也不断加快。作为信息化前沿的之一，档案管理已经面临着信息爆炸和技术变革带来的强大压力，如何变被动为主动，适应社会发展的潮流已经成为档案管理不得不考虑的问题。随着时间的推移，档案工作者已经越来越深刻地认识到，利用新的理念、新的技术、新的方法来管理档案的重要性，正在努力通过档案信息化融入整个社会信息化的进程，逐步改变传统的档案管理模式并向档案的全电子化、多用户查询利用、综合性全方位集中式的现代管理模式发展，通过最先进的技术手段使档案的价值和使用价值得到最充分的体现，由此保持和提升档案部门的社会地位和价值。</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传统档案管理采取手工方式，档案的接收、整理、鉴定、保管、利用、编研等工作都主要以手工为主，这中间包括建立全引目录本、索引卡等。这种方式工作效率较低，档案得不到充分利用。</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为了进一步提高</w:t>
      </w:r>
      <w:bookmarkStart w:id="122" w:name="_Hlk106352062"/>
      <w:r>
        <w:rPr>
          <w:rFonts w:hint="eastAsia" w:ascii="宋体" w:hAnsi="宋体" w:cs="宋体"/>
          <w:bCs/>
          <w:color w:val="auto"/>
          <w:highlight w:val="none"/>
        </w:rPr>
        <w:t>阳江市江城区人民检察院</w:t>
      </w:r>
      <w:bookmarkEnd w:id="122"/>
      <w:r>
        <w:rPr>
          <w:rFonts w:hint="eastAsia" w:ascii="宋体" w:hAnsi="宋体" w:cs="宋体"/>
          <w:bCs/>
          <w:color w:val="auto"/>
          <w:highlight w:val="none"/>
        </w:rPr>
        <w:t>的档案管理服务工作水平，达到档案管理服务制度化、规范化、信息化、网络化的目标，对库存档案实行数字化管理服务，为社会和当事人提供安全、便捷、高效的档案管理和相关服务。</w:t>
      </w:r>
    </w:p>
    <w:p>
      <w:pPr>
        <w:adjustRightInd w:val="0"/>
        <w:snapToGrid w:val="0"/>
        <w:spacing w:line="360" w:lineRule="auto"/>
        <w:rPr>
          <w:rFonts w:ascii="宋体" w:hAnsi="宋体" w:cs="宋体"/>
          <w:b/>
          <w:color w:val="auto"/>
          <w:highlight w:val="none"/>
        </w:rPr>
      </w:pPr>
      <w:r>
        <w:rPr>
          <w:rFonts w:hint="eastAsia" w:ascii="宋体" w:hAnsi="宋体" w:cs="宋体"/>
          <w:b/>
          <w:color w:val="auto"/>
          <w:highlight w:val="none"/>
        </w:rPr>
        <w:t>二、</w:t>
      </w:r>
      <w:bookmarkStart w:id="123" w:name="_Toc11479"/>
      <w:bookmarkStart w:id="124" w:name="_Toc117857569"/>
      <w:bookmarkStart w:id="125" w:name="_Toc117872600"/>
      <w:r>
        <w:rPr>
          <w:rFonts w:hint="eastAsia" w:ascii="宋体" w:hAnsi="宋体" w:cs="宋体"/>
          <w:b/>
          <w:color w:val="auto"/>
          <w:highlight w:val="none"/>
        </w:rPr>
        <w:t>项目</w:t>
      </w:r>
      <w:bookmarkEnd w:id="123"/>
      <w:r>
        <w:rPr>
          <w:rFonts w:hint="eastAsia" w:ascii="宋体" w:hAnsi="宋体" w:cs="宋体"/>
          <w:b/>
          <w:color w:val="auto"/>
          <w:highlight w:val="none"/>
        </w:rPr>
        <w:t>工作内容</w:t>
      </w:r>
      <w:bookmarkEnd w:id="124"/>
      <w:r>
        <w:rPr>
          <w:rFonts w:hint="eastAsia" w:ascii="宋体" w:hAnsi="宋体" w:cs="宋体"/>
          <w:b/>
          <w:color w:val="auto"/>
          <w:highlight w:val="none"/>
        </w:rPr>
        <w:t>及预算</w:t>
      </w:r>
      <w:bookmarkEnd w:id="125"/>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阳江市江城区人民检察院计划于2024年开展库存综合档案的数字化工作，本项目需对库存的文书、财务以及其他档案按照规范及有关文件要求进行整理以及数据化加工，形成规范、完整、系统的档案电子文件录入到档案管理系统，建立项目电子档案资料库，以便对档案资料的实时便捷搜索查询及使用，本期项目工作内容如下：</w:t>
      </w:r>
    </w:p>
    <w:tbl>
      <w:tblPr>
        <w:tblStyle w:val="47"/>
        <w:tblW w:w="8755" w:type="dxa"/>
        <w:jc w:val="center"/>
        <w:tblLayout w:type="fixed"/>
        <w:tblCellMar>
          <w:top w:w="0" w:type="dxa"/>
          <w:left w:w="108" w:type="dxa"/>
          <w:bottom w:w="0" w:type="dxa"/>
          <w:right w:w="108" w:type="dxa"/>
        </w:tblCellMar>
      </w:tblPr>
      <w:tblGrid>
        <w:gridCol w:w="975"/>
        <w:gridCol w:w="2070"/>
        <w:gridCol w:w="2648"/>
        <w:gridCol w:w="1550"/>
        <w:gridCol w:w="1512"/>
      </w:tblGrid>
      <w:tr>
        <w:tblPrEx>
          <w:tblCellMar>
            <w:top w:w="0" w:type="dxa"/>
            <w:left w:w="108" w:type="dxa"/>
            <w:bottom w:w="0" w:type="dxa"/>
            <w:right w:w="108" w:type="dxa"/>
          </w:tblCellMar>
        </w:tblPrEx>
        <w:trPr>
          <w:trHeight w:val="600" w:hRule="atLeast"/>
          <w:jc w:val="center"/>
        </w:trPr>
        <w:tc>
          <w:tcPr>
            <w:tcW w:w="975" w:type="dxa"/>
            <w:tcBorders>
              <w:top w:val="single" w:color="auto" w:sz="4" w:space="0"/>
              <w:left w:val="single" w:color="auto" w:sz="4" w:space="0"/>
              <w:bottom w:val="single" w:color="auto" w:sz="4" w:space="0"/>
              <w:right w:val="single" w:color="auto" w:sz="4" w:space="0"/>
            </w:tcBorders>
            <w:shd w:val="clear" w:color="000000" w:fill="DBDBDB"/>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070" w:type="dxa"/>
            <w:tcBorders>
              <w:top w:val="single" w:color="auto" w:sz="4" w:space="0"/>
              <w:left w:val="nil"/>
              <w:bottom w:val="single" w:color="auto" w:sz="4" w:space="0"/>
              <w:right w:val="single" w:color="auto" w:sz="4" w:space="0"/>
            </w:tcBorders>
            <w:shd w:val="clear" w:color="000000" w:fill="DBDBDB"/>
            <w:noWrap/>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类 型</w:t>
            </w:r>
          </w:p>
        </w:tc>
        <w:tc>
          <w:tcPr>
            <w:tcW w:w="2648" w:type="dxa"/>
            <w:tcBorders>
              <w:top w:val="single" w:color="auto" w:sz="4" w:space="0"/>
              <w:left w:val="nil"/>
              <w:bottom w:val="single" w:color="auto" w:sz="4" w:space="0"/>
              <w:right w:val="single" w:color="auto" w:sz="4" w:space="0"/>
            </w:tcBorders>
            <w:shd w:val="clear" w:color="000000" w:fill="DBDBDB"/>
            <w:noWrap/>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服务参数</w:t>
            </w:r>
          </w:p>
        </w:tc>
        <w:tc>
          <w:tcPr>
            <w:tcW w:w="1550" w:type="dxa"/>
            <w:tcBorders>
              <w:top w:val="single" w:color="auto" w:sz="4" w:space="0"/>
              <w:left w:val="nil"/>
              <w:bottom w:val="single" w:color="auto" w:sz="4" w:space="0"/>
              <w:right w:val="single" w:color="auto" w:sz="4" w:space="0"/>
            </w:tcBorders>
            <w:shd w:val="clear" w:color="000000" w:fill="DBDBDB"/>
            <w:noWrap/>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512" w:type="dxa"/>
            <w:tcBorders>
              <w:top w:val="single" w:color="auto" w:sz="4" w:space="0"/>
              <w:left w:val="nil"/>
              <w:bottom w:val="single" w:color="auto" w:sz="4" w:space="0"/>
              <w:right w:val="single" w:color="auto" w:sz="4" w:space="0"/>
            </w:tcBorders>
            <w:shd w:val="clear" w:color="000000" w:fill="DBDBDB"/>
            <w:noWrap w:val="0"/>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件数</w:t>
            </w:r>
          </w:p>
        </w:tc>
      </w:tr>
      <w:tr>
        <w:tblPrEx>
          <w:tblCellMar>
            <w:top w:w="0" w:type="dxa"/>
            <w:left w:w="108" w:type="dxa"/>
            <w:bottom w:w="0" w:type="dxa"/>
            <w:right w:w="108" w:type="dxa"/>
          </w:tblCellMar>
        </w:tblPrEx>
        <w:trPr>
          <w:trHeight w:val="1137" w:hRule="atLeast"/>
          <w:jc w:val="center"/>
        </w:trPr>
        <w:tc>
          <w:tcPr>
            <w:tcW w:w="9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文书档案</w:t>
            </w:r>
          </w:p>
        </w:tc>
        <w:tc>
          <w:tcPr>
            <w:tcW w:w="2648" w:type="dxa"/>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2"/>
              <w:spacing w:line="240" w:lineRule="auto"/>
              <w:ind w:firstLine="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档案交接清点</w:t>
            </w:r>
          </w:p>
          <w:p>
            <w:pPr>
              <w:pStyle w:val="12"/>
              <w:spacing w:line="240" w:lineRule="auto"/>
              <w:ind w:firstLine="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档案整理</w:t>
            </w:r>
          </w:p>
          <w:p>
            <w:pPr>
              <w:pStyle w:val="12"/>
              <w:spacing w:line="240" w:lineRule="auto"/>
              <w:ind w:firstLine="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档案数字化扫描</w:t>
            </w:r>
          </w:p>
          <w:p>
            <w:pPr>
              <w:pStyle w:val="12"/>
              <w:spacing w:line="240" w:lineRule="auto"/>
              <w:ind w:firstLine="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图像处理</w:t>
            </w:r>
          </w:p>
          <w:p>
            <w:pPr>
              <w:pStyle w:val="12"/>
              <w:spacing w:line="240" w:lineRule="auto"/>
              <w:ind w:firstLine="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质量检查</w:t>
            </w:r>
          </w:p>
          <w:p>
            <w:pPr>
              <w:pStyle w:val="12"/>
              <w:spacing w:line="240" w:lineRule="auto"/>
              <w:ind w:firstLine="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信息著录及修改</w:t>
            </w:r>
          </w:p>
          <w:p>
            <w:pPr>
              <w:pStyle w:val="12"/>
              <w:spacing w:line="240" w:lineRule="auto"/>
              <w:ind w:firstLine="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著录质检</w:t>
            </w:r>
          </w:p>
          <w:p>
            <w:pPr>
              <w:pStyle w:val="12"/>
              <w:spacing w:line="240" w:lineRule="auto"/>
              <w:ind w:firstLine="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图像挂接</w:t>
            </w:r>
          </w:p>
          <w:p>
            <w:pPr>
              <w:pStyle w:val="12"/>
              <w:spacing w:line="240" w:lineRule="auto"/>
              <w:ind w:firstLine="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档案装订装盒</w:t>
            </w:r>
          </w:p>
          <w:p>
            <w:pPr>
              <w:pStyle w:val="12"/>
              <w:spacing w:line="240" w:lineRule="auto"/>
              <w:ind w:firstLine="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质量抽查</w:t>
            </w:r>
          </w:p>
          <w:p>
            <w:pPr>
              <w:pStyle w:val="12"/>
              <w:spacing w:line="240" w:lineRule="auto"/>
              <w:ind w:firstLine="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档案返还</w:t>
            </w:r>
          </w:p>
          <w:p>
            <w:pPr>
              <w:pStyle w:val="12"/>
              <w:spacing w:line="240" w:lineRule="auto"/>
              <w:ind w:firstLine="0"/>
              <w:rPr>
                <w:rFonts w:hint="eastAsia"/>
                <w:color w:val="auto"/>
                <w:sz w:val="21"/>
                <w:szCs w:val="21"/>
                <w:highlight w:val="none"/>
              </w:rPr>
            </w:pPr>
            <w:r>
              <w:rPr>
                <w:rFonts w:hint="eastAsia"/>
                <w:color w:val="auto"/>
                <w:sz w:val="21"/>
                <w:szCs w:val="21"/>
                <w:highlight w:val="none"/>
              </w:rPr>
              <w:t>数据备份</w:t>
            </w:r>
          </w:p>
          <w:p>
            <w:pPr>
              <w:widowControl/>
              <w:jc w:val="both"/>
              <w:rPr>
                <w:rFonts w:hint="eastAsia" w:ascii="宋体" w:hAnsi="宋体" w:eastAsia="宋体" w:cs="宋体"/>
                <w:color w:val="auto"/>
                <w:kern w:val="0"/>
                <w:sz w:val="21"/>
                <w:szCs w:val="21"/>
                <w:highlight w:val="none"/>
              </w:rPr>
            </w:pPr>
            <w:r>
              <w:rPr>
                <w:rFonts w:hint="eastAsia"/>
                <w:color w:val="auto"/>
                <w:sz w:val="21"/>
                <w:szCs w:val="21"/>
                <w:highlight w:val="none"/>
              </w:rPr>
              <w:t>成果数据移交</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页</w:t>
            </w:r>
          </w:p>
        </w:tc>
        <w:tc>
          <w:tcPr>
            <w:tcW w:w="15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120000</w:t>
            </w:r>
          </w:p>
        </w:tc>
      </w:tr>
      <w:tr>
        <w:tblPrEx>
          <w:tblCellMar>
            <w:top w:w="0" w:type="dxa"/>
            <w:left w:w="108" w:type="dxa"/>
            <w:bottom w:w="0" w:type="dxa"/>
            <w:right w:w="108" w:type="dxa"/>
          </w:tblCellMar>
        </w:tblPrEx>
        <w:trPr>
          <w:trHeight w:val="1137" w:hRule="atLeast"/>
          <w:jc w:val="center"/>
        </w:trPr>
        <w:tc>
          <w:tcPr>
            <w:tcW w:w="9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0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财务档案（财会类，凭证类）</w:t>
            </w:r>
          </w:p>
        </w:tc>
        <w:tc>
          <w:tcPr>
            <w:tcW w:w="2648"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1"/>
                <w:szCs w:val="21"/>
                <w:highlight w:val="none"/>
              </w:rPr>
            </w:pP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页</w:t>
            </w:r>
          </w:p>
        </w:tc>
        <w:tc>
          <w:tcPr>
            <w:tcW w:w="15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250000</w:t>
            </w:r>
          </w:p>
        </w:tc>
      </w:tr>
      <w:tr>
        <w:tblPrEx>
          <w:tblCellMar>
            <w:top w:w="0" w:type="dxa"/>
            <w:left w:w="108" w:type="dxa"/>
            <w:bottom w:w="0" w:type="dxa"/>
            <w:right w:w="108" w:type="dxa"/>
          </w:tblCellMar>
        </w:tblPrEx>
        <w:trPr>
          <w:trHeight w:val="1473" w:hRule="atLeast"/>
          <w:jc w:val="center"/>
        </w:trPr>
        <w:tc>
          <w:tcPr>
            <w:tcW w:w="9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0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其他档案</w:t>
            </w:r>
          </w:p>
        </w:tc>
        <w:tc>
          <w:tcPr>
            <w:tcW w:w="2648"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1"/>
                <w:szCs w:val="21"/>
                <w:highlight w:val="none"/>
              </w:rPr>
            </w:pPr>
          </w:p>
        </w:tc>
        <w:tc>
          <w:tcPr>
            <w:tcW w:w="155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页</w:t>
            </w:r>
          </w:p>
        </w:tc>
        <w:tc>
          <w:tcPr>
            <w:tcW w:w="15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100000</w:t>
            </w:r>
          </w:p>
        </w:tc>
      </w:tr>
    </w:tbl>
    <w:p>
      <w:pPr>
        <w:pStyle w:val="12"/>
        <w:ind w:firstLine="0"/>
        <w:rPr>
          <w:rFonts w:hAnsi="宋体" w:cs="宋体"/>
          <w:color w:val="auto"/>
          <w:sz w:val="21"/>
          <w:szCs w:val="21"/>
          <w:highlight w:val="none"/>
        </w:rPr>
      </w:pPr>
    </w:p>
    <w:p>
      <w:pPr>
        <w:adjustRightInd w:val="0"/>
        <w:snapToGrid w:val="0"/>
        <w:spacing w:line="360" w:lineRule="auto"/>
        <w:rPr>
          <w:rFonts w:ascii="宋体" w:hAnsi="宋体" w:cs="宋体"/>
          <w:b/>
          <w:color w:val="auto"/>
          <w:highlight w:val="none"/>
        </w:rPr>
      </w:pPr>
      <w:r>
        <w:rPr>
          <w:rFonts w:hint="eastAsia" w:ascii="宋体" w:hAnsi="宋体" w:cs="宋体"/>
          <w:b/>
          <w:color w:val="auto"/>
          <w:highlight w:val="none"/>
        </w:rPr>
        <w:t>三、</w:t>
      </w:r>
      <w:bookmarkStart w:id="126" w:name="_Toc10256"/>
      <w:bookmarkStart w:id="127" w:name="_Toc117872602"/>
      <w:bookmarkStart w:id="128" w:name="_Toc117857570"/>
      <w:r>
        <w:rPr>
          <w:rFonts w:hint="eastAsia" w:ascii="宋体" w:hAnsi="宋体" w:cs="宋体"/>
          <w:b/>
          <w:color w:val="auto"/>
          <w:highlight w:val="none"/>
        </w:rPr>
        <w:t>项目参考标准</w:t>
      </w:r>
      <w:bookmarkEnd w:id="126"/>
      <w:bookmarkEnd w:id="127"/>
      <w:bookmarkEnd w:id="128"/>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1.《档案服务外包工作规范》（DA/T68-2017)</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2.《档案保管外包服务管理规范》（DA/T67-2017)</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3.《纸质档案数字化规范》（DA/T31-2017）</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4.《归档文件整理规则》（DA/T22-2015）</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5.《纸质归档文件装订规范》(DA/T69-2018)</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6.《电子文件归档与电子档案管理规范》(GB/T18894-2016)</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7.《电子档案移交与接收办法》</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8.《档案分类标引规则》（GB/T15418-2009）</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9.《档案主题标引规则》（DA/T19-1999）</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10.《档案修裱技术规范》（GB/T25-2000）</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11.《档案著录规则》(DA/T18—1999)</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12.《中国档案机读目录格式》(GB/T20163-2006)</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13.《检察机关电子版档案数据接收规范及著录要求》</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14.《人民检察院诉讼档案管理办法》（高检发﹝2021﹞5号）</w:t>
      </w:r>
    </w:p>
    <w:p>
      <w:pPr>
        <w:adjustRightInd w:val="0"/>
        <w:snapToGrid w:val="0"/>
        <w:spacing w:line="360" w:lineRule="auto"/>
        <w:rPr>
          <w:rFonts w:ascii="宋体" w:hAnsi="宋体" w:cs="宋体"/>
          <w:b/>
          <w:color w:val="auto"/>
          <w:highlight w:val="none"/>
        </w:rPr>
      </w:pPr>
      <w:r>
        <w:rPr>
          <w:rFonts w:hint="eastAsia" w:ascii="宋体" w:hAnsi="宋体" w:cs="宋体"/>
          <w:b/>
          <w:color w:val="auto"/>
          <w:highlight w:val="none"/>
        </w:rPr>
        <w:t>四、</w:t>
      </w:r>
      <w:bookmarkStart w:id="129" w:name="_Toc9947"/>
      <w:bookmarkStart w:id="130" w:name="_Toc117872603"/>
      <w:bookmarkStart w:id="131" w:name="_Toc117857571"/>
      <w:r>
        <w:rPr>
          <w:rFonts w:hint="eastAsia" w:ascii="宋体" w:hAnsi="宋体" w:cs="宋体"/>
          <w:b/>
          <w:color w:val="auto"/>
          <w:highlight w:val="none"/>
        </w:rPr>
        <w:t>档案数字化加工服务要求</w:t>
      </w:r>
      <w:bookmarkEnd w:id="129"/>
      <w:bookmarkEnd w:id="130"/>
      <w:bookmarkEnd w:id="131"/>
    </w:p>
    <w:p>
      <w:pPr>
        <w:adjustRightInd w:val="0"/>
        <w:snapToGrid w:val="0"/>
        <w:spacing w:line="360" w:lineRule="auto"/>
        <w:ind w:firstLine="422" w:firstLineChars="200"/>
        <w:rPr>
          <w:rFonts w:ascii="宋体" w:hAnsi="宋体" w:cs="宋体"/>
          <w:b/>
          <w:color w:val="auto"/>
          <w:highlight w:val="none"/>
        </w:rPr>
      </w:pPr>
      <w:bookmarkStart w:id="132" w:name="_Toc95920523"/>
      <w:bookmarkStart w:id="133" w:name="_Toc99524556"/>
      <w:bookmarkStart w:id="134" w:name="_Toc117872604"/>
      <w:bookmarkStart w:id="135" w:name="_Toc7417"/>
      <w:bookmarkStart w:id="136" w:name="_Toc117857572"/>
      <w:r>
        <w:rPr>
          <w:rFonts w:hint="eastAsia" w:ascii="宋体" w:hAnsi="宋体" w:cs="宋体"/>
          <w:b/>
          <w:color w:val="auto"/>
          <w:highlight w:val="none"/>
        </w:rPr>
        <w:t>4.1档案资料数据化加工</w:t>
      </w:r>
      <w:bookmarkEnd w:id="132"/>
      <w:r>
        <w:rPr>
          <w:rFonts w:hint="eastAsia" w:ascii="宋体" w:hAnsi="宋体" w:cs="宋体"/>
          <w:b/>
          <w:color w:val="auto"/>
          <w:highlight w:val="none"/>
        </w:rPr>
        <w:t>服务</w:t>
      </w:r>
      <w:bookmarkEnd w:id="133"/>
      <w:r>
        <w:rPr>
          <w:rFonts w:hint="eastAsia" w:ascii="宋体" w:hAnsi="宋体" w:cs="宋体"/>
          <w:b/>
          <w:color w:val="auto"/>
          <w:highlight w:val="none"/>
        </w:rPr>
        <w:t>流程</w:t>
      </w:r>
      <w:bookmarkEnd w:id="134"/>
      <w:bookmarkEnd w:id="135"/>
      <w:bookmarkEnd w:id="136"/>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具体工作主要包括：对档案资料进行标准化的案卷分类、原件拆除、组卷、档案完整性检测、去除金属杂物、资料粘贴裱补、档案文件排序、核对及补充页码、档案整理质检，并对纸质档案进行档案扫描、图像处理、质量检查、信息著录及修改、图像挂接、档案装订装盒、质量抽查、档案返还、数据备份、成果数据移交等工序，实现项目电子档案资料库。</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工作流程：</w:t>
      </w:r>
    </w:p>
    <w:p>
      <w:pPr>
        <w:jc w:val="center"/>
        <w:rPr>
          <w:rFonts w:ascii="宋体" w:hAnsi="宋体" w:cs="宋体"/>
          <w:color w:val="auto"/>
          <w:highlight w:val="none"/>
        </w:rPr>
      </w:pPr>
      <w:r>
        <w:rPr>
          <w:rFonts w:ascii="宋体" w:hAnsi="宋体" w:cs="宋体"/>
          <w:color w:val="auto"/>
          <w:highlight w:val="none"/>
        </w:rPr>
        <w:drawing>
          <wp:inline distT="0" distB="0" distL="114300" distR="114300">
            <wp:extent cx="5679440" cy="2757805"/>
            <wp:effectExtent l="0" t="0" r="1651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5679440" cy="2757805"/>
                    </a:xfrm>
                    <a:prstGeom prst="rect">
                      <a:avLst/>
                    </a:prstGeom>
                    <a:noFill/>
                    <a:ln>
                      <a:noFill/>
                    </a:ln>
                  </pic:spPr>
                </pic:pic>
              </a:graphicData>
            </a:graphic>
          </wp:inline>
        </w:drawing>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4.1.1.档案交接清点</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档案调卷提前告知采购人工作人员，每次调卷数量控制在一到两周的工作量，严格遵守库房管理制度、保密制度，确保档案实体和档案信息的安全。双方根据调取的档案实体，并逐盒、逐卷、逐页清点，共同进行档案内容、数量的核对。清点结束后，调卷工作人员填写《借档还档登记表》，该表一式两份，双方清点无误签字确认后各持一份。将调卷工作人员将档案放入指定的档案柜进行保管，并做好调卷还卷登记。</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4.1.2.档案整理</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档案整理工作按照相关档案管理和整理要求完成纸质档案的规范化，并为档案著录做好准备。</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4.1.2.1.案卷分类</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接收的档案首先依据《归档文件整理规则》（DA/T22-2000）以及阳江市江城区人民检查院设定的大类和子属类进行分类，根据本项目的实际情况设置，未合内容另增设新类。大类用英文字母表示，属类、小类、案卷号用阿拉伯数字表示。并依据采购人的具体相关要求和法律法规做出实际的调整。</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4.1.2.2.原件拆卷</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中标供应商自备拆装工具，严格遵守相关业务规范，注意保护原件，不能损坏；将档案原件的装订线拆除，排好顺序，不得出现任何漏缺页及顺序差错；根据需要，进行文件的整理；多页粘贴在一起，要分开单独处理，注意浆糊黏附的位置，小心处理，严禁破坏档案原件的行为。工作统计登记，责任到人。</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4.1.2.3.组卷</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在分类的基础上，将未整理散放的各类（属类）范围内的文件材料组成案卷（由互有联系的若干个文件组成的档案保管单位），案卷的基本要求是：卷内文件材料齐全完整；保持卷内文件材料之间的有机联系；卷内文件材料页数适中，案卷便于保管和利用。</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（1）卷内文件材料齐全完整</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指每篇文件材料的定稿和印件、多种文字稿本，每份文件材料的正件和附件及其页数都应齐全完整。</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（2）保持卷内文件材料之间的有机联系</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将具有共同特征的若干份文件材料组合成一个案卷。文件材料之间的联系主要有以下几种：</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1）文件材料在内容特征方面的联系；</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2）文件材料在责任者特征方面的联系文件材料在时间特征方面的联系；</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3）文件材料在文种特征方面的联系。</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（3）卷内文件材料页数适中，案卷便于保管和利用</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若案卷太厚，不便于装订、查阅、复印、保密；若案卷太薄，文件比较零散、同一问题的文件不太集中不便于利用，又浪费卷皮，增加装订工作量。</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4.1.2.4.档案完整性检查</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对已初步整理的档案材料进行完整性检查，如发现明显的缺页或内容不全的档案，提交采购人的负责人进行补充完善或备注说明。确认无缺失遗漏后才能进入后续工序。</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4.1.2.5.去除金属杂物</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逐卷拆除档案中的原金属装订物（如：金属夹条、回形针、订书钉、大头针等）及一般线装物（如：后期装订线等）。拆除档案装订物时可使用相应工具，但必须小心细致，不得损毁档案。这样处理一方面可在扫描时对扫描仪设备进行有效的保护，另一方面可减小由于这些杂物对扫描图像质量的影响。</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4.1.2.6.资料粘贴裱补</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在档案中还会出现某些破损的纸张资料或金额单据，比如纸张撕破、褶皱等都需要进行粘贴和修补。对于这种破损档案，需将档案整理平整，并将破损处对齐，然后用胶水或透明胶带粘贴在A4空白复印纸上，粘贴时要求粘贴后的档案资料和原始资料基本一致。小于A4尺寸的金额单据用胶水或透明胶带粘贴在A4空白复印纸上，便于后续保存翻查。而对于一些双面均有重要内容的档案，只能将档案整理平整，或在征得采购人同意后，先将其中一面复印后再进行裱补。</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粘贴时要保证把纸张粘贴平整，破损处对齐要对齐，不能出现折叠、褶皱、相互覆盖等现象，被粘贴资料内容与A4复印纸垂直端正。尽量保证和原始纸质资料基本一致。</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4.1.2.7.档案文件排序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每件档案中的都包括多种资料，为了方便后续工序对图像资料的调阅处理，在整理时，需将纸质档案按照规定的要求详细分类，并按照一定的先后顺序进行排列叠放，以提高后续多道工序的工作效率。</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为了方便后期电子调阅方便，在整理时，以档案的目录为标准顺序排放，使档案内容索引清晰。</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4.1.2.8.核对及补充页码</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核对页码：</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根据档案目录对原档案进行核对页码，发现错误地方及时修正。</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补充页码：</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对于整理好未补充页码的纸质档案按照要求及固定格式编写页码，编写页码时要求将页码清晰地写在纸张资料的右上角，每卷档案的页码都是从1开始顺序累加，不能出现页码漏编、重编的现象。字迹要清晰规整，符合规范（推荐使用打号机打印页号）。编写的页码能起到整理、档案扫描、图文标引等工序相互校核的功能，可以避免由于人为原因造成的丢页现象发生。</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页码编写完成后应进行一次清点码页码，清点页码可以避免由于人为原因造成档案丢页现象的发生，是对人为编写页码的一次校核。清点页码顺序号每件均从第一页起清点至最后一页，凡有文字和图表的页面都要清点。清点页码时要求不能出现页码漏点、重点的现象。</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4.1.2.9.档案整理质检</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档案整理工作完成后，还应对档案整理工作进行质检，整理质检的目的是确保档案整理工作符合相关规范要求。对于不符合要求的要记录并打回整理工序进行重新整理，只有整理质检合格的档案才能进入下一工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整理员整理完一件档案后，应认真作好以下检查工作：</w:t>
      </w:r>
    </w:p>
    <w:p>
      <w:pPr>
        <w:numPr>
          <w:ilvl w:val="0"/>
          <w:numId w:val="24"/>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检查本件档案在整理过程中是否有丢页现象。</w:t>
      </w:r>
    </w:p>
    <w:p>
      <w:pPr>
        <w:numPr>
          <w:ilvl w:val="0"/>
          <w:numId w:val="24"/>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检查是否有未进行粘贴和未进行修补页面的现象。</w:t>
      </w:r>
    </w:p>
    <w:p>
      <w:pPr>
        <w:numPr>
          <w:ilvl w:val="0"/>
          <w:numId w:val="24"/>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检查是否存在资料排放错误的现象。</w:t>
      </w:r>
    </w:p>
    <w:p>
      <w:pPr>
        <w:numPr>
          <w:ilvl w:val="0"/>
          <w:numId w:val="24"/>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检查本件档案封套上所标明的相关数据与档案实际内容是否一致。</w:t>
      </w:r>
    </w:p>
    <w:p>
      <w:pPr>
        <w:numPr>
          <w:ilvl w:val="0"/>
          <w:numId w:val="24"/>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检查是否按照整理要求对需进行扫描的档案加以标识。</w:t>
      </w:r>
    </w:p>
    <w:p>
      <w:pPr>
        <w:numPr>
          <w:ilvl w:val="0"/>
          <w:numId w:val="24"/>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检查档案页号的清点是否正确。</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档案检查完成后，将档案装入封套中，若档案需重新扫描则放入扫描准备区，准备档案扫描的工作。</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4.1.3.档案数字化扫描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扫描时根据档案幅面的大小和纸张状况，选择相应扫描仪及相关配套专业软件。扫描设备的参数设置和调整保证扫描后数字图像清晰、完整、不失真，图像效果最接近档案原貌。采用最为可靠的扫描设备和扫描方式完成档案扫描，避免纸张褶皱、撕裂、破损等情况的发生。</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根据纸张质地、底色、薄厚程度等因素，设置最佳的扫描明暗度、对比度设置，保证原始扫描图像效果与原件吻合。根据档案幅面的大小和纸张状况，选择相应扫描仪。其中大幅面档案可采用大幅面工程扫描仪，也可以采用小幅面扫描后进行图像拼接处理，A3幅面的档案不允许使用拼接的方法制作。同页有两个以上文件，需分别扫描后再进行合页。遇有浮贴时，浮贴加原页扫1页，浮贴揭开之原页扫1页，若有多张浮贴重叠，每张浮贴均需单独扫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（2）如遇到档案纸张质地脆弱，不适合反复拆装订的档案，应采用不拆卷扫描设备和方式进行扫描。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（3）扫描时，应根据纸张质地、底色、薄厚程度等因素，设置最佳的扫描明暗度、对比度设置，保证原始扫描图像效果与原件吻合。</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（4）确保纸张扫描时放置端正，从而保证原始扫描图像无歪斜，减少后期处理可能带来的图像失真；</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对于档案中折子页、图纸、表格等应整页扫描；根据档案幅面的大小选择相应规格的专业扫描仪进行扫描；超长页可采用图像拼接方式处理，大幅面档案应采用工程图纸扫描仪扫描；同一页面有两个以上文件，需分别扫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6</w:t>
      </w:r>
      <w:r>
        <w:rPr>
          <w:rFonts w:hint="eastAsia" w:ascii="宋体" w:hAnsi="宋体" w:cs="宋体"/>
          <w:bCs/>
          <w:color w:val="auto"/>
          <w:highlight w:val="none"/>
        </w:rPr>
        <w:t>）扫描登记：认真填写纸质档案数字化转换过程中的相关表单，记录质检结果和处理意见。包括交接登记表单，登记扫描档案的页数等；登记时应注意核对每份文件的实际扫描页数与档案整理登记单时填写的文件页数是否一致，对漏扫或错扫进行补扫的，应在登记表上注明原因和处理方法。</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7</w:t>
      </w:r>
      <w:r>
        <w:rPr>
          <w:rFonts w:hint="eastAsia" w:ascii="宋体" w:hAnsi="宋体" w:cs="宋体"/>
          <w:bCs/>
          <w:color w:val="auto"/>
          <w:highlight w:val="none"/>
        </w:rPr>
        <w:t>）数据存储：按照《纸质档案数字化技术规范》及采购人要求，以纸质档案目录数据库为依据，将每一份图像文件命名为档案目录数据库中该份文件的档号。图像保存格式可以为PDF、TIFF、JPEG等通用格式。</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4.1.4.图像处理</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图像处理遵循尽量展现档案的原版、原貌原则，确保每一幅扫描图像的清晰，采用图像处理软件进行加工处理。对扫描后形成的数字图像通过计算机自动处理和人工处理进行逐页旋转、纠偏、裁边、去污等技术处理。具体内容如下：</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（1）扫描影像的顺序与计算机的著录顺序一致，与纸质档案的档号、目录、文件的顺序排列一致，不得颠倒；不能有漏扫和重页，保证电子影像的完整，清晰、齐全；</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（2）不能有漏扫和重页，不允许有折叠或缺损，保证电子影像的完整齐全，文件漏扫时，应及时补扫并正确插入图像；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（3）扫描图像进行逐页纠偏、去污、去黑边等处理，以确保每一幅扫描图像清晰、不失真。图像处理应遵循尽量展现档案原版原貌的原则（注意版面内不做加工处理，以保证图像的完整性）；</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（4）扫描后的影像文件页面要端正，无扭曲，字迹要保持清晰、不失真、不留文字版面外的暗影、无干扰信息，黑白对比度适中，由于操作不当，造成扫描文件不完整或无法清晰识别时，应重新扫描；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（5）对图像偏斜度、清晰度、失真度等进行检查，电子图片的倾斜度不得超出1度，对方向不正确的图像应进行旋转还原，以符合阅读习惯，发现不符合图像质量要求时，应重新进行图像处理。</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4.1.5.质量检查</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主要针对图像处理后的电子图像进行的质量检查。</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1.数字图像不完整、无法清晰识别或图像失真度较大时，重新扫描。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2.对于漏扫、重扫、多扫等情况，应及时改正。</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3.数字图像的排列顺序与档案原件不一致时，及时进行调整。</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4.对数字图像拼接、旋转及纠偏、裁边、去污等处理情况进行检查，发现不符合图像质量要求时，重新进行图像处理。</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4.1.6.信息著录及修改</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按照《档案著录规则》(DA/T18)的要求对每一件档案进行信息著录，规范档案中的信息内容。</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如有错误或不规范的信息，立即进行修改。</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（1）逐卷逐件核对档案实体与电子目录的对应信息（档号、责任者、题名、时间等），以实体档案为基准在确保电子目录信息准确无误后，按挂接要求审核目录数据，缺少元数据项目的须进行补录。</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2</w:t>
      </w:r>
      <w:r>
        <w:rPr>
          <w:rFonts w:hint="eastAsia" w:ascii="宋体" w:hAnsi="宋体" w:cs="宋体"/>
          <w:bCs/>
          <w:color w:val="auto"/>
          <w:highlight w:val="none"/>
          <w:lang w:eastAsia="zh-CN"/>
        </w:rPr>
        <w:t>）</w:t>
      </w:r>
      <w:r>
        <w:rPr>
          <w:rFonts w:hint="eastAsia" w:ascii="宋体" w:hAnsi="宋体" w:cs="宋体"/>
          <w:bCs/>
          <w:color w:val="auto"/>
          <w:highlight w:val="none"/>
        </w:rPr>
        <w:t>对档案实体有目录而无电子目录的，须按规范格式进行补录。</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3</w:t>
      </w:r>
      <w:r>
        <w:rPr>
          <w:rFonts w:hint="eastAsia" w:ascii="宋体" w:hAnsi="宋体" w:cs="宋体"/>
          <w:bCs/>
          <w:color w:val="auto"/>
          <w:highlight w:val="none"/>
          <w:lang w:eastAsia="zh-CN"/>
        </w:rPr>
        <w:t>）</w:t>
      </w:r>
      <w:r>
        <w:rPr>
          <w:rFonts w:hint="eastAsia" w:ascii="宋体" w:hAnsi="宋体" w:cs="宋体"/>
          <w:bCs/>
          <w:color w:val="auto"/>
          <w:highlight w:val="none"/>
        </w:rPr>
        <w:t>应根据文件内容依次分“件”，然后参考卷内文件的“事由”内容，按照档案目录采集著录规范和采购人工作要求，以“件”为单位逐条拟写文件标题及其它著录项，形成卷内文件目录，并由专人审核校对。</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4.1.7.著录质检</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档案著录完成后，对每一卷档案进行逐一检查，着重检查档案的卷内目录是否与整理的档案保持一致，如有问题的档案及时进行修正，确保最终档案整理的规范性。质检的内容包括：</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（1）检查封面、卷内目录、备考表标识与图像显示是否正确。</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（2）检查封面显示题名等信息项与案卷目录显示内容是否一致。</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（3）检查图像上编制的页号与卷内目录列表中的起始页码是否一致。</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（4）检查电子影像是否按页码顺序排列，并核对流程单上的页码与电子影像数是否跟上一环节相同。检查图像文件的命名是否正确。</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（5）检查否有模糊不清、页面不完整、颜色不均及变形、明显皱纹。 为达到档案数字化加工最高质量标准，在档案数字化加工流程中的每个流程中的每个组需根据采购人的需求所制定出的档案数字化加工标准进行自检。</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4.1.8.图像挂接</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扫描完成后的图像数据，需要与目录数据进行一一对应。其中，扫描文件以卷为单位进行存储，案卷目录应对应到相应图像文件所在的文件夹；卷内目录应对应到相应页数的图像文件。</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1.汇总挂接</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档案数字化转换过程中形成的目录数据库与图像数据库，通过质检环节确认为“合格”后，通过在线或离线方式加载到数据服务器端汇总。通过编制程序或借助相应软件，实现目录数据对相关联的数字图像的批量、快速挂接。索引挂接要求兼容性良好，保证数据的安全性，防止数据泄漏和溢出。</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2.数据关联</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以纸质档案目录数据库为依据，将每一份纸质档案文件扫描所得的一个或多个图像存储为一份图像文件。将图像文件存储到相应文件夹时，要认真核查每一份图像文件的名称与档案目录数据库中该份文件的档号是否相同，图像文件的页数与档案目录数据库中该份文件的页数是否一致，图像文件的总数与目录数据库中文件的总数是否相同等。通过每一份图像文件的文件名与档案目录数据库中该份文件的档号的一致性和唯一性，建立起一一对应的关联关系，为实现档案目录数据库与图像文件的批量挂接提供条件。</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3.交接登记</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认真填写纸质档案数字化转换过程交接登记表单，记录数据关联后的页数，核对每一份文件关联后的页数与档案整理、扫描时填写的页数是否一致，不一致时应注明具体原因和处理办法。</w:t>
      </w:r>
    </w:p>
    <w:p>
      <w:pPr>
        <w:adjustRightInd w:val="0"/>
        <w:snapToGrid w:val="0"/>
        <w:spacing w:line="360" w:lineRule="auto"/>
        <w:ind w:firstLine="422" w:firstLineChars="200"/>
        <w:rPr>
          <w:rFonts w:ascii="宋体" w:hAnsi="宋体" w:cs="宋体"/>
          <w:b/>
          <w:bCs w:val="0"/>
          <w:color w:val="auto"/>
          <w:highlight w:val="none"/>
        </w:rPr>
      </w:pPr>
      <w:r>
        <w:rPr>
          <w:rFonts w:hint="eastAsia" w:ascii="宋体" w:hAnsi="宋体" w:cs="宋体"/>
          <w:b/>
          <w:bCs w:val="0"/>
          <w:color w:val="auto"/>
          <w:highlight w:val="none"/>
        </w:rPr>
        <w:t>4.1.9.档案装订装盒</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对加工完成的纸质档案采用三孔一线法进行装订，按档案的原貌、装订的顺序重新装订，做到安全、准确、无遗漏；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1.实体档案装订前认真检查档案数量是否帐实相符，档案目录是否完整，卷内文件的各种编码与档案封面和目录各项是否相符，文件排列顺序是否正确；</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遵循尽可能保持档案原貌的原则，装订时尽可能按原孔装订，对装订位置不足的页面，须进行加边处理。对破损的档案要修复。装订要结实、齐整(左边、下边对齐)，不掉页，不倒页，不压字，不损坏文件，不妨碍阅读；</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3.原卷内目录按顺序排列在备考表之后予以保留，与该卷文件一起装订。</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4.经核对无误的档案，以文件左边沿和下边（底边）沿为准，依次整理整齐，夹上卷封装订成册。</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5.在整理过程中，如发现文件无装订边，装订会造成危害文件字符时，应适度镶边后再装订。</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6.档案装订采用专业装订线进行装订，原档案按卷方式装订管理的，采用白线三孔一线装订。</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7.对于扫描前已折叠过的大于A4幅面的图纸按照相关规范重新折叠。最后按照要求对档案以卷为单位进行装订。</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8.对原卷封破损严重的档案，应在原卷封外覆盖一个新卷封，再进行装订；对原卷盒破损严重的档案，应更换新卷盒。是否需覆盖新卷封或更换卷盒由采购人最终判定。新卷封、卷盒采用与原卷封、卷盒外观一致、采购人认可的、符合质量要求的卷封、卷盒。</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9.对原来已打孔装订的档案，在装订时尽可能利用原孔装订，不能按原孔而需重新打孔的档案，打孔时严格按照规定沿档案文件左边适当处打孔，确保三点一线，既不漏页也不损害文件字符。</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10.系线时要按照标准方法操作，线不可太长或太短，系线松紧适度。</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11.装订成册的档案必须保证每页都装订成功，不可有漏装掉页情况出现。</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12.装订完成后，须在备考表中按规范填入本次档案数字化任务相关信息。</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13.及时将装订完毕的档案上交管理员点收入库。</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4.1.10.质量抽查</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由项目负责人按各环节要求每个步骤进行质量抽查，如发现任何错误，都做好登记，退回相关的加工环节进行重新处理。</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4.1.11.档案返还</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将数字数字化整理完成并通过验收的纸质档案，按照批次归还采购人的档案管理部门，办理好归还手续。对拟归还的档案逐卷或逐件清点，共同进行档案内容、目录数量的核对，不能有任何差错。</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4.1.12.数据备份</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1.中标供应商将检查合格的完整数据及时进行备份，并向采购人移交。</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2.备份方式：</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光盘备份。将成品数据采取蓝光光盘的存储形式备份2套。</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3.数据检验</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备份数据也应进行检验。备份数据的检验内容主要包括备份数据能否打开、数据信息是否完整、文件数量是否准确等。</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4.备份标签</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数据备份后应在相应的备份介质上做好标签，以便查找和管理。</w:t>
      </w:r>
    </w:p>
    <w:p>
      <w:pPr>
        <w:adjustRightInd w:val="0"/>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4.1.13.成果数据移交</w:t>
      </w:r>
    </w:p>
    <w:p>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根据采购人的数字化加工规范要求把验收合格的数据成品、扫描加工中形成的各种统计资料、交接清单等按照纸质档案数字化工作方案的工作要求及时移交，并履行交接手续。</w:t>
      </w:r>
    </w:p>
    <w:p>
      <w:pPr>
        <w:rPr>
          <w:rFonts w:hint="default" w:ascii="宋体" w:hAnsi="宋体"/>
          <w:b/>
          <w:bCs/>
          <w:color w:val="auto"/>
          <w:szCs w:val="21"/>
          <w:highlight w:val="none"/>
          <w:lang w:val="en-US" w:eastAsia="zh-CN"/>
        </w:rPr>
      </w:pPr>
    </w:p>
    <w:p>
      <w:pPr>
        <w:spacing w:line="360" w:lineRule="auto"/>
        <w:rPr>
          <w:color w:val="auto"/>
          <w:sz w:val="21"/>
          <w:szCs w:val="21"/>
          <w:highlight w:val="none"/>
        </w:rPr>
      </w:pPr>
      <w:r>
        <w:rPr>
          <w:rFonts w:hint="default"/>
          <w:color w:val="auto"/>
          <w:highlight w:val="none"/>
          <w:lang w:val="en-US" w:eastAsia="zh-CN"/>
        </w:rPr>
        <w:br w:type="page"/>
      </w:r>
    </w:p>
    <w:p>
      <w:pPr>
        <w:rPr>
          <w:rFonts w:hint="eastAsia"/>
          <w:color w:val="auto"/>
          <w:highlight w:val="none"/>
        </w:rPr>
      </w:pPr>
    </w:p>
    <w:p>
      <w:pPr>
        <w:pStyle w:val="2"/>
        <w:numPr>
          <w:ilvl w:val="0"/>
          <w:numId w:val="0"/>
        </w:numPr>
        <w:spacing w:beforeLines="0" w:line="240" w:lineRule="auto"/>
        <w:rPr>
          <w:color w:val="auto"/>
          <w:highlight w:val="none"/>
        </w:rPr>
      </w:pPr>
      <w:bookmarkStart w:id="137" w:name="_Toc13135"/>
      <w:r>
        <w:rPr>
          <w:rFonts w:hint="eastAsia"/>
          <w:color w:val="auto"/>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7"/>
    </w:p>
    <w:p>
      <w:pPr>
        <w:pStyle w:val="3"/>
        <w:numPr>
          <w:ilvl w:val="0"/>
          <w:numId w:val="0"/>
        </w:numPr>
        <w:rPr>
          <w:color w:val="auto"/>
          <w:szCs w:val="21"/>
          <w:highlight w:val="none"/>
        </w:rPr>
      </w:pPr>
      <w:bookmarkStart w:id="138" w:name="_Toc456648358"/>
      <w:bookmarkStart w:id="139" w:name="_Toc4783"/>
      <w:bookmarkStart w:id="140" w:name="_Toc434832495"/>
      <w:bookmarkStart w:id="141" w:name="_Toc456272919"/>
      <w:r>
        <w:rPr>
          <w:rFonts w:hint="eastAsia"/>
          <w:color w:val="auto"/>
          <w:szCs w:val="21"/>
          <w:highlight w:val="none"/>
        </w:rPr>
        <w:t>投标人须知前附表</w:t>
      </w:r>
      <w:bookmarkEnd w:id="138"/>
      <w:bookmarkEnd w:id="139"/>
      <w:bookmarkEnd w:id="140"/>
      <w:bookmarkEnd w:id="141"/>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bookmarkStart w:id="142" w:name="_Hlt21938668"/>
            <w:bookmarkEnd w:id="142"/>
            <w:bookmarkStart w:id="143" w:name="_Hlt21938665"/>
            <w:bookmarkEnd w:id="143"/>
            <w:bookmarkStart w:id="144" w:name="_Toc339019983"/>
            <w:bookmarkStart w:id="145" w:name="_Toc342060342"/>
            <w:bookmarkStart w:id="146" w:name="_Toc333238601"/>
            <w:bookmarkStart w:id="147" w:name="_Toc339441055"/>
            <w:bookmarkStart w:id="148" w:name="_Toc333935655"/>
            <w:bookmarkStart w:id="149" w:name="_Toc341348306"/>
            <w:bookmarkStart w:id="150" w:name="_Toc339020201"/>
            <w:bookmarkStart w:id="151" w:name="_Toc331512866"/>
            <w:bookmarkStart w:id="152" w:name="_Toc339019857"/>
            <w:bookmarkStart w:id="153" w:name="_Toc331684006"/>
            <w:bookmarkStart w:id="154" w:name="_Toc339020063"/>
            <w:bookmarkStart w:id="155" w:name="_Toc497224194"/>
            <w:bookmarkStart w:id="156" w:name="_Toc349127594"/>
            <w:bookmarkStart w:id="157" w:name="_Toc332206676"/>
            <w:bookmarkStart w:id="158" w:name="_Toc332270314"/>
            <w:bookmarkStart w:id="159" w:name="_Toc336681548"/>
            <w:bookmarkStart w:id="160" w:name="_Toc333935314"/>
            <w:bookmarkStart w:id="161" w:name="_Toc330459953"/>
            <w:bookmarkStart w:id="162" w:name="_Toc365967041"/>
            <w:bookmarkStart w:id="163" w:name="_Toc340677038"/>
            <w:bookmarkStart w:id="164" w:name="_Toc339362268"/>
            <w:bookmarkStart w:id="165" w:name="_Toc503785396"/>
            <w:bookmarkStart w:id="166" w:name="_Toc333237756"/>
            <w:bookmarkStart w:id="167" w:name="_Toc350756418"/>
            <w:bookmarkStart w:id="168" w:name="_Toc366072496"/>
            <w:bookmarkStart w:id="169" w:name="_Toc350438717"/>
            <w:bookmarkStart w:id="170" w:name="_Toc340672837"/>
            <w:bookmarkStart w:id="171" w:name="_Toc349143557"/>
            <w:bookmarkStart w:id="172" w:name="_Toc365985147"/>
            <w:bookmarkStart w:id="173" w:name="_Toc342296728"/>
            <w:bookmarkStart w:id="174" w:name="_Toc336681903"/>
            <w:bookmarkStart w:id="175" w:name="_Toc345513835"/>
            <w:bookmarkStart w:id="176" w:name="_Toc337632326"/>
            <w:bookmarkStart w:id="177" w:name="_Toc340507410"/>
            <w:bookmarkStart w:id="178" w:name="_Toc333237645"/>
            <w:r>
              <w:rPr>
                <w:rFonts w:hint="eastAsia" w:ascii="宋体" w:hAnsi="宋体"/>
                <w:b/>
                <w:color w:val="auto"/>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auto"/>
                <w:szCs w:val="21"/>
                <w:highlight w:val="none"/>
                <w:lang w:val="en-GB"/>
              </w:rPr>
            </w:pPr>
            <w:r>
              <w:rPr>
                <w:rFonts w:hint="eastAsia"/>
                <w:color w:val="auto"/>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bCs/>
                <w:color w:val="auto"/>
                <w:highlight w:val="none"/>
              </w:rPr>
              <w:t>评标委员会</w:t>
            </w:r>
            <w:r>
              <w:rPr>
                <w:rFonts w:hint="eastAsia" w:ascii="宋体"/>
                <w:bCs/>
                <w:color w:val="auto"/>
                <w:highlight w:val="none"/>
                <w:lang w:val="en-US" w:eastAsia="zh-CN"/>
              </w:rPr>
              <w:t>根据政府采购相关法律法规组成</w:t>
            </w:r>
            <w:r>
              <w:rPr>
                <w:rFonts w:hint="eastAsia" w:ascii="宋体"/>
                <w:bCs/>
                <w:color w:val="auto"/>
                <w:highlight w:val="none"/>
              </w:rPr>
              <w:t>，评审专家根据相关法律法规及法律程序</w:t>
            </w:r>
            <w:r>
              <w:rPr>
                <w:rFonts w:hint="eastAsia" w:ascii="宋体"/>
                <w:bCs/>
                <w:color w:val="auto"/>
                <w:highlight w:val="none"/>
                <w:lang w:eastAsia="zh-CN"/>
              </w:rPr>
              <w:t>，</w:t>
            </w:r>
            <w:r>
              <w:rPr>
                <w:rFonts w:hint="eastAsia" w:ascii="宋体"/>
                <w:bCs/>
                <w:color w:val="auto"/>
                <w:highlight w:val="none"/>
              </w:rPr>
              <w:t>依据本次采购活动的特点和需要在政府指定的专家库中随机抽取产生,</w:t>
            </w:r>
            <w:r>
              <w:rPr>
                <w:rFonts w:hint="eastAsia" w:ascii="宋体"/>
                <w:b/>
                <w:bCs/>
                <w:color w:val="auto"/>
                <w:highlight w:val="none"/>
              </w:rPr>
              <w:t>专家数量共</w:t>
            </w:r>
            <w:r>
              <w:rPr>
                <w:rFonts w:hint="eastAsia" w:ascii="宋体"/>
                <w:b/>
                <w:bCs/>
                <w:color w:val="auto"/>
                <w:highlight w:val="none"/>
                <w:u w:val="single"/>
              </w:rPr>
              <w:t xml:space="preserve"> 5</w:t>
            </w:r>
            <w:r>
              <w:rPr>
                <w:rFonts w:ascii="宋体"/>
                <w:b/>
                <w:bCs/>
                <w:color w:val="auto"/>
                <w:highlight w:val="none"/>
                <w:u w:val="single"/>
              </w:rPr>
              <w:t xml:space="preserve"> </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投标资料数量和封装</w:t>
            </w:r>
            <w:r>
              <w:rPr>
                <w:rFonts w:hint="eastAsia" w:ascii="宋体" w:hAnsi="宋体"/>
                <w:color w:val="auto"/>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共提供4份</w:t>
            </w:r>
            <w:r>
              <w:rPr>
                <w:rFonts w:hint="eastAsia" w:ascii="宋体" w:hAnsi="宋体"/>
                <w:b/>
                <w:bCs/>
                <w:color w:val="auto"/>
                <w:szCs w:val="21"/>
                <w:highlight w:val="none"/>
              </w:rPr>
              <w:t>投标</w:t>
            </w:r>
            <w:r>
              <w:rPr>
                <w:rFonts w:hint="eastAsia" w:ascii="宋体" w:hAnsi="宋体"/>
                <w:b/>
                <w:bCs/>
                <w:color w:val="auto"/>
                <w:szCs w:val="21"/>
                <w:highlight w:val="none"/>
                <w:lang w:val="en-US" w:eastAsia="zh-CN"/>
              </w:rPr>
              <w:t>资料，分别封装：</w:t>
            </w:r>
          </w:p>
          <w:p>
            <w:pPr>
              <w:pStyle w:val="2"/>
              <w:rPr>
                <w:rFonts w:hint="eastAsia"/>
                <w:lang w:eastAsia="zh-CN"/>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auto"/>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资格审查文件</w:t>
            </w:r>
            <w:r>
              <w:rPr>
                <w:rFonts w:hint="eastAsia" w:ascii="宋体" w:hAnsi="宋体"/>
                <w:b/>
                <w:bCs/>
                <w:color w:val="auto"/>
                <w:szCs w:val="21"/>
                <w:highlight w:val="none"/>
                <w:lang w:eastAsia="zh-CN"/>
              </w:rPr>
              <w:t>。</w:t>
            </w:r>
            <w:r>
              <w:rPr>
                <w:rFonts w:hint="eastAsia"/>
                <w:color w:val="auto"/>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商务及技术文件</w:t>
            </w:r>
            <w:r>
              <w:rPr>
                <w:rFonts w:hint="eastAsia" w:ascii="宋体" w:hAnsi="宋体"/>
                <w:b/>
                <w:bCs/>
                <w:color w:val="auto"/>
                <w:szCs w:val="21"/>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rPr>
              <w:t>开标信封</w:t>
            </w:r>
            <w:r>
              <w:rPr>
                <w:rFonts w:hint="eastAsia"/>
                <w:b/>
                <w:bCs/>
                <w:color w:val="auto"/>
                <w:szCs w:val="21"/>
                <w:highlight w:val="none"/>
                <w:lang w:eastAsia="zh-CN"/>
              </w:rPr>
              <w:t>。</w:t>
            </w:r>
            <w:r>
              <w:rPr>
                <w:rFonts w:hint="eastAsia"/>
                <w:color w:val="auto"/>
                <w:highlight w:val="none"/>
                <w:lang w:val="en-US" w:eastAsia="zh-CN"/>
              </w:rPr>
              <w:t>（内含“开标一览表”、“分项报价表”、“法定代表人（负责人）证明书”和“法定代表人（负责人）授权书”</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lang w:val="en-US" w:eastAsia="zh-CN"/>
              </w:rPr>
              <w:t>4、</w:t>
            </w:r>
            <w:r>
              <w:rPr>
                <w:rFonts w:hint="eastAsia"/>
                <w:b/>
                <w:bCs/>
                <w:color w:val="auto"/>
                <w:highlight w:val="none"/>
                <w:lang w:val="en-US" w:eastAsia="zh-CN"/>
              </w:rPr>
              <w:t>投标文件电子版。</w:t>
            </w:r>
            <w:r>
              <w:rPr>
                <w:rFonts w:hint="eastAsia"/>
                <w:color w:val="auto"/>
                <w:highlight w:val="none"/>
                <w:lang w:val="en-US" w:eastAsia="zh-CN"/>
              </w:rPr>
              <w:t>（以光盘或U盘提供，内含PDF及可编辑的投标文件电子版1份，</w:t>
            </w:r>
            <w:r>
              <w:rPr>
                <w:rFonts w:hint="eastAsia"/>
                <w:color w:val="auto"/>
                <w:szCs w:val="21"/>
                <w:highlight w:val="none"/>
              </w:rPr>
              <w:t>在封面上注明“</w:t>
            </w:r>
            <w:r>
              <w:rPr>
                <w:rFonts w:hint="eastAsia"/>
                <w:color w:val="auto"/>
                <w:szCs w:val="21"/>
                <w:highlight w:val="none"/>
                <w:lang w:val="en-US" w:eastAsia="zh-CN"/>
              </w:rPr>
              <w:t>公司名称-</w:t>
            </w:r>
            <w:r>
              <w:rPr>
                <w:rFonts w:hint="eastAsia"/>
                <w:color w:val="auto"/>
                <w:highlight w:val="none"/>
                <w:lang w:val="en-US" w:eastAsia="zh-CN"/>
              </w:rPr>
              <w:t>投标文件电子版</w:t>
            </w:r>
            <w:r>
              <w:rPr>
                <w:rFonts w:hint="eastAsia"/>
                <w:color w:val="auto"/>
                <w:szCs w:val="21"/>
                <w:highlight w:val="none"/>
              </w:rPr>
              <w:t>”</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auto"/>
                <w:highlight w:val="none"/>
              </w:rPr>
            </w:pPr>
            <w:r>
              <w:rPr>
                <w:rFonts w:hint="eastAsia" w:ascii="宋体" w:hAnsi="宋体"/>
                <w:b/>
                <w:bCs w:val="0"/>
                <w:color w:val="auto"/>
                <w:szCs w:val="21"/>
                <w:highlight w:val="none"/>
                <w:lang w:val="en-US" w:eastAsia="zh-CN"/>
              </w:rPr>
              <w:t>所有投标资料</w:t>
            </w:r>
            <w:r>
              <w:rPr>
                <w:rFonts w:hint="eastAsia" w:ascii="宋体"/>
                <w:bCs/>
                <w:color w:val="auto"/>
                <w:szCs w:val="21"/>
                <w:highlight w:val="none"/>
              </w:rPr>
              <w:t>分别</w:t>
            </w:r>
            <w:r>
              <w:rPr>
                <w:rFonts w:hint="eastAsia" w:ascii="宋体" w:hAnsi="宋体"/>
                <w:bCs/>
                <w:color w:val="auto"/>
                <w:szCs w:val="21"/>
                <w:highlight w:val="none"/>
              </w:rPr>
              <w:t>密封在不透明的外层封装中，</w:t>
            </w:r>
            <w:r>
              <w:rPr>
                <w:rFonts w:hint="eastAsia"/>
                <w:color w:val="auto"/>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auto"/>
                <w:highlight w:val="none"/>
              </w:rPr>
            </w:pPr>
            <w:r>
              <w:rPr>
                <w:rFonts w:hint="eastAsia" w:ascii="宋体"/>
                <w:bCs/>
                <w:color w:val="auto"/>
                <w:highlight w:val="none"/>
              </w:rPr>
              <w:t>每一密封封</w:t>
            </w:r>
            <w:r>
              <w:rPr>
                <w:rFonts w:hint="eastAsia" w:ascii="宋体"/>
                <w:bCs/>
                <w:color w:val="auto"/>
                <w:highlight w:val="none"/>
                <w:lang w:val="en-US" w:eastAsia="zh-CN"/>
              </w:rPr>
              <w:t>装</w:t>
            </w:r>
            <w:r>
              <w:rPr>
                <w:rFonts w:hint="eastAsia" w:ascii="宋体"/>
                <w:bCs/>
                <w:color w:val="auto"/>
                <w:highlight w:val="none"/>
              </w:rPr>
              <w:t>上均注明“于</w:t>
            </w:r>
            <w:r>
              <w:rPr>
                <w:rFonts w:hint="eastAsia" w:ascii="宋体"/>
                <w:bCs/>
                <w:color w:val="auto"/>
                <w:highlight w:val="none"/>
                <w:u w:val="single"/>
              </w:rPr>
              <w:t xml:space="preserve">     （投标截止时间）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auto"/>
                <w:highlight w:val="none"/>
              </w:rPr>
            </w:pPr>
            <w:r>
              <w:rPr>
                <w:rFonts w:hint="eastAsia" w:ascii="宋体"/>
                <w:bCs/>
                <w:color w:val="auto"/>
                <w:highlight w:val="none"/>
              </w:rPr>
              <w:t>投标人未按上述规定对投标文件进行密封和加写标记，</w:t>
            </w:r>
            <w:r>
              <w:rPr>
                <w:rFonts w:hint="eastAsia" w:ascii="宋体" w:hAnsi="宋体"/>
                <w:color w:val="auto"/>
                <w:highlight w:val="none"/>
              </w:rPr>
              <w:t>代理采购机构有权予以拒收，并退回给投标人。电报、电话、传真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r>
              <w:rPr>
                <w:b/>
                <w:bCs/>
                <w:color w:val="auto"/>
                <w:szCs w:val="21"/>
                <w:highlight w:val="none"/>
              </w:rPr>
              <w:t>所有投标文件密封袋的封口处应加盖投标人</w:t>
            </w:r>
            <w:r>
              <w:rPr>
                <w:rFonts w:hint="eastAsia"/>
                <w:b/>
                <w:bCs/>
                <w:color w:val="auto"/>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auto"/>
                <w:sz w:val="21"/>
                <w:szCs w:val="21"/>
                <w:highlight w:val="none"/>
              </w:rPr>
            </w:pPr>
            <w:r>
              <w:rPr>
                <w:rFonts w:hint="eastAsia"/>
                <w:b/>
                <w:color w:val="auto"/>
                <w:sz w:val="21"/>
                <w:szCs w:val="21"/>
                <w:highlight w:val="none"/>
              </w:rPr>
              <w:t>招标文件中打“★”号条款必须实质性响应，负偏离（不满足要求）将导致投标无效。</w:t>
            </w:r>
          </w:p>
          <w:p>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auto"/>
                <w:highlight w:val="none"/>
              </w:rPr>
            </w:pPr>
            <w:r>
              <w:rPr>
                <w:rFonts w:hint="eastAsia"/>
                <w:b/>
                <w:color w:val="auto"/>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hAnsi="宋体"/>
                <w:color w:val="auto"/>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r>
              <w:rPr>
                <w:rFonts w:hint="eastAsia" w:ascii="宋体" w:hAnsi="宋体"/>
                <w:color w:val="auto"/>
                <w:szCs w:val="21"/>
                <w:highlight w:val="none"/>
              </w:rPr>
              <w:t>http://www.yjcg.cc</w:t>
            </w:r>
          </w:p>
        </w:tc>
      </w:tr>
    </w:tbl>
    <w:p>
      <w:pPr>
        <w:ind w:left="0" w:leftChars="0" w:firstLine="0" w:firstLineChars="0"/>
        <w:rPr>
          <w:color w:val="auto"/>
          <w:highlight w:val="none"/>
        </w:rPr>
      </w:pPr>
    </w:p>
    <w:p>
      <w:pPr>
        <w:rPr>
          <w:color w:val="auto"/>
          <w:highlight w:val="none"/>
        </w:rPr>
      </w:pPr>
    </w:p>
    <w:p>
      <w:pPr>
        <w:rPr>
          <w:color w:val="auto"/>
          <w:highlight w:val="none"/>
        </w:rPr>
      </w:pPr>
    </w:p>
    <w:p>
      <w:pPr>
        <w:pStyle w:val="3"/>
        <w:numPr>
          <w:ilvl w:val="0"/>
          <w:numId w:val="0"/>
        </w:numPr>
        <w:rPr>
          <w:color w:val="auto"/>
          <w:sz w:val="24"/>
          <w:highlight w:val="none"/>
        </w:rPr>
      </w:pPr>
      <w:bookmarkStart w:id="179" w:name="_Toc21365"/>
      <w:r>
        <w:rPr>
          <w:rFonts w:hint="eastAsia"/>
          <w:color w:val="auto"/>
          <w:sz w:val="24"/>
          <w:highlight w:val="none"/>
        </w:rPr>
        <w:t>Ａ</w:t>
      </w:r>
      <w:r>
        <w:rPr>
          <w:color w:val="auto"/>
          <w:sz w:val="24"/>
          <w:highlight w:val="none"/>
        </w:rPr>
        <w:t xml:space="preserve">  </w:t>
      </w:r>
      <w:r>
        <w:rPr>
          <w:rFonts w:hint="eastAsia"/>
          <w:color w:val="auto"/>
          <w:sz w:val="24"/>
          <w:highlight w:val="none"/>
        </w:rPr>
        <w:t>说</w:t>
      </w:r>
      <w:r>
        <w:rPr>
          <w:color w:val="auto"/>
          <w:sz w:val="24"/>
          <w:highlight w:val="none"/>
        </w:rPr>
        <w:t xml:space="preserve">  </w:t>
      </w:r>
      <w:r>
        <w:rPr>
          <w:rFonts w:hint="eastAsia"/>
          <w:color w:val="auto"/>
          <w:sz w:val="24"/>
          <w:highlight w:val="none"/>
        </w:rPr>
        <w:t>明</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pStyle w:val="4"/>
        <w:numPr>
          <w:ilvl w:val="4"/>
          <w:numId w:val="26"/>
        </w:numPr>
        <w:tabs>
          <w:tab w:val="left" w:pos="720"/>
        </w:tabs>
        <w:spacing w:before="240" w:after="120"/>
        <w:ind w:left="2432" w:hanging="2432"/>
        <w:rPr>
          <w:color w:val="auto"/>
          <w:highlight w:val="none"/>
        </w:rPr>
      </w:pPr>
      <w:bookmarkStart w:id="180" w:name="_Toc497224195"/>
      <w:bookmarkStart w:id="181" w:name="_Toc503785397"/>
      <w:bookmarkStart w:id="182" w:name="_Toc336681904"/>
      <w:bookmarkStart w:id="183" w:name="_Toc330459954"/>
      <w:bookmarkStart w:id="184" w:name="_Toc341348307"/>
      <w:bookmarkStart w:id="185" w:name="_Toc339020064"/>
      <w:bookmarkStart w:id="186" w:name="_Toc333237646"/>
      <w:bookmarkStart w:id="187" w:name="_Toc340677039"/>
      <w:bookmarkStart w:id="188" w:name="_Toc21863"/>
      <w:bookmarkStart w:id="189" w:name="_Toc350756419"/>
      <w:bookmarkStart w:id="190" w:name="_Toc339019984"/>
      <w:bookmarkStart w:id="191" w:name="_Toc342060343"/>
      <w:bookmarkStart w:id="192" w:name="_Toc337632327"/>
      <w:bookmarkStart w:id="193" w:name="_Toc349127595"/>
      <w:bookmarkStart w:id="194" w:name="_Toc365967042"/>
      <w:bookmarkStart w:id="195" w:name="_Toc333935315"/>
      <w:bookmarkStart w:id="196" w:name="_Toc331684007"/>
      <w:bookmarkStart w:id="197" w:name="_Toc339441056"/>
      <w:bookmarkStart w:id="198" w:name="_Toc339362269"/>
      <w:bookmarkStart w:id="199" w:name="_Toc336681549"/>
      <w:bookmarkStart w:id="200" w:name="_Toc349143558"/>
      <w:bookmarkStart w:id="201" w:name="_Toc365985148"/>
      <w:bookmarkStart w:id="202" w:name="_Toc350438718"/>
      <w:bookmarkStart w:id="203" w:name="_Toc340672838"/>
      <w:bookmarkStart w:id="204" w:name="_Toc366072497"/>
      <w:bookmarkStart w:id="205" w:name="_Toc333238602"/>
      <w:bookmarkStart w:id="206" w:name="_Toc333237757"/>
      <w:bookmarkStart w:id="207" w:name="_Toc333935656"/>
      <w:bookmarkStart w:id="208" w:name="_Toc331512867"/>
      <w:bookmarkStart w:id="209" w:name="_Toc345513836"/>
      <w:bookmarkStart w:id="210" w:name="_Toc332206677"/>
      <w:bookmarkStart w:id="211" w:name="_Toc339019858"/>
      <w:bookmarkStart w:id="212" w:name="_Toc332270315"/>
      <w:bookmarkStart w:id="213" w:name="_Toc340507411"/>
      <w:bookmarkStart w:id="214" w:name="_Toc339020202"/>
      <w:bookmarkStart w:id="215" w:name="_Toc342296729"/>
      <w:r>
        <w:rPr>
          <w:rFonts w:hint="eastAsia"/>
          <w:color w:val="auto"/>
          <w:highlight w:val="none"/>
        </w:rPr>
        <w:t>适用范围</w:t>
      </w:r>
      <w:bookmarkEnd w:id="180"/>
      <w:bookmarkEnd w:id="181"/>
      <w:r>
        <w:rPr>
          <w:rFonts w:hint="eastAsia"/>
          <w:color w:val="auto"/>
          <w:highlight w:val="none"/>
        </w:rPr>
        <w:t>和资金来源</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bookmarkStart w:id="216" w:name="_Toc342296730"/>
      <w:bookmarkStart w:id="217" w:name="_Toc333237647"/>
      <w:bookmarkStart w:id="218" w:name="_Toc339020065"/>
      <w:bookmarkStart w:id="219" w:name="_Toc350438719"/>
      <w:bookmarkStart w:id="220" w:name="_Toc349127596"/>
      <w:bookmarkStart w:id="221" w:name="_Toc340672839"/>
      <w:bookmarkStart w:id="222" w:name="_Toc374454571"/>
      <w:bookmarkStart w:id="223" w:name="_Toc339362270"/>
      <w:bookmarkStart w:id="224" w:name="_Toc333237758"/>
      <w:bookmarkStart w:id="225" w:name="_Toc332206678"/>
      <w:bookmarkStart w:id="226" w:name="_Toc340677040"/>
      <w:bookmarkStart w:id="227" w:name="_Toc331684008"/>
      <w:bookmarkStart w:id="228" w:name="_Toc333238603"/>
      <w:bookmarkStart w:id="229" w:name="_Toc333935316"/>
      <w:bookmarkStart w:id="230" w:name="_Toc331512868"/>
      <w:bookmarkStart w:id="231" w:name="_Toc336681550"/>
      <w:bookmarkStart w:id="232" w:name="_Toc341348308"/>
      <w:bookmarkStart w:id="233" w:name="_Toc342060344"/>
      <w:bookmarkStart w:id="234" w:name="_Toc336681905"/>
      <w:bookmarkStart w:id="235" w:name="_Toc345513837"/>
      <w:bookmarkStart w:id="236" w:name="_Toc340507412"/>
      <w:bookmarkStart w:id="237" w:name="_Toc333935657"/>
      <w:bookmarkStart w:id="238" w:name="_Toc365967043"/>
      <w:bookmarkStart w:id="239" w:name="_Toc339019859"/>
      <w:bookmarkStart w:id="240" w:name="_Toc339020203"/>
      <w:bookmarkStart w:id="241" w:name="_Toc330459955"/>
      <w:bookmarkStart w:id="242" w:name="_Toc497224196"/>
      <w:bookmarkStart w:id="243" w:name="_Toc350756420"/>
      <w:bookmarkStart w:id="244" w:name="_Toc365985149"/>
      <w:bookmarkStart w:id="245" w:name="_Toc332270316"/>
      <w:bookmarkStart w:id="246" w:name="_Toc349143559"/>
      <w:bookmarkStart w:id="247" w:name="_Toc503785398"/>
      <w:bookmarkStart w:id="248" w:name="_Toc339019985"/>
      <w:bookmarkStart w:id="249" w:name="_Toc366072498"/>
      <w:bookmarkStart w:id="250" w:name="_Toc339441057"/>
      <w:bookmarkStart w:id="251" w:name="_Toc337632328"/>
      <w:r>
        <w:rPr>
          <w:rFonts w:hint="eastAsia" w:ascii="宋体"/>
          <w:bCs/>
          <w:color w:val="auto"/>
          <w:highlight w:val="none"/>
        </w:rPr>
        <w:t>1</w:t>
      </w:r>
      <w:r>
        <w:rPr>
          <w:rFonts w:ascii="宋体"/>
          <w:bCs/>
          <w:color w:val="auto"/>
          <w:highlight w:val="none"/>
        </w:rPr>
        <w:t>.1</w:t>
      </w:r>
      <w:r>
        <w:rPr>
          <w:rFonts w:hint="eastAsia" w:ascii="宋体"/>
          <w:bCs/>
          <w:color w:val="auto"/>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3    本招标文件由代理采购机构负责解释。</w:t>
      </w:r>
    </w:p>
    <w:p>
      <w:pPr>
        <w:pStyle w:val="4"/>
        <w:numPr>
          <w:ilvl w:val="4"/>
          <w:numId w:val="26"/>
        </w:numPr>
        <w:tabs>
          <w:tab w:val="left" w:pos="720"/>
        </w:tabs>
        <w:spacing w:before="240" w:after="120"/>
        <w:ind w:left="2432" w:hanging="2432"/>
        <w:rPr>
          <w:color w:val="auto"/>
          <w:highlight w:val="none"/>
        </w:rPr>
      </w:pPr>
      <w:bookmarkStart w:id="252" w:name="_Toc8175"/>
      <w:r>
        <w:rPr>
          <w:rFonts w:hint="eastAsia"/>
          <w:color w:val="auto"/>
          <w:highlight w:val="none"/>
        </w:rPr>
        <w:t>定义</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2.1</w:t>
      </w:r>
      <w:r>
        <w:rPr>
          <w:rFonts w:ascii="宋体"/>
          <w:bCs/>
          <w:color w:val="auto"/>
          <w:highlight w:val="none"/>
        </w:rPr>
        <w:tab/>
      </w:r>
      <w:r>
        <w:rPr>
          <w:rFonts w:hint="eastAsia" w:ascii="宋体"/>
          <w:bCs/>
          <w:color w:val="auto"/>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bCs/>
          <w:color w:val="auto"/>
          <w:highlight w:val="none"/>
        </w:rPr>
        <w:t>2</w:t>
      </w:r>
      <w:r>
        <w:rPr>
          <w:rFonts w:ascii="宋体"/>
          <w:bCs/>
          <w:color w:val="auto"/>
          <w:highlight w:val="none"/>
        </w:rPr>
        <w:t>.2</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“投标人”系指</w:t>
      </w:r>
      <w:r>
        <w:rPr>
          <w:rFonts w:hint="eastAsia" w:ascii="宋体" w:hAnsi="宋体"/>
          <w:bCs/>
          <w:color w:val="auto"/>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auto"/>
          <w:highlight w:val="none"/>
        </w:rPr>
      </w:pPr>
      <w:r>
        <w:rPr>
          <w:rFonts w:hint="eastAsia" w:ascii="宋体"/>
          <w:bCs/>
          <w:color w:val="auto"/>
          <w:highlight w:val="none"/>
        </w:rPr>
        <w:t>2.3</w:t>
      </w:r>
      <w:r>
        <w:rPr>
          <w:rFonts w:hint="eastAsia" w:ascii="宋体"/>
          <w:bCs/>
          <w:color w:val="auto"/>
          <w:highlight w:val="none"/>
        </w:rPr>
        <w:tab/>
      </w:r>
      <w:r>
        <w:rPr>
          <w:rFonts w:hint="eastAsia" w:ascii="宋体"/>
          <w:bCs/>
          <w:color w:val="auto"/>
          <w:highlight w:val="none"/>
        </w:rPr>
        <w:t>“采购人”系指</w:t>
      </w:r>
      <w:r>
        <w:rPr>
          <w:rFonts w:hint="eastAsia" w:ascii="宋体"/>
          <w:bCs/>
          <w:color w:val="auto"/>
          <w:highlight w:val="none"/>
          <w:lang w:eastAsia="zh-CN"/>
        </w:rPr>
        <w:t>阳江市江城区人民检察院</w:t>
      </w:r>
      <w:r>
        <w:rPr>
          <w:rFonts w:hint="eastAsia" w:ascii="宋体"/>
          <w:bCs/>
          <w:color w:val="auto"/>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bCs/>
          <w:color w:val="auto"/>
          <w:highlight w:val="none"/>
        </w:rPr>
        <w:t>2.4</w:t>
      </w:r>
      <w:r>
        <w:rPr>
          <w:rFonts w:hint="eastAsia" w:ascii="宋体"/>
          <w:bCs/>
          <w:color w:val="auto"/>
          <w:highlight w:val="none"/>
        </w:rPr>
        <w:tab/>
      </w:r>
      <w:r>
        <w:rPr>
          <w:rFonts w:ascii="宋体" w:hAnsi="宋体"/>
          <w:bCs/>
          <w:color w:val="auto"/>
          <w:highlight w:val="none"/>
        </w:rPr>
        <w:t>“</w:t>
      </w:r>
      <w:r>
        <w:rPr>
          <w:rFonts w:hint="eastAsia" w:ascii="宋体" w:hAnsi="宋体"/>
          <w:bCs/>
          <w:color w:val="auto"/>
          <w:highlight w:val="none"/>
        </w:rPr>
        <w:t>货物</w:t>
      </w:r>
      <w:r>
        <w:rPr>
          <w:rFonts w:ascii="宋体" w:hAnsi="宋体"/>
          <w:bCs/>
          <w:color w:val="auto"/>
          <w:highlight w:val="none"/>
        </w:rPr>
        <w:t>”</w:t>
      </w:r>
      <w:r>
        <w:rPr>
          <w:rFonts w:hint="eastAsia" w:ascii="宋体" w:hAnsi="宋体"/>
          <w:bCs/>
          <w:color w:val="auto"/>
          <w:highlight w:val="none"/>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“工作日”系指国家规定除法定节假日以外的以日</w:t>
      </w:r>
      <w:r>
        <w:rPr>
          <w:rFonts w:ascii="宋体" w:hAnsi="宋体"/>
          <w:bCs/>
          <w:color w:val="auto"/>
          <w:highlight w:val="none"/>
        </w:rPr>
        <w:t>为计算单位的工作时间</w:t>
      </w:r>
      <w:r>
        <w:rPr>
          <w:rFonts w:hint="eastAsia" w:ascii="宋体" w:hAnsi="宋体"/>
          <w:bCs/>
          <w:color w:val="auto"/>
          <w:highlight w:val="none"/>
        </w:rPr>
        <w:t>。</w:t>
      </w:r>
    </w:p>
    <w:p>
      <w:pPr>
        <w:pStyle w:val="4"/>
        <w:numPr>
          <w:ilvl w:val="4"/>
          <w:numId w:val="26"/>
        </w:numPr>
        <w:tabs>
          <w:tab w:val="left" w:pos="720"/>
        </w:tabs>
        <w:spacing w:before="240" w:after="120"/>
        <w:ind w:left="2432" w:hanging="2432"/>
        <w:rPr>
          <w:color w:val="auto"/>
          <w:highlight w:val="none"/>
        </w:rPr>
      </w:pPr>
      <w:bookmarkStart w:id="253" w:name="_Toc503785399"/>
      <w:bookmarkStart w:id="254" w:name="_Toc497224197"/>
      <w:bookmarkStart w:id="255" w:name="_Toc337632329"/>
      <w:bookmarkStart w:id="256" w:name="_Toc342296731"/>
      <w:bookmarkStart w:id="257" w:name="_Toc350438720"/>
      <w:bookmarkStart w:id="258" w:name="_Toc339362271"/>
      <w:bookmarkStart w:id="259" w:name="_Toc332206679"/>
      <w:bookmarkStart w:id="260" w:name="_Toc339020066"/>
      <w:bookmarkStart w:id="261" w:name="_Toc333238604"/>
      <w:bookmarkStart w:id="262" w:name="_Toc340507413"/>
      <w:bookmarkStart w:id="263" w:name="_Toc336681551"/>
      <w:bookmarkStart w:id="264" w:name="_Toc342060345"/>
      <w:bookmarkStart w:id="265" w:name="_Toc339019860"/>
      <w:bookmarkStart w:id="266" w:name="_Toc333237648"/>
      <w:bookmarkStart w:id="267" w:name="_Toc339441058"/>
      <w:bookmarkStart w:id="268" w:name="_Toc333935317"/>
      <w:bookmarkStart w:id="269" w:name="_Toc349127597"/>
      <w:bookmarkStart w:id="270" w:name="_Toc14249"/>
      <w:bookmarkStart w:id="271" w:name="_Toc345513838"/>
      <w:bookmarkStart w:id="272" w:name="_Toc340677041"/>
      <w:bookmarkStart w:id="273" w:name="_Toc349143560"/>
      <w:bookmarkStart w:id="274" w:name="_Toc339020204"/>
      <w:bookmarkStart w:id="275" w:name="_Toc331684009"/>
      <w:bookmarkStart w:id="276" w:name="_Toc332270317"/>
      <w:bookmarkStart w:id="277" w:name="_Toc336681906"/>
      <w:bookmarkStart w:id="278" w:name="_Toc341348309"/>
      <w:bookmarkStart w:id="279" w:name="_Toc366072499"/>
      <w:bookmarkStart w:id="280" w:name="_Toc333237759"/>
      <w:bookmarkStart w:id="281" w:name="_Toc365985150"/>
      <w:bookmarkStart w:id="282" w:name="_Toc350756421"/>
      <w:bookmarkStart w:id="283" w:name="_Toc330459956"/>
      <w:bookmarkStart w:id="284" w:name="_Toc333935658"/>
      <w:bookmarkStart w:id="285" w:name="_Toc340672840"/>
      <w:bookmarkStart w:id="286" w:name="_Toc331512869"/>
      <w:bookmarkStart w:id="287" w:name="_Toc374454572"/>
      <w:bookmarkStart w:id="288" w:name="_Toc365967044"/>
      <w:bookmarkStart w:id="289" w:name="_Toc339019986"/>
      <w:r>
        <w:rPr>
          <w:rFonts w:hint="eastAsia"/>
          <w:color w:val="auto"/>
          <w:highlight w:val="none"/>
        </w:rPr>
        <w:t>合格的</w:t>
      </w:r>
      <w:bookmarkEnd w:id="253"/>
      <w:bookmarkEnd w:id="254"/>
      <w:r>
        <w:rPr>
          <w:rFonts w:hint="eastAsia"/>
          <w:color w:val="auto"/>
          <w:highlight w:val="none"/>
        </w:rPr>
        <w:t>投标人</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widowControl/>
        <w:tabs>
          <w:tab w:val="left" w:pos="502"/>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3.1</w:t>
      </w:r>
      <w:r>
        <w:rPr>
          <w:rFonts w:hint="eastAsia" w:ascii="宋体"/>
          <w:bCs/>
          <w:color w:val="auto"/>
          <w:highlight w:val="none"/>
        </w:rPr>
        <w:tab/>
      </w:r>
      <w:r>
        <w:rPr>
          <w:rFonts w:hint="eastAsia" w:ascii="宋体"/>
          <w:bCs/>
          <w:color w:val="auto"/>
          <w:highlight w:val="none"/>
        </w:rPr>
        <w:tab/>
      </w:r>
      <w:r>
        <w:rPr>
          <w:rFonts w:hint="eastAsia" w:ascii="宋体" w:hAnsi="宋体"/>
          <w:bCs/>
          <w:color w:val="auto"/>
          <w:highlight w:val="none"/>
        </w:rPr>
        <w:t>国内有能力提供采购项目相关的工程、货物和服务且符合本项目合格投标人资格条件的投标人</w:t>
      </w:r>
      <w:r>
        <w:rPr>
          <w:rFonts w:hint="eastAsia" w:ascii="宋体"/>
          <w:bCs/>
          <w:color w:val="auto"/>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3.2</w:t>
      </w:r>
      <w:r>
        <w:rPr>
          <w:rFonts w:ascii="宋体"/>
          <w:bCs/>
          <w:color w:val="auto"/>
          <w:highlight w:val="none"/>
        </w:rPr>
        <w:tab/>
      </w:r>
      <w:r>
        <w:rPr>
          <w:rFonts w:hint="eastAsia" w:ascii="宋体"/>
          <w:bCs/>
          <w:color w:val="auto"/>
          <w:highlight w:val="none"/>
        </w:rPr>
        <w:tab/>
      </w:r>
      <w:r>
        <w:rPr>
          <w:rFonts w:hint="eastAsia" w:ascii="宋体" w:hAnsi="宋体"/>
          <w:bCs/>
          <w:color w:val="auto"/>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szCs w:val="21"/>
          <w:highlight w:val="none"/>
        </w:rPr>
        <w:t xml:space="preserve">3.6    </w:t>
      </w:r>
      <w:r>
        <w:rPr>
          <w:bCs/>
          <w:color w:val="auto"/>
          <w:szCs w:val="21"/>
          <w:highlight w:val="none"/>
        </w:rPr>
        <w:t>专门面向中小微企业采购的项目，只能由中小企业或微型企业参加。</w:t>
      </w:r>
    </w:p>
    <w:p>
      <w:pPr>
        <w:pStyle w:val="4"/>
        <w:numPr>
          <w:ilvl w:val="4"/>
          <w:numId w:val="26"/>
        </w:numPr>
        <w:tabs>
          <w:tab w:val="left" w:pos="720"/>
        </w:tabs>
        <w:spacing w:before="240" w:after="120"/>
        <w:ind w:left="2432" w:hanging="2432"/>
        <w:rPr>
          <w:color w:val="auto"/>
          <w:highlight w:val="none"/>
        </w:rPr>
      </w:pPr>
      <w:bookmarkStart w:id="290" w:name="_Toc336681552"/>
      <w:bookmarkStart w:id="291" w:name="_Toc374454573"/>
      <w:bookmarkStart w:id="292" w:name="_Toc336681907"/>
      <w:bookmarkStart w:id="293" w:name="_Toc333237649"/>
      <w:bookmarkStart w:id="294" w:name="_Toc339019861"/>
      <w:bookmarkStart w:id="295" w:name="_Toc349127598"/>
      <w:bookmarkStart w:id="296" w:name="_Toc497224198"/>
      <w:bookmarkStart w:id="297" w:name="_Toc337632330"/>
      <w:bookmarkStart w:id="298" w:name="_Toc345513839"/>
      <w:bookmarkStart w:id="299" w:name="_Toc332270318"/>
      <w:bookmarkStart w:id="300" w:name="_Toc350756422"/>
      <w:bookmarkStart w:id="301" w:name="_Toc339362272"/>
      <w:bookmarkStart w:id="302" w:name="_Toc503785400"/>
      <w:bookmarkStart w:id="303" w:name="_Toc339441059"/>
      <w:bookmarkStart w:id="304" w:name="_Toc339019987"/>
      <w:bookmarkStart w:id="305" w:name="_Toc332206680"/>
      <w:bookmarkStart w:id="306" w:name="_Toc342060346"/>
      <w:bookmarkStart w:id="307" w:name="_Toc340507414"/>
      <w:bookmarkStart w:id="308" w:name="_Toc349143561"/>
      <w:bookmarkStart w:id="309" w:name="_Toc333935318"/>
      <w:bookmarkStart w:id="310" w:name="_Toc340672841"/>
      <w:bookmarkStart w:id="311" w:name="_Toc365967045"/>
      <w:bookmarkStart w:id="312" w:name="_Toc331684010"/>
      <w:bookmarkStart w:id="313" w:name="_Toc341348310"/>
      <w:bookmarkStart w:id="314" w:name="_Toc333237760"/>
      <w:bookmarkStart w:id="315" w:name="_Toc339020067"/>
      <w:bookmarkStart w:id="316" w:name="_Toc365985151"/>
      <w:bookmarkStart w:id="317" w:name="_Toc339020205"/>
      <w:bookmarkStart w:id="318" w:name="_Toc350438721"/>
      <w:bookmarkStart w:id="319" w:name="_Toc331512870"/>
      <w:bookmarkStart w:id="320" w:name="_Toc333935659"/>
      <w:bookmarkStart w:id="321" w:name="_Toc340677042"/>
      <w:bookmarkStart w:id="322" w:name="_Toc4405"/>
      <w:bookmarkStart w:id="323" w:name="_Toc333238605"/>
      <w:bookmarkStart w:id="324" w:name="_Toc342296732"/>
      <w:bookmarkStart w:id="325" w:name="_Toc366072500"/>
      <w:bookmarkStart w:id="326" w:name="_Toc330459957"/>
      <w:r>
        <w:rPr>
          <w:rFonts w:hint="eastAsia"/>
          <w:color w:val="auto"/>
          <w:highlight w:val="none"/>
        </w:rPr>
        <w:t>投标费用</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4.1</w:t>
      </w:r>
      <w:r>
        <w:rPr>
          <w:rFonts w:hint="eastAsia" w:ascii="宋体"/>
          <w:bCs/>
          <w:color w:val="auto"/>
          <w:highlight w:val="none"/>
        </w:rPr>
        <w:tab/>
      </w:r>
      <w:r>
        <w:rPr>
          <w:rFonts w:hint="eastAsia" w:hAnsi="宋体"/>
          <w:color w:val="auto"/>
          <w:highlight w:val="none"/>
        </w:rPr>
        <w:t>投标人应承担所有与准备和参加投标有关的费用。不论投标的结果如何，代理采购机构和采购人均无义务和责任承担这些费用</w:t>
      </w:r>
      <w:r>
        <w:rPr>
          <w:rFonts w:hint="eastAsia" w:ascii="宋体"/>
          <w:bCs/>
          <w:color w:val="auto"/>
          <w:highlight w:val="none"/>
        </w:rPr>
        <w:t>。</w:t>
      </w:r>
      <w:bookmarkStart w:id="327" w:name="_Toc497224199"/>
      <w:bookmarkStart w:id="328" w:name="_Toc365967046"/>
      <w:bookmarkStart w:id="329" w:name="_Toc331684011"/>
      <w:bookmarkStart w:id="330" w:name="_Toc331512871"/>
      <w:bookmarkStart w:id="331" w:name="_Toc365985152"/>
      <w:bookmarkStart w:id="332" w:name="_Toc350438722"/>
      <w:bookmarkStart w:id="333" w:name="_Toc350756423"/>
      <w:bookmarkStart w:id="334" w:name="_Toc339019862"/>
      <w:bookmarkStart w:id="335" w:name="_Toc374454574"/>
      <w:bookmarkStart w:id="336" w:name="_Toc336681908"/>
      <w:bookmarkStart w:id="337" w:name="_Toc366072501"/>
      <w:bookmarkStart w:id="338" w:name="_Toc333237761"/>
      <w:bookmarkStart w:id="339" w:name="_Toc337632331"/>
      <w:bookmarkStart w:id="340" w:name="_Toc342060347"/>
      <w:bookmarkStart w:id="341" w:name="_Toc503785401"/>
      <w:bookmarkStart w:id="342" w:name="_Toc332206681"/>
      <w:bookmarkStart w:id="343" w:name="_Toc333238606"/>
      <w:bookmarkStart w:id="344" w:name="_Toc340672842"/>
      <w:bookmarkStart w:id="345" w:name="_Toc332270319"/>
      <w:bookmarkStart w:id="346" w:name="_Toc340507415"/>
      <w:bookmarkStart w:id="347" w:name="_Toc345513840"/>
      <w:bookmarkStart w:id="348" w:name="_Toc339362273"/>
      <w:bookmarkStart w:id="349" w:name="_Toc339020206"/>
      <w:bookmarkStart w:id="350" w:name="_Toc333237650"/>
      <w:bookmarkStart w:id="351" w:name="_Toc336681553"/>
      <w:bookmarkStart w:id="352" w:name="_Toc339019988"/>
      <w:bookmarkStart w:id="353" w:name="_Toc342296733"/>
      <w:bookmarkStart w:id="354" w:name="_Toc341348311"/>
      <w:bookmarkStart w:id="355" w:name="_Toc333935319"/>
      <w:bookmarkStart w:id="356" w:name="_Toc340677043"/>
      <w:bookmarkStart w:id="357" w:name="_Toc349127599"/>
      <w:bookmarkStart w:id="358" w:name="_Toc333935660"/>
      <w:bookmarkStart w:id="359" w:name="_Toc339020068"/>
      <w:bookmarkStart w:id="360" w:name="_Toc339441060"/>
      <w:bookmarkStart w:id="361" w:name="_Toc330459958"/>
      <w:bookmarkStart w:id="362" w:name="_Toc349143562"/>
    </w:p>
    <w:p>
      <w:pPr>
        <w:pStyle w:val="3"/>
        <w:numPr>
          <w:ilvl w:val="0"/>
          <w:numId w:val="0"/>
        </w:numPr>
        <w:rPr>
          <w:color w:val="auto"/>
          <w:sz w:val="24"/>
          <w:highlight w:val="none"/>
        </w:rPr>
      </w:pPr>
      <w:bookmarkStart w:id="363" w:name="_Toc20051"/>
      <w:r>
        <w:rPr>
          <w:rFonts w:hint="eastAsia"/>
          <w:color w:val="auto"/>
          <w:sz w:val="24"/>
          <w:highlight w:val="none"/>
        </w:rPr>
        <w:t>Ｂ</w:t>
      </w:r>
      <w:r>
        <w:rPr>
          <w:color w:val="auto"/>
          <w:sz w:val="24"/>
          <w:highlight w:val="none"/>
        </w:rPr>
        <w:t xml:space="preserve">  </w:t>
      </w:r>
      <w:r>
        <w:rPr>
          <w:rFonts w:hint="eastAsia"/>
          <w:color w:val="auto"/>
          <w:sz w:val="24"/>
          <w:highlight w:val="none"/>
        </w:rPr>
        <w:t>招标文件说明</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pStyle w:val="4"/>
        <w:numPr>
          <w:ilvl w:val="4"/>
          <w:numId w:val="26"/>
        </w:numPr>
        <w:tabs>
          <w:tab w:val="left" w:pos="720"/>
        </w:tabs>
        <w:spacing w:before="240" w:after="120"/>
        <w:ind w:left="2432" w:hanging="2432"/>
        <w:rPr>
          <w:color w:val="auto"/>
          <w:highlight w:val="none"/>
        </w:rPr>
      </w:pPr>
      <w:bookmarkStart w:id="364" w:name="_Toc333935661"/>
      <w:bookmarkStart w:id="365" w:name="_Toc339019989"/>
      <w:bookmarkStart w:id="366" w:name="_Toc374454575"/>
      <w:bookmarkStart w:id="367" w:name="_Toc365967047"/>
      <w:bookmarkStart w:id="368" w:name="_Toc503785402"/>
      <w:bookmarkStart w:id="369" w:name="_Toc339020207"/>
      <w:bookmarkStart w:id="370" w:name="_Toc333237651"/>
      <w:bookmarkStart w:id="371" w:name="_Toc333238607"/>
      <w:bookmarkStart w:id="372" w:name="_Toc345513841"/>
      <w:bookmarkStart w:id="373" w:name="_Toc340507416"/>
      <w:bookmarkStart w:id="374" w:name="_Toc339020069"/>
      <w:bookmarkStart w:id="375" w:name="_Toc366072502"/>
      <w:bookmarkStart w:id="376" w:name="_Toc340672843"/>
      <w:bookmarkStart w:id="377" w:name="_Toc342060348"/>
      <w:bookmarkStart w:id="378" w:name="_Toc349127600"/>
      <w:bookmarkStart w:id="379" w:name="_Toc365985153"/>
      <w:bookmarkStart w:id="380" w:name="_Toc330459959"/>
      <w:bookmarkStart w:id="381" w:name="_Toc336681909"/>
      <w:bookmarkStart w:id="382" w:name="_Toc339441061"/>
      <w:bookmarkStart w:id="383" w:name="_Toc331684012"/>
      <w:bookmarkStart w:id="384" w:name="_Toc349143563"/>
      <w:bookmarkStart w:id="385" w:name="_Toc333237762"/>
      <w:bookmarkStart w:id="386" w:name="_Toc332270320"/>
      <w:bookmarkStart w:id="387" w:name="_Toc350438723"/>
      <w:bookmarkStart w:id="388" w:name="_Toc30183"/>
      <w:bookmarkStart w:id="389" w:name="_Toc350756424"/>
      <w:bookmarkStart w:id="390" w:name="_Toc497224200"/>
      <w:bookmarkStart w:id="391" w:name="_Toc332206682"/>
      <w:bookmarkStart w:id="392" w:name="_Toc342296734"/>
      <w:bookmarkStart w:id="393" w:name="_Toc337632332"/>
      <w:bookmarkStart w:id="394" w:name="_Toc340677044"/>
      <w:bookmarkStart w:id="395" w:name="_Toc339019863"/>
      <w:bookmarkStart w:id="396" w:name="_Toc339362274"/>
      <w:bookmarkStart w:id="397" w:name="_Toc336681554"/>
      <w:bookmarkStart w:id="398" w:name="_Toc333935320"/>
      <w:bookmarkStart w:id="399" w:name="_Toc331512872"/>
      <w:bookmarkStart w:id="400" w:name="_Toc341348312"/>
      <w:r>
        <w:rPr>
          <w:rFonts w:hint="eastAsia"/>
          <w:color w:val="auto"/>
          <w:highlight w:val="none"/>
        </w:rPr>
        <w:t>招标文件的构成</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5.1</w:t>
      </w:r>
      <w:r>
        <w:rPr>
          <w:rFonts w:ascii="宋体"/>
          <w:bCs/>
          <w:color w:val="auto"/>
          <w:highlight w:val="none"/>
        </w:rPr>
        <w:tab/>
      </w:r>
      <w:r>
        <w:rPr>
          <w:rFonts w:hint="eastAsia" w:ascii="宋体"/>
          <w:bCs/>
          <w:color w:val="auto"/>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第一部分  投标邀请函</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第三部分  投标人须知</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第四部分  参考合同</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5.2</w:t>
      </w:r>
      <w:r>
        <w:rPr>
          <w:rFonts w:ascii="宋体"/>
          <w:bCs/>
          <w:color w:val="auto"/>
          <w:highlight w:val="none"/>
        </w:rPr>
        <w:tab/>
      </w:r>
      <w:r>
        <w:rPr>
          <w:rFonts w:hint="eastAsia" w:ascii="宋体"/>
          <w:bCs/>
          <w:color w:val="auto"/>
          <w:highlight w:val="none"/>
        </w:rPr>
        <w:t>招标文件以中文编印。</w:t>
      </w:r>
    </w:p>
    <w:p>
      <w:pPr>
        <w:pStyle w:val="4"/>
        <w:numPr>
          <w:ilvl w:val="4"/>
          <w:numId w:val="26"/>
        </w:numPr>
        <w:tabs>
          <w:tab w:val="left" w:pos="720"/>
        </w:tabs>
        <w:spacing w:before="240" w:after="120"/>
        <w:ind w:left="2432" w:hanging="2432"/>
        <w:rPr>
          <w:color w:val="auto"/>
          <w:highlight w:val="none"/>
        </w:rPr>
      </w:pPr>
      <w:bookmarkStart w:id="401" w:name="_Toc337632333"/>
      <w:bookmarkStart w:id="402" w:name="_Toc339019990"/>
      <w:bookmarkStart w:id="403" w:name="_Toc330459960"/>
      <w:bookmarkStart w:id="404" w:name="_Toc336681555"/>
      <w:bookmarkStart w:id="405" w:name="_Toc331684013"/>
      <w:bookmarkStart w:id="406" w:name="_Toc332270321"/>
      <w:bookmarkStart w:id="407" w:name="_Toc333237652"/>
      <w:bookmarkStart w:id="408" w:name="_Toc333237763"/>
      <w:bookmarkStart w:id="409" w:name="_Toc349127601"/>
      <w:bookmarkStart w:id="410" w:name="_Toc340677045"/>
      <w:bookmarkStart w:id="411" w:name="_Toc350438724"/>
      <w:bookmarkStart w:id="412" w:name="_Toc339020070"/>
      <w:bookmarkStart w:id="413" w:name="_Toc342296735"/>
      <w:bookmarkStart w:id="414" w:name="_Toc339362275"/>
      <w:bookmarkStart w:id="415" w:name="_Toc345513842"/>
      <w:bookmarkStart w:id="416" w:name="_Toc497224201"/>
      <w:bookmarkStart w:id="417" w:name="_Toc341348313"/>
      <w:bookmarkStart w:id="418" w:name="_Toc349143564"/>
      <w:bookmarkStart w:id="419" w:name="_Toc336681910"/>
      <w:bookmarkStart w:id="420" w:name="_Toc339441062"/>
      <w:bookmarkStart w:id="421" w:name="_Toc340672844"/>
      <w:bookmarkStart w:id="422" w:name="_Toc503785403"/>
      <w:bookmarkStart w:id="423" w:name="_Toc339020208"/>
      <w:bookmarkStart w:id="424" w:name="_Toc333935321"/>
      <w:bookmarkStart w:id="425" w:name="_Toc331512873"/>
      <w:bookmarkStart w:id="426" w:name="_Toc365967048"/>
      <w:bookmarkStart w:id="427" w:name="_Toc350756425"/>
      <w:bookmarkStart w:id="428" w:name="_Toc370388389"/>
      <w:bookmarkStart w:id="429" w:name="_Toc342060349"/>
      <w:bookmarkStart w:id="430" w:name="_Toc340507417"/>
      <w:bookmarkStart w:id="431" w:name="_Toc332206683"/>
      <w:bookmarkStart w:id="432" w:name="_Toc333935662"/>
      <w:bookmarkStart w:id="433" w:name="_Toc333238608"/>
      <w:bookmarkStart w:id="434" w:name="_Toc365985154"/>
      <w:bookmarkStart w:id="435" w:name="_Toc339019864"/>
      <w:bookmarkStart w:id="436" w:name="_Toc374454576"/>
      <w:bookmarkStart w:id="437" w:name="_Toc28117"/>
      <w:bookmarkStart w:id="438" w:name="_Toc497224203"/>
      <w:bookmarkStart w:id="439" w:name="_Toc503785405"/>
      <w:bookmarkStart w:id="440" w:name="_Toc339441064"/>
      <w:bookmarkStart w:id="441" w:name="_Toc341348315"/>
      <w:bookmarkStart w:id="442" w:name="_Toc339020210"/>
      <w:bookmarkStart w:id="443" w:name="_Toc336681912"/>
      <w:bookmarkStart w:id="444" w:name="_Toc339019992"/>
      <w:bookmarkStart w:id="445" w:name="_Toc350438726"/>
      <w:bookmarkStart w:id="446" w:name="_Toc333238610"/>
      <w:bookmarkStart w:id="447" w:name="_Toc332270323"/>
      <w:bookmarkStart w:id="448" w:name="_Toc339019866"/>
      <w:bookmarkStart w:id="449" w:name="_Toc345513844"/>
      <w:bookmarkStart w:id="450" w:name="_Toc342296737"/>
      <w:bookmarkStart w:id="451" w:name="_Toc339362277"/>
      <w:bookmarkStart w:id="452" w:name="_Toc336681557"/>
      <w:bookmarkStart w:id="453" w:name="_Toc333237765"/>
      <w:bookmarkStart w:id="454" w:name="_Toc330459962"/>
      <w:bookmarkStart w:id="455" w:name="_Toc342060351"/>
      <w:bookmarkStart w:id="456" w:name="_Toc350756427"/>
      <w:bookmarkStart w:id="457" w:name="_Toc333935664"/>
      <w:bookmarkStart w:id="458" w:name="_Toc339020072"/>
      <w:bookmarkStart w:id="459" w:name="_Toc349127603"/>
      <w:bookmarkStart w:id="460" w:name="_Toc349143566"/>
      <w:bookmarkStart w:id="461" w:name="_Toc365967050"/>
      <w:bookmarkStart w:id="462" w:name="_Toc366072505"/>
      <w:bookmarkStart w:id="463" w:name="_Toc365985156"/>
      <w:bookmarkStart w:id="464" w:name="_Toc333237654"/>
      <w:bookmarkStart w:id="465" w:name="_Toc333935323"/>
      <w:bookmarkStart w:id="466" w:name="_Toc331684015"/>
      <w:bookmarkStart w:id="467" w:name="_Toc337632335"/>
      <w:bookmarkStart w:id="468" w:name="_Toc340672846"/>
      <w:bookmarkStart w:id="469" w:name="_Toc340677047"/>
      <w:bookmarkStart w:id="470" w:name="_Toc332206685"/>
      <w:bookmarkStart w:id="471" w:name="_Toc331512875"/>
      <w:bookmarkStart w:id="472" w:name="_Toc340507419"/>
      <w:r>
        <w:rPr>
          <w:rFonts w:hint="eastAsia"/>
          <w:color w:val="auto"/>
          <w:highlight w:val="none"/>
        </w:rPr>
        <w:t>招标文件的澄清</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Pr>
          <w:rFonts w:hint="eastAsia"/>
          <w:color w:val="auto"/>
          <w:highlight w:val="none"/>
        </w:rPr>
        <w:t>、修改</w:t>
      </w:r>
      <w:bookmarkEnd w:id="436"/>
      <w:bookmarkEnd w:id="437"/>
    </w:p>
    <w:p>
      <w:pPr>
        <w:widowControl/>
        <w:numPr>
          <w:ilvl w:val="1"/>
          <w:numId w:val="28"/>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澄清或修改时间距投标截止时间不足15日的，采购人或代理采购机构在征得已获取招标文件的投标人同意并书面确认后，可不改变投标截止时间。</w:t>
      </w:r>
    </w:p>
    <w:p>
      <w:pPr>
        <w:pStyle w:val="3"/>
        <w:numPr>
          <w:ilvl w:val="0"/>
          <w:numId w:val="0"/>
        </w:numPr>
        <w:rPr>
          <w:color w:val="auto"/>
          <w:sz w:val="24"/>
          <w:highlight w:val="none"/>
        </w:rPr>
      </w:pPr>
      <w:bookmarkStart w:id="473" w:name="_Toc374454577"/>
      <w:r>
        <w:rPr>
          <w:color w:val="auto"/>
          <w:sz w:val="24"/>
          <w:highlight w:val="none"/>
        </w:rPr>
        <w:br w:type="page"/>
      </w:r>
      <w:bookmarkStart w:id="474" w:name="_Toc22456"/>
      <w:r>
        <w:rPr>
          <w:rFonts w:hint="eastAsia"/>
          <w:color w:val="auto"/>
          <w:sz w:val="24"/>
          <w:highlight w:val="none"/>
        </w:rPr>
        <w:t>Ｃ</w:t>
      </w:r>
      <w:r>
        <w:rPr>
          <w:color w:val="auto"/>
          <w:sz w:val="24"/>
          <w:highlight w:val="none"/>
        </w:rPr>
        <w:t xml:space="preserve">  </w:t>
      </w:r>
      <w:r>
        <w:rPr>
          <w:rFonts w:hint="eastAsia"/>
          <w:color w:val="auto"/>
          <w:sz w:val="24"/>
          <w:highlight w:val="none"/>
        </w:rPr>
        <w:t>投标文件的编</w:t>
      </w:r>
      <w:bookmarkEnd w:id="438"/>
      <w:bookmarkEnd w:id="439"/>
      <w:r>
        <w:rPr>
          <w:rFonts w:hint="eastAsia"/>
          <w:color w:val="auto"/>
          <w:sz w:val="24"/>
          <w:highlight w:val="none"/>
        </w:rPr>
        <w:t>制</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4"/>
        <w:numPr>
          <w:ilvl w:val="4"/>
          <w:numId w:val="26"/>
        </w:numPr>
        <w:tabs>
          <w:tab w:val="left" w:pos="720"/>
        </w:tabs>
        <w:spacing w:before="240" w:after="120"/>
        <w:ind w:left="2432" w:hanging="2432"/>
        <w:rPr>
          <w:color w:val="auto"/>
          <w:highlight w:val="none"/>
        </w:rPr>
      </w:pPr>
      <w:bookmarkStart w:id="475" w:name="_Toc330459963"/>
      <w:bookmarkStart w:id="476" w:name="_Toc340507420"/>
      <w:bookmarkStart w:id="477" w:name="_Toc332206686"/>
      <w:bookmarkStart w:id="478" w:name="_Toc337632336"/>
      <w:bookmarkStart w:id="479" w:name="_Toc345513845"/>
      <w:bookmarkStart w:id="480" w:name="_Toc350438727"/>
      <w:bookmarkStart w:id="481" w:name="_Toc374454578"/>
      <w:bookmarkStart w:id="482" w:name="_Toc503785406"/>
      <w:bookmarkStart w:id="483" w:name="_Toc339362278"/>
      <w:bookmarkStart w:id="484" w:name="_Toc350756428"/>
      <w:bookmarkStart w:id="485" w:name="_Toc339019993"/>
      <w:bookmarkStart w:id="486" w:name="_Toc339020073"/>
      <w:bookmarkStart w:id="487" w:name="_Toc333238611"/>
      <w:bookmarkStart w:id="488" w:name="_Toc333935665"/>
      <w:bookmarkStart w:id="489" w:name="_Toc332270324"/>
      <w:bookmarkStart w:id="490" w:name="_Toc336681558"/>
      <w:bookmarkStart w:id="491" w:name="_Toc333237655"/>
      <w:bookmarkStart w:id="492" w:name="_Toc366072506"/>
      <w:bookmarkStart w:id="493" w:name="_Toc342296738"/>
      <w:bookmarkStart w:id="494" w:name="_Toc365985157"/>
      <w:bookmarkStart w:id="495" w:name="_Toc497224204"/>
      <w:bookmarkStart w:id="496" w:name="_Toc339019867"/>
      <w:bookmarkStart w:id="497" w:name="_Toc339020211"/>
      <w:bookmarkStart w:id="498" w:name="_Toc340677048"/>
      <w:bookmarkStart w:id="499" w:name="_Toc331512876"/>
      <w:bookmarkStart w:id="500" w:name="_Toc341348316"/>
      <w:bookmarkStart w:id="501" w:name="_Toc340672847"/>
      <w:bookmarkStart w:id="502" w:name="_Toc342060352"/>
      <w:bookmarkStart w:id="503" w:name="_Toc349143567"/>
      <w:bookmarkStart w:id="504" w:name="_Toc333935324"/>
      <w:bookmarkStart w:id="505" w:name="_Toc333237766"/>
      <w:bookmarkStart w:id="506" w:name="_Toc349127604"/>
      <w:bookmarkStart w:id="507" w:name="_Toc339441065"/>
      <w:bookmarkStart w:id="508" w:name="_Toc336681913"/>
      <w:bookmarkStart w:id="509" w:name="_Toc331684016"/>
      <w:bookmarkStart w:id="510" w:name="_Toc365967051"/>
      <w:bookmarkStart w:id="511" w:name="_Toc3065"/>
      <w:r>
        <w:rPr>
          <w:rFonts w:hint="eastAsia"/>
          <w:color w:val="auto"/>
          <w:highlight w:val="none"/>
        </w:rPr>
        <w:t>要求</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7</w:t>
      </w:r>
      <w:r>
        <w:rPr>
          <w:rFonts w:ascii="宋体"/>
          <w:bCs/>
          <w:color w:val="auto"/>
          <w:highlight w:val="none"/>
        </w:rPr>
        <w:t>.1</w:t>
      </w:r>
      <w:r>
        <w:rPr>
          <w:rFonts w:ascii="宋体"/>
          <w:bCs/>
          <w:color w:val="auto"/>
          <w:highlight w:val="none"/>
        </w:rPr>
        <w:tab/>
      </w:r>
      <w:r>
        <w:rPr>
          <w:rFonts w:hint="eastAsia" w:ascii="宋体"/>
          <w:bCs/>
          <w:color w:val="auto"/>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6"/>
        </w:numPr>
        <w:tabs>
          <w:tab w:val="left" w:pos="720"/>
        </w:tabs>
        <w:spacing w:before="240" w:after="120"/>
        <w:ind w:left="2432" w:hanging="2432"/>
        <w:rPr>
          <w:color w:val="auto"/>
          <w:highlight w:val="none"/>
        </w:rPr>
      </w:pPr>
      <w:bookmarkStart w:id="512" w:name="_Toc340677049"/>
      <w:bookmarkStart w:id="513" w:name="_Toc339019994"/>
      <w:bookmarkStart w:id="514" w:name="_Toc342296739"/>
      <w:bookmarkStart w:id="515" w:name="_Toc333237656"/>
      <w:bookmarkStart w:id="516" w:name="_Toc330459964"/>
      <w:bookmarkStart w:id="517" w:name="_Toc332270325"/>
      <w:bookmarkStart w:id="518" w:name="_Toc350756429"/>
      <w:bookmarkStart w:id="519" w:name="_Toc332206687"/>
      <w:bookmarkStart w:id="520" w:name="_Toc366072507"/>
      <w:bookmarkStart w:id="521" w:name="_Toc349143568"/>
      <w:bookmarkStart w:id="522" w:name="_Toc497224205"/>
      <w:bookmarkStart w:id="523" w:name="_Toc333935325"/>
      <w:bookmarkStart w:id="524" w:name="_Toc349127605"/>
      <w:bookmarkStart w:id="525" w:name="_Toc503785407"/>
      <w:bookmarkStart w:id="526" w:name="_Toc333237767"/>
      <w:bookmarkStart w:id="527" w:name="_Toc374454579"/>
      <w:bookmarkStart w:id="528" w:name="_Toc333935666"/>
      <w:bookmarkStart w:id="529" w:name="_Toc336681559"/>
      <w:bookmarkStart w:id="530" w:name="_Toc340672848"/>
      <w:bookmarkStart w:id="531" w:name="_Toc341348317"/>
      <w:bookmarkStart w:id="532" w:name="_Toc339019868"/>
      <w:bookmarkStart w:id="533" w:name="_Toc333238612"/>
      <w:bookmarkStart w:id="534" w:name="_Toc339020212"/>
      <w:bookmarkStart w:id="535" w:name="_Toc365985158"/>
      <w:bookmarkStart w:id="536" w:name="_Toc331684017"/>
      <w:bookmarkStart w:id="537" w:name="_Toc9385"/>
      <w:bookmarkStart w:id="538" w:name="_Toc340507421"/>
      <w:bookmarkStart w:id="539" w:name="_Toc342060353"/>
      <w:bookmarkStart w:id="540" w:name="_Toc331512877"/>
      <w:bookmarkStart w:id="541" w:name="_Toc339441066"/>
      <w:bookmarkStart w:id="542" w:name="_Toc345513846"/>
      <w:bookmarkStart w:id="543" w:name="_Toc350438728"/>
      <w:bookmarkStart w:id="544" w:name="_Toc339362279"/>
      <w:bookmarkStart w:id="545" w:name="_Toc337632337"/>
      <w:bookmarkStart w:id="546" w:name="_Toc336681914"/>
      <w:bookmarkStart w:id="547" w:name="_Toc339020074"/>
      <w:bookmarkStart w:id="548" w:name="_Toc365967052"/>
      <w:r>
        <w:rPr>
          <w:rFonts w:hint="eastAsia"/>
          <w:color w:val="auto"/>
          <w:highlight w:val="none"/>
        </w:rPr>
        <w:t>投标语言及计量单位</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.2</w:t>
      </w:r>
      <w:r>
        <w:rPr>
          <w:rFonts w:ascii="宋体"/>
          <w:bCs/>
          <w:color w:val="auto"/>
          <w:highlight w:val="none"/>
        </w:rPr>
        <w:tab/>
      </w:r>
      <w:r>
        <w:rPr>
          <w:rFonts w:hint="eastAsia" w:ascii="宋体"/>
          <w:bCs/>
          <w:color w:val="auto"/>
          <w:highlight w:val="none"/>
        </w:rPr>
        <w:t>除在招标文件的技术规格中另有规定外，计量单位应使用中华人民共和国法定计量单位</w:t>
      </w:r>
      <w:r>
        <w:rPr>
          <w:rFonts w:hint="eastAsia"/>
          <w:bCs/>
          <w:color w:val="auto"/>
          <w:highlight w:val="none"/>
        </w:rPr>
        <w:t>（国际单位制和国家选定的其他计量单位）</w:t>
      </w:r>
      <w:r>
        <w:rPr>
          <w:rFonts w:hint="eastAsia" w:ascii="宋体"/>
          <w:bCs/>
          <w:color w:val="auto"/>
          <w:highlight w:val="none"/>
        </w:rPr>
        <w:t>。</w:t>
      </w:r>
    </w:p>
    <w:p>
      <w:pPr>
        <w:pStyle w:val="4"/>
        <w:numPr>
          <w:ilvl w:val="4"/>
          <w:numId w:val="26"/>
        </w:numPr>
        <w:tabs>
          <w:tab w:val="left" w:pos="720"/>
        </w:tabs>
        <w:spacing w:before="240" w:after="120"/>
        <w:ind w:left="2432" w:hanging="2432"/>
        <w:rPr>
          <w:color w:val="auto"/>
          <w:highlight w:val="none"/>
        </w:rPr>
      </w:pPr>
      <w:bookmarkStart w:id="549" w:name="_Toc345513847"/>
      <w:bookmarkStart w:id="550" w:name="_Toc497224206"/>
      <w:bookmarkStart w:id="551" w:name="_Toc339020075"/>
      <w:bookmarkStart w:id="552" w:name="_Toc349143569"/>
      <w:bookmarkStart w:id="553" w:name="_Toc333935326"/>
      <w:bookmarkStart w:id="554" w:name="_Toc340507422"/>
      <w:bookmarkStart w:id="555" w:name="_Toc331684018"/>
      <w:bookmarkStart w:id="556" w:name="_Toc342060354"/>
      <w:bookmarkStart w:id="557" w:name="_Toc339019995"/>
      <w:bookmarkStart w:id="558" w:name="_Toc366072508"/>
      <w:bookmarkStart w:id="559" w:name="_Toc336681915"/>
      <w:bookmarkStart w:id="560" w:name="_Toc342296740"/>
      <w:bookmarkStart w:id="561" w:name="_Toc365985159"/>
      <w:bookmarkStart w:id="562" w:name="_Toc333237768"/>
      <w:bookmarkStart w:id="563" w:name="_Toc333237657"/>
      <w:bookmarkStart w:id="564" w:name="_Toc331512878"/>
      <w:bookmarkStart w:id="565" w:name="_Toc332270326"/>
      <w:bookmarkStart w:id="566" w:name="_Toc503785408"/>
      <w:bookmarkStart w:id="567" w:name="_Toc341348318"/>
      <w:bookmarkStart w:id="568" w:name="_Toc339441067"/>
      <w:bookmarkStart w:id="569" w:name="_Toc340672849"/>
      <w:bookmarkStart w:id="570" w:name="_Toc349127606"/>
      <w:bookmarkStart w:id="571" w:name="_Toc350438729"/>
      <w:bookmarkStart w:id="572" w:name="_Toc350756430"/>
      <w:bookmarkStart w:id="573" w:name="_Toc337632338"/>
      <w:bookmarkStart w:id="574" w:name="_Toc333238613"/>
      <w:bookmarkStart w:id="575" w:name="_Toc330459965"/>
      <w:bookmarkStart w:id="576" w:name="_Toc336681560"/>
      <w:bookmarkStart w:id="577" w:name="_Toc339019869"/>
      <w:bookmarkStart w:id="578" w:name="_Toc339020213"/>
      <w:bookmarkStart w:id="579" w:name="_Toc22700"/>
      <w:bookmarkStart w:id="580" w:name="_Toc339362280"/>
      <w:bookmarkStart w:id="581" w:name="_Toc374454580"/>
      <w:bookmarkStart w:id="582" w:name="_Toc332206688"/>
      <w:bookmarkStart w:id="583" w:name="_Toc333935667"/>
      <w:bookmarkStart w:id="584" w:name="_Toc340677050"/>
      <w:bookmarkStart w:id="585" w:name="_Toc365967053"/>
      <w:r>
        <w:rPr>
          <w:rFonts w:hint="eastAsia"/>
          <w:color w:val="auto"/>
          <w:highlight w:val="none"/>
        </w:rPr>
        <w:t>投标文件的构成</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pPr>
        <w:widowControl/>
        <w:tabs>
          <w:tab w:val="left" w:pos="753"/>
        </w:tabs>
        <w:adjustRightInd w:val="0"/>
        <w:snapToGrid w:val="0"/>
        <w:spacing w:line="360" w:lineRule="auto"/>
        <w:rPr>
          <w:rFonts w:ascii="宋体"/>
          <w:bCs/>
          <w:color w:val="auto"/>
          <w:highlight w:val="none"/>
        </w:rPr>
      </w:pPr>
      <w:r>
        <w:rPr>
          <w:rFonts w:hint="eastAsia" w:ascii="宋体"/>
          <w:bCs/>
          <w:color w:val="auto"/>
          <w:highlight w:val="none"/>
        </w:rPr>
        <w:t>9</w:t>
      </w:r>
      <w:r>
        <w:rPr>
          <w:rFonts w:ascii="宋体"/>
          <w:bCs/>
          <w:color w:val="auto"/>
          <w:highlight w:val="none"/>
        </w:rPr>
        <w:t>.1</w:t>
      </w:r>
      <w:r>
        <w:rPr>
          <w:rFonts w:hint="eastAsia" w:ascii="宋体"/>
          <w:bCs/>
          <w:color w:val="auto"/>
          <w:highlight w:val="none"/>
        </w:rPr>
        <w:t xml:space="preserve">   投标文件包括：</w:t>
      </w:r>
    </w:p>
    <w:p>
      <w:pPr>
        <w:widowControl/>
        <w:adjustRightInd w:val="0"/>
        <w:snapToGrid w:val="0"/>
        <w:spacing w:line="360" w:lineRule="auto"/>
        <w:ind w:left="734"/>
        <w:rPr>
          <w:rFonts w:ascii="宋体" w:hAnsi="宋体"/>
          <w:bCs/>
          <w:color w:val="auto"/>
          <w:highlight w:val="none"/>
        </w:rPr>
      </w:pPr>
      <w:bookmarkStart w:id="586" w:name="_Toc497224207"/>
      <w:bookmarkStart w:id="587" w:name="_Toc503785409"/>
      <w:r>
        <w:rPr>
          <w:rFonts w:hint="eastAsia" w:ascii="宋体" w:hAnsi="宋体"/>
          <w:bCs/>
          <w:color w:val="auto"/>
          <w:highlight w:val="none"/>
        </w:rPr>
        <w:t>第一章 资格审查文件（含附件）</w:t>
      </w:r>
    </w:p>
    <w:p>
      <w:pPr>
        <w:widowControl/>
        <w:adjustRightInd w:val="0"/>
        <w:snapToGrid w:val="0"/>
        <w:spacing w:line="360" w:lineRule="auto"/>
        <w:ind w:left="734"/>
        <w:rPr>
          <w:rFonts w:ascii="宋体" w:hAnsi="宋体"/>
          <w:bCs/>
          <w:color w:val="auto"/>
          <w:highlight w:val="none"/>
        </w:rPr>
      </w:pPr>
      <w:r>
        <w:rPr>
          <w:rFonts w:hint="eastAsia" w:ascii="宋体" w:hAnsi="宋体"/>
          <w:bCs/>
          <w:color w:val="auto"/>
          <w:highlight w:val="none"/>
        </w:rPr>
        <w:t>第二章 商务和技术部分</w:t>
      </w:r>
    </w:p>
    <w:p>
      <w:pPr>
        <w:pStyle w:val="4"/>
        <w:numPr>
          <w:ilvl w:val="4"/>
          <w:numId w:val="26"/>
        </w:numPr>
        <w:tabs>
          <w:tab w:val="left" w:pos="720"/>
        </w:tabs>
        <w:spacing w:before="240" w:after="120"/>
        <w:ind w:left="2432" w:hanging="2432"/>
        <w:rPr>
          <w:color w:val="auto"/>
          <w:highlight w:val="none"/>
        </w:rPr>
      </w:pPr>
      <w:bookmarkStart w:id="588" w:name="_Toc365967054"/>
      <w:bookmarkStart w:id="589" w:name="_Toc374454581"/>
      <w:bookmarkStart w:id="590" w:name="_Toc340672850"/>
      <w:bookmarkStart w:id="591" w:name="_Toc332206689"/>
      <w:bookmarkStart w:id="592" w:name="_Toc333238614"/>
      <w:bookmarkStart w:id="593" w:name="_Toc350756431"/>
      <w:bookmarkStart w:id="594" w:name="_Toc339019870"/>
      <w:bookmarkStart w:id="595" w:name="_Toc339019996"/>
      <w:bookmarkStart w:id="596" w:name="_Toc339020076"/>
      <w:bookmarkStart w:id="597" w:name="_Toc349127607"/>
      <w:bookmarkStart w:id="598" w:name="_Toc339441068"/>
      <w:bookmarkStart w:id="599" w:name="_Toc333237658"/>
      <w:bookmarkStart w:id="600" w:name="_Toc336681916"/>
      <w:bookmarkStart w:id="601" w:name="_Toc342296741"/>
      <w:bookmarkStart w:id="602" w:name="_Toc333935668"/>
      <w:bookmarkStart w:id="603" w:name="_Toc340677051"/>
      <w:bookmarkStart w:id="604" w:name="_Toc341348319"/>
      <w:bookmarkStart w:id="605" w:name="_Toc333935327"/>
      <w:bookmarkStart w:id="606" w:name="_Toc332270327"/>
      <w:bookmarkStart w:id="607" w:name="_Toc337632339"/>
      <w:bookmarkStart w:id="608" w:name="_Toc365985160"/>
      <w:bookmarkStart w:id="609" w:name="_Toc350438730"/>
      <w:bookmarkStart w:id="610" w:name="_Toc340507423"/>
      <w:bookmarkStart w:id="611" w:name="_Toc331512879"/>
      <w:bookmarkStart w:id="612" w:name="_Toc331684019"/>
      <w:bookmarkStart w:id="613" w:name="_Toc336681561"/>
      <w:bookmarkStart w:id="614" w:name="_Toc366072509"/>
      <w:bookmarkStart w:id="615" w:name="_Toc339020214"/>
      <w:bookmarkStart w:id="616" w:name="_Toc349143570"/>
      <w:bookmarkStart w:id="617" w:name="_Toc10016"/>
      <w:bookmarkStart w:id="618" w:name="_Toc330459966"/>
      <w:bookmarkStart w:id="619" w:name="_Toc339362281"/>
      <w:bookmarkStart w:id="620" w:name="_Toc345513848"/>
      <w:bookmarkStart w:id="621" w:name="_Toc333237769"/>
      <w:bookmarkStart w:id="622" w:name="_Toc342060355"/>
      <w:r>
        <w:rPr>
          <w:rFonts w:hint="eastAsia"/>
          <w:color w:val="auto"/>
          <w:highlight w:val="none"/>
        </w:rPr>
        <w:t>投标文件格式</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pPr>
        <w:widowControl/>
        <w:tabs>
          <w:tab w:val="left" w:pos="753"/>
        </w:tabs>
        <w:adjustRightInd w:val="0"/>
        <w:snapToGrid w:val="0"/>
        <w:spacing w:before="240"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0</w:t>
      </w:r>
      <w:r>
        <w:rPr>
          <w:rFonts w:ascii="宋体"/>
          <w:bCs/>
          <w:color w:val="auto"/>
          <w:highlight w:val="none"/>
        </w:rPr>
        <w:t>.1</w:t>
      </w:r>
      <w:r>
        <w:rPr>
          <w:rFonts w:ascii="宋体"/>
          <w:bCs/>
          <w:color w:val="auto"/>
          <w:highlight w:val="none"/>
        </w:rPr>
        <w:tab/>
      </w:r>
      <w:r>
        <w:rPr>
          <w:rFonts w:hint="eastAsia" w:ascii="宋体"/>
          <w:bCs/>
          <w:color w:val="auto"/>
          <w:highlight w:val="none"/>
        </w:rPr>
        <w:t>投标人应</w:t>
      </w:r>
      <w:r>
        <w:rPr>
          <w:rFonts w:hint="eastAsia" w:ascii="宋体" w:hAnsi="宋体"/>
          <w:bCs/>
          <w:color w:val="auto"/>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 xml:space="preserve">10.2 </w:t>
      </w:r>
      <w:r>
        <w:rPr>
          <w:rFonts w:hint="eastAsia" w:ascii="宋体" w:hAnsi="宋体"/>
          <w:bCs/>
          <w:color w:val="auto"/>
          <w:highlight w:val="none"/>
        </w:rPr>
        <w:tab/>
      </w:r>
      <w:r>
        <w:rPr>
          <w:rFonts w:hint="eastAsia" w:ascii="宋体" w:hAnsi="宋体"/>
          <w:bCs/>
          <w:color w:val="auto"/>
          <w:highlight w:val="none"/>
        </w:rPr>
        <w:tab/>
      </w:r>
      <w:r>
        <w:rPr>
          <w:rFonts w:hint="eastAsia" w:ascii="宋体" w:hAnsi="宋体"/>
          <w:bCs/>
          <w:color w:val="auto"/>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6"/>
        </w:numPr>
        <w:tabs>
          <w:tab w:val="left" w:pos="720"/>
        </w:tabs>
        <w:spacing w:before="240" w:after="120"/>
        <w:ind w:left="2432" w:hanging="2432"/>
        <w:rPr>
          <w:color w:val="auto"/>
          <w:highlight w:val="none"/>
        </w:rPr>
      </w:pPr>
      <w:bookmarkStart w:id="623" w:name="_Toc341348320"/>
      <w:bookmarkStart w:id="624" w:name="_Toc339441069"/>
      <w:bookmarkStart w:id="625" w:name="_Toc332270328"/>
      <w:bookmarkStart w:id="626" w:name="_Toc332206690"/>
      <w:bookmarkStart w:id="627" w:name="_Toc340677052"/>
      <w:bookmarkStart w:id="628" w:name="_Toc333237659"/>
      <w:bookmarkStart w:id="629" w:name="_Toc336681917"/>
      <w:bookmarkStart w:id="630" w:name="_Toc350438731"/>
      <w:bookmarkStart w:id="631" w:name="_Toc366072510"/>
      <w:bookmarkStart w:id="632" w:name="_Toc340507424"/>
      <w:bookmarkStart w:id="633" w:name="_Toc349143571"/>
      <w:bookmarkStart w:id="634" w:name="_Toc330459967"/>
      <w:bookmarkStart w:id="635" w:name="_Toc331512880"/>
      <w:bookmarkStart w:id="636" w:name="_Toc337632340"/>
      <w:bookmarkStart w:id="637" w:name="_Toc339362282"/>
      <w:bookmarkStart w:id="638" w:name="_Toc340672851"/>
      <w:bookmarkStart w:id="639" w:name="_Toc333237770"/>
      <w:bookmarkStart w:id="640" w:name="_Toc342296742"/>
      <w:bookmarkStart w:id="641" w:name="_Toc374454582"/>
      <w:bookmarkStart w:id="642" w:name="_Toc339019997"/>
      <w:bookmarkStart w:id="643" w:name="_Toc5003680"/>
      <w:bookmarkStart w:id="644" w:name="_Toc333238615"/>
      <w:bookmarkStart w:id="645" w:name="_Toc339019871"/>
      <w:bookmarkStart w:id="646" w:name="_Toc333935328"/>
      <w:bookmarkStart w:id="647" w:name="_Toc331684020"/>
      <w:bookmarkStart w:id="648" w:name="_Toc365967055"/>
      <w:bookmarkStart w:id="649" w:name="_Toc365985161"/>
      <w:bookmarkStart w:id="650" w:name="_Toc333935669"/>
      <w:bookmarkStart w:id="651" w:name="_Toc350756432"/>
      <w:bookmarkStart w:id="652" w:name="_Toc349127608"/>
      <w:bookmarkStart w:id="653" w:name="_Toc336681562"/>
      <w:bookmarkStart w:id="654" w:name="_Toc339020215"/>
      <w:bookmarkStart w:id="655" w:name="_Toc345513849"/>
      <w:bookmarkStart w:id="656" w:name="_Toc3648"/>
      <w:bookmarkStart w:id="657" w:name="_Toc339020077"/>
      <w:bookmarkStart w:id="658" w:name="_Toc342060356"/>
      <w:r>
        <w:rPr>
          <w:rFonts w:hint="eastAsia"/>
          <w:color w:val="auto"/>
          <w:highlight w:val="none"/>
        </w:rPr>
        <w:t>资格证明文件</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 xml:space="preserve">11.1 </w:t>
      </w:r>
      <w:r>
        <w:rPr>
          <w:rFonts w:hint="eastAsia" w:ascii="宋体" w:hAnsi="宋体"/>
          <w:bCs/>
          <w:color w:val="auto"/>
          <w:highlight w:val="none"/>
        </w:rPr>
        <w:tab/>
      </w:r>
      <w:r>
        <w:rPr>
          <w:rFonts w:hint="eastAsia" w:ascii="宋体" w:hAnsi="宋体"/>
          <w:bCs/>
          <w:color w:val="auto"/>
          <w:highlight w:val="none"/>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auto"/>
          <w:highlight w:val="none"/>
        </w:rPr>
      </w:pPr>
      <w:r>
        <w:rPr>
          <w:rFonts w:hint="eastAsia" w:ascii="宋体" w:hAnsi="宋体"/>
          <w:bCs/>
          <w:color w:val="auto"/>
          <w:highlight w:val="none"/>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auto"/>
          <w:highlight w:val="none"/>
        </w:rPr>
      </w:pPr>
      <w:r>
        <w:rPr>
          <w:rFonts w:hint="eastAsia" w:ascii="宋体" w:hAnsi="宋体"/>
          <w:bCs/>
          <w:color w:val="auto"/>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6"/>
        </w:numPr>
        <w:tabs>
          <w:tab w:val="left" w:pos="720"/>
        </w:tabs>
        <w:spacing w:before="240" w:after="120"/>
        <w:ind w:left="2432" w:hanging="2432"/>
        <w:rPr>
          <w:color w:val="auto"/>
          <w:highlight w:val="none"/>
        </w:rPr>
      </w:pPr>
      <w:bookmarkStart w:id="659" w:name="_Toc350438732"/>
      <w:bookmarkStart w:id="660" w:name="_Toc333238616"/>
      <w:bookmarkStart w:id="661" w:name="_Toc366072511"/>
      <w:bookmarkStart w:id="662" w:name="_Toc365967056"/>
      <w:bookmarkStart w:id="663" w:name="_Toc339019998"/>
      <w:bookmarkStart w:id="664" w:name="_Toc333935670"/>
      <w:bookmarkStart w:id="665" w:name="_Toc365985162"/>
      <w:bookmarkStart w:id="666" w:name="_Toc345513850"/>
      <w:bookmarkStart w:id="667" w:name="_Toc349143572"/>
      <w:bookmarkStart w:id="668" w:name="_Toc339362283"/>
      <w:bookmarkStart w:id="669" w:name="_Toc333237660"/>
      <w:bookmarkStart w:id="670" w:name="_Toc336681563"/>
      <w:bookmarkStart w:id="671" w:name="_Toc342296743"/>
      <w:bookmarkStart w:id="672" w:name="_Toc332206691"/>
      <w:bookmarkStart w:id="673" w:name="_Toc340672852"/>
      <w:bookmarkStart w:id="674" w:name="_Toc331512881"/>
      <w:bookmarkStart w:id="675" w:name="_Toc340677053"/>
      <w:bookmarkStart w:id="676" w:name="_Toc27544"/>
      <w:bookmarkStart w:id="677" w:name="_Toc341348321"/>
      <w:bookmarkStart w:id="678" w:name="_Toc331684021"/>
      <w:bookmarkStart w:id="679" w:name="_Toc339020216"/>
      <w:bookmarkStart w:id="680" w:name="_Toc333237771"/>
      <w:bookmarkStart w:id="681" w:name="_Toc339441070"/>
      <w:bookmarkStart w:id="682" w:name="_Toc336681918"/>
      <w:bookmarkStart w:id="683" w:name="_Toc333935329"/>
      <w:bookmarkStart w:id="684" w:name="_Toc349127609"/>
      <w:bookmarkStart w:id="685" w:name="_Toc339020078"/>
      <w:bookmarkStart w:id="686" w:name="_Toc337632341"/>
      <w:bookmarkStart w:id="687" w:name="_Toc339019872"/>
      <w:bookmarkStart w:id="688" w:name="_Toc340507425"/>
      <w:bookmarkStart w:id="689" w:name="_Toc330459968"/>
      <w:bookmarkStart w:id="690" w:name="_Toc350756433"/>
      <w:bookmarkStart w:id="691" w:name="_Toc342060357"/>
      <w:bookmarkStart w:id="692" w:name="_Toc5003681"/>
      <w:bookmarkStart w:id="693" w:name="_Toc374454583"/>
      <w:bookmarkStart w:id="694" w:name="_Toc332270329"/>
      <w:r>
        <w:rPr>
          <w:rFonts w:hint="eastAsia"/>
          <w:color w:val="auto"/>
          <w:highlight w:val="none"/>
        </w:rPr>
        <w:t>货物和服务的证明文件</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pPr>
        <w:tabs>
          <w:tab w:val="left" w:pos="753"/>
        </w:tabs>
        <w:autoSpaceDE w:val="0"/>
        <w:autoSpaceDN w:val="0"/>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12.1</w:t>
      </w:r>
      <w:r>
        <w:rPr>
          <w:rFonts w:hint="eastAsia" w:ascii="宋体" w:hAnsi="宋体"/>
          <w:bCs/>
          <w:color w:val="auto"/>
          <w:highlight w:val="none"/>
        </w:rPr>
        <w:tab/>
      </w:r>
      <w:r>
        <w:rPr>
          <w:rFonts w:hint="eastAsia" w:ascii="宋体" w:hAnsi="宋体"/>
          <w:bCs/>
          <w:color w:val="auto"/>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12.2</w:t>
      </w:r>
      <w:r>
        <w:rPr>
          <w:rFonts w:hint="eastAsia" w:ascii="宋体" w:hAnsi="宋体"/>
          <w:bCs/>
          <w:color w:val="auto"/>
          <w:highlight w:val="none"/>
        </w:rPr>
        <w:tab/>
      </w:r>
      <w:r>
        <w:rPr>
          <w:rFonts w:hint="eastAsia" w:ascii="宋体" w:hAnsi="宋体"/>
          <w:bCs/>
          <w:color w:val="auto"/>
          <w:highlight w:val="none"/>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12.3</w:t>
      </w:r>
      <w:r>
        <w:rPr>
          <w:rFonts w:hint="eastAsia" w:ascii="宋体" w:hAnsi="宋体"/>
          <w:bCs/>
          <w:color w:val="auto"/>
          <w:highlight w:val="none"/>
        </w:rPr>
        <w:tab/>
      </w:r>
      <w:r>
        <w:rPr>
          <w:rFonts w:hint="eastAsia"/>
          <w:color w:val="auto"/>
          <w:highlight w:val="none"/>
        </w:rPr>
        <w:t>投标人在阐述上述第</w:t>
      </w:r>
      <w:r>
        <w:rPr>
          <w:rFonts w:hint="eastAsia" w:ascii="宋体" w:hAnsi="宋体"/>
          <w:color w:val="auto"/>
          <w:highlight w:val="none"/>
        </w:rPr>
        <w:t>12.2（3）</w:t>
      </w:r>
      <w:r>
        <w:rPr>
          <w:rFonts w:hint="eastAsia"/>
          <w:color w:val="auto"/>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auto"/>
          <w:highlight w:val="none"/>
        </w:rPr>
      </w:pPr>
      <w:r>
        <w:rPr>
          <w:rFonts w:hint="eastAsia" w:ascii="宋体" w:hAnsi="宋体"/>
          <w:color w:val="auto"/>
          <w:highlight w:val="none"/>
        </w:rPr>
        <w:t>12.4   评标委员会对投标人所提供的证明货物和服务的合格性的文件进行审查，审查不合格的投标将作为无效投标处理。</w:t>
      </w:r>
    </w:p>
    <w:p>
      <w:pPr>
        <w:pStyle w:val="4"/>
        <w:numPr>
          <w:ilvl w:val="4"/>
          <w:numId w:val="26"/>
        </w:numPr>
        <w:tabs>
          <w:tab w:val="left" w:pos="720"/>
        </w:tabs>
        <w:spacing w:before="240" w:after="120"/>
        <w:ind w:left="2432" w:hanging="2432"/>
        <w:rPr>
          <w:color w:val="auto"/>
          <w:highlight w:val="none"/>
        </w:rPr>
      </w:pPr>
      <w:bookmarkStart w:id="695" w:name="_Toc340507426"/>
      <w:bookmarkStart w:id="696" w:name="_Toc349127610"/>
      <w:bookmarkStart w:id="697" w:name="_Toc374454584"/>
      <w:bookmarkStart w:id="698" w:name="_Toc342296744"/>
      <w:bookmarkStart w:id="699" w:name="_Toc339019873"/>
      <w:bookmarkStart w:id="700" w:name="_Toc331512882"/>
      <w:bookmarkStart w:id="701" w:name="_Toc333238617"/>
      <w:bookmarkStart w:id="702" w:name="_Toc333237772"/>
      <w:bookmarkStart w:id="703" w:name="_Toc336681564"/>
      <w:bookmarkStart w:id="704" w:name="_Toc340677054"/>
      <w:bookmarkStart w:id="705" w:name="_Toc336681919"/>
      <w:bookmarkStart w:id="706" w:name="_Toc331684022"/>
      <w:bookmarkStart w:id="707" w:name="_Toc365985163"/>
      <w:bookmarkStart w:id="708" w:name="_Toc333237661"/>
      <w:bookmarkStart w:id="709" w:name="_Toc341348322"/>
      <w:bookmarkStart w:id="710" w:name="_Toc333935330"/>
      <w:bookmarkStart w:id="711" w:name="_Toc497224209"/>
      <w:bookmarkStart w:id="712" w:name="_Toc345513851"/>
      <w:bookmarkStart w:id="713" w:name="_Toc332206692"/>
      <w:bookmarkStart w:id="714" w:name="_Toc339020217"/>
      <w:bookmarkStart w:id="715" w:name="_Toc339441071"/>
      <w:bookmarkStart w:id="716" w:name="_Toc349143573"/>
      <w:bookmarkStart w:id="717" w:name="_Toc333935671"/>
      <w:bookmarkStart w:id="718" w:name="_Toc337632342"/>
      <w:bookmarkStart w:id="719" w:name="_Toc339362284"/>
      <w:bookmarkStart w:id="720" w:name="_Toc365967057"/>
      <w:bookmarkStart w:id="721" w:name="_Toc350756434"/>
      <w:bookmarkStart w:id="722" w:name="_Toc339020079"/>
      <w:bookmarkStart w:id="723" w:name="_Toc15573"/>
      <w:bookmarkStart w:id="724" w:name="_Toc366072512"/>
      <w:bookmarkStart w:id="725" w:name="_Toc503785411"/>
      <w:bookmarkStart w:id="726" w:name="_Toc339019999"/>
      <w:bookmarkStart w:id="727" w:name="_Toc342060358"/>
      <w:bookmarkStart w:id="728" w:name="_Toc350438733"/>
      <w:bookmarkStart w:id="729" w:name="_Toc330459969"/>
      <w:bookmarkStart w:id="730" w:name="_Toc340672853"/>
      <w:bookmarkStart w:id="731" w:name="_Toc332270330"/>
      <w:r>
        <w:rPr>
          <w:rFonts w:hint="eastAsia"/>
          <w:color w:val="auto"/>
          <w:highlight w:val="none"/>
        </w:rPr>
        <w:t>投标报价与投标货币</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13.1</w:t>
      </w:r>
      <w:r>
        <w:rPr>
          <w:rFonts w:hint="eastAsia" w:ascii="宋体" w:hAnsi="宋体"/>
          <w:color w:val="auto"/>
          <w:highlight w:val="none"/>
        </w:rPr>
        <w:tab/>
      </w:r>
      <w:r>
        <w:rPr>
          <w:rFonts w:hint="eastAsia" w:ascii="宋体" w:hAnsi="宋体"/>
          <w:color w:val="auto"/>
          <w:highlight w:val="none"/>
        </w:rPr>
        <w:t>投标报价应为包括设备费、备品备件费、运输费、安装调试费、技术资料费、验收费、应缴税费、培训费和质量保证期内维修费等在内的</w:t>
      </w:r>
      <w:r>
        <w:rPr>
          <w:rFonts w:hint="eastAsia" w:ascii="宋体" w:hAnsi="宋体"/>
          <w:bCs/>
          <w:color w:val="auto"/>
          <w:highlight w:val="none"/>
        </w:rPr>
        <w:t>价格。</w:t>
      </w:r>
    </w:p>
    <w:p>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13.2</w:t>
      </w:r>
      <w:r>
        <w:rPr>
          <w:rFonts w:hint="eastAsia" w:ascii="宋体" w:hAnsi="宋体"/>
          <w:color w:val="auto"/>
          <w:highlight w:val="none"/>
        </w:rPr>
        <w:tab/>
      </w:r>
      <w:r>
        <w:rPr>
          <w:rFonts w:hint="eastAsia" w:ascii="宋体" w:hAnsi="宋体"/>
          <w:color w:val="auto"/>
          <w:highlight w:val="none"/>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13.3</w:t>
      </w:r>
      <w:r>
        <w:rPr>
          <w:rFonts w:hint="eastAsia" w:ascii="宋体" w:hAnsi="宋体"/>
          <w:color w:val="auto"/>
          <w:highlight w:val="none"/>
        </w:rPr>
        <w:tab/>
      </w:r>
      <w:r>
        <w:rPr>
          <w:rFonts w:hint="eastAsia" w:ascii="宋体" w:hAnsi="宋体"/>
          <w:color w:val="auto"/>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13.6   投标人在投标文件中如有任何遗漏，影响到招标文件中规定的范围、质量、性能和项目的实施或限制了采购人的权利和投标人的义务，由此产生的费用由投标人负责。</w:t>
      </w:r>
    </w:p>
    <w:p>
      <w:pPr>
        <w:pStyle w:val="4"/>
        <w:numPr>
          <w:ilvl w:val="4"/>
          <w:numId w:val="26"/>
        </w:numPr>
        <w:tabs>
          <w:tab w:val="left" w:pos="720"/>
        </w:tabs>
        <w:spacing w:before="240" w:after="120"/>
        <w:ind w:left="2432" w:hanging="2432"/>
        <w:rPr>
          <w:color w:val="auto"/>
          <w:highlight w:val="none"/>
        </w:rPr>
      </w:pPr>
      <w:bookmarkStart w:id="732" w:name="_Toc340507427"/>
      <w:bookmarkStart w:id="733" w:name="_Toc333935672"/>
      <w:bookmarkStart w:id="734" w:name="_Toc337632343"/>
      <w:bookmarkStart w:id="735" w:name="_Toc330459970"/>
      <w:bookmarkStart w:id="736" w:name="_Toc374454585"/>
      <w:bookmarkStart w:id="737" w:name="_Toc349127611"/>
      <w:bookmarkStart w:id="738" w:name="_Toc339020000"/>
      <w:bookmarkStart w:id="739" w:name="_Toc333237662"/>
      <w:bookmarkStart w:id="740" w:name="_Toc333238618"/>
      <w:bookmarkStart w:id="741" w:name="_Toc342060359"/>
      <w:bookmarkStart w:id="742" w:name="_Toc332270331"/>
      <w:bookmarkStart w:id="743" w:name="_Toc341348323"/>
      <w:bookmarkStart w:id="744" w:name="_Toc345513852"/>
      <w:bookmarkStart w:id="745" w:name="_Toc336681920"/>
      <w:bookmarkStart w:id="746" w:name="_Toc331512883"/>
      <w:bookmarkStart w:id="747" w:name="_Toc497224212"/>
      <w:bookmarkStart w:id="748" w:name="_Toc340672854"/>
      <w:bookmarkStart w:id="749" w:name="_Toc365985164"/>
      <w:bookmarkStart w:id="750" w:name="_Toc339019874"/>
      <w:bookmarkStart w:id="751" w:name="_Toc365967058"/>
      <w:bookmarkStart w:id="752" w:name="_Toc331684023"/>
      <w:bookmarkStart w:id="753" w:name="_Toc342296745"/>
      <w:bookmarkStart w:id="754" w:name="_Toc339362285"/>
      <w:bookmarkStart w:id="755" w:name="_Toc366072513"/>
      <w:bookmarkStart w:id="756" w:name="_Toc336681565"/>
      <w:bookmarkStart w:id="757" w:name="_Toc340677055"/>
      <w:bookmarkStart w:id="758" w:name="_Toc350438734"/>
      <w:bookmarkStart w:id="759" w:name="_Toc333935331"/>
      <w:bookmarkStart w:id="760" w:name="_Toc339441072"/>
      <w:bookmarkStart w:id="761" w:name="_Toc350756435"/>
      <w:bookmarkStart w:id="762" w:name="_Toc332206693"/>
      <w:bookmarkStart w:id="763" w:name="_Toc339020080"/>
      <w:bookmarkStart w:id="764" w:name="_Toc339020218"/>
      <w:bookmarkStart w:id="765" w:name="_Toc503785414"/>
      <w:bookmarkStart w:id="766" w:name="_Toc349143574"/>
      <w:bookmarkStart w:id="767" w:name="_Toc333237773"/>
      <w:bookmarkStart w:id="768" w:name="_Toc26883"/>
      <w:r>
        <w:rPr>
          <w:rFonts w:hint="eastAsia"/>
          <w:color w:val="auto"/>
          <w:highlight w:val="none"/>
        </w:rPr>
        <w:t>投标保证金</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.1</w:t>
      </w:r>
      <w:r>
        <w:rPr>
          <w:rFonts w:ascii="宋体"/>
          <w:bCs/>
          <w:color w:val="auto"/>
          <w:highlight w:val="none"/>
        </w:rPr>
        <w:tab/>
      </w:r>
      <w:r>
        <w:rPr>
          <w:rFonts w:hint="eastAsia" w:ascii="宋体"/>
          <w:bCs/>
          <w:color w:val="auto"/>
          <w:highlight w:val="none"/>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color w:val="auto"/>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bCs/>
          <w:color w:val="auto"/>
          <w:highlight w:val="none"/>
        </w:rPr>
        <w:t>14.3</w:t>
      </w:r>
      <w:r>
        <w:rPr>
          <w:rFonts w:hint="eastAsia" w:ascii="宋体"/>
          <w:bCs/>
          <w:color w:val="auto"/>
          <w:highlight w:val="none"/>
        </w:rPr>
        <w:tab/>
      </w:r>
      <w:r>
        <w:rPr>
          <w:rFonts w:hint="eastAsia" w:ascii="宋体"/>
          <w:bCs/>
          <w:color w:val="auto"/>
          <w:highlight w:val="none"/>
        </w:rPr>
        <w:t>投标保证金用于保护本次招标免遭因投标人的行为而蒙受的损失。</w:t>
      </w:r>
      <w:r>
        <w:rPr>
          <w:rFonts w:hint="eastAsia" w:ascii="宋体" w:hAnsi="宋体"/>
          <w:color w:val="auto"/>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4</w:t>
      </w:r>
      <w:r>
        <w:rPr>
          <w:rFonts w:ascii="宋体"/>
          <w:bCs/>
          <w:color w:val="auto"/>
          <w:highlight w:val="none"/>
        </w:rPr>
        <w:t xml:space="preserve"> </w:t>
      </w:r>
      <w:r>
        <w:rPr>
          <w:rFonts w:hint="eastAsia" w:ascii="宋体"/>
          <w:bCs/>
          <w:color w:val="auto"/>
          <w:highlight w:val="none"/>
        </w:rPr>
        <w:tab/>
      </w:r>
      <w:r>
        <w:rPr>
          <w:rFonts w:hint="eastAsia" w:ascii="宋体" w:hAnsi="宋体"/>
          <w:bCs/>
          <w:color w:val="auto"/>
          <w:highlight w:val="none"/>
        </w:rPr>
        <w:t>凡未按本须知第14.2条规定随附有效投标保证金的投标</w:t>
      </w:r>
      <w:r>
        <w:rPr>
          <w:rFonts w:ascii="宋体" w:hAnsi="宋体"/>
          <w:bCs/>
          <w:color w:val="auto"/>
          <w:highlight w:val="none"/>
        </w:rPr>
        <w:t>,</w:t>
      </w:r>
      <w:r>
        <w:rPr>
          <w:rFonts w:hint="eastAsia" w:ascii="宋体" w:hAnsi="宋体"/>
          <w:bCs/>
          <w:color w:val="auto"/>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5</w:t>
      </w:r>
      <w:r>
        <w:rPr>
          <w:rFonts w:ascii="宋体"/>
          <w:bCs/>
          <w:color w:val="auto"/>
          <w:highlight w:val="none"/>
        </w:rPr>
        <w:tab/>
      </w:r>
      <w:r>
        <w:rPr>
          <w:rFonts w:hint="eastAsia" w:ascii="宋体" w:hAnsi="宋体"/>
          <w:bCs/>
          <w:color w:val="auto"/>
          <w:highlight w:val="none"/>
        </w:rPr>
        <w:t>未中标的投标人的投标保证金，采购</w:t>
      </w:r>
      <w:r>
        <w:rPr>
          <w:rFonts w:hint="eastAsia" w:ascii="宋体" w:hAnsi="宋体"/>
          <w:bCs/>
          <w:color w:val="auto"/>
          <w:szCs w:val="21"/>
          <w:highlight w:val="none"/>
        </w:rPr>
        <w:t>代理</w:t>
      </w:r>
      <w:r>
        <w:rPr>
          <w:rFonts w:hint="eastAsia" w:ascii="宋体" w:hAnsi="宋体"/>
          <w:bCs/>
          <w:color w:val="auto"/>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6</w:t>
      </w:r>
      <w:r>
        <w:rPr>
          <w:rFonts w:ascii="宋体"/>
          <w:bCs/>
          <w:color w:val="auto"/>
          <w:highlight w:val="none"/>
        </w:rPr>
        <w:tab/>
      </w:r>
      <w:r>
        <w:rPr>
          <w:rFonts w:hint="eastAsia" w:ascii="宋体" w:hAnsi="宋体"/>
          <w:bCs/>
          <w:color w:val="auto"/>
          <w:highlight w:val="none"/>
        </w:rPr>
        <w:t>中标投标人的投标保证金</w:t>
      </w:r>
      <w:r>
        <w:rPr>
          <w:rFonts w:ascii="宋体" w:hAnsi="宋体"/>
          <w:bCs/>
          <w:color w:val="auto"/>
          <w:highlight w:val="none"/>
        </w:rPr>
        <w:t>，</w:t>
      </w:r>
      <w:r>
        <w:rPr>
          <w:rFonts w:hint="eastAsia" w:ascii="宋体" w:hAnsi="宋体"/>
          <w:bCs/>
          <w:color w:val="auto"/>
          <w:highlight w:val="none"/>
        </w:rPr>
        <w:t>在中标投标人付清中标服务费、签订合同之日起5个工作日内无息退</w:t>
      </w:r>
      <w:r>
        <w:rPr>
          <w:rFonts w:hint="eastAsia" w:ascii="宋体"/>
          <w:bCs/>
          <w:color w:val="auto"/>
          <w:highlight w:val="none"/>
        </w:rPr>
        <w:t>还。</w:t>
      </w:r>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7</w:t>
      </w:r>
      <w:r>
        <w:rPr>
          <w:rFonts w:ascii="宋体"/>
          <w:bCs/>
          <w:color w:val="auto"/>
          <w:highlight w:val="none"/>
        </w:rPr>
        <w:tab/>
      </w:r>
      <w:r>
        <w:rPr>
          <w:rFonts w:hint="eastAsia" w:ascii="宋体"/>
          <w:bCs/>
          <w:color w:val="auto"/>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（4）投标人提供虚假投标文件或虚假补充文件的。</w:t>
      </w:r>
    </w:p>
    <w:p>
      <w:pPr>
        <w:pStyle w:val="4"/>
        <w:numPr>
          <w:ilvl w:val="4"/>
          <w:numId w:val="26"/>
        </w:numPr>
        <w:tabs>
          <w:tab w:val="left" w:pos="720"/>
        </w:tabs>
        <w:spacing w:before="240" w:after="120"/>
        <w:ind w:left="2432" w:hanging="2432"/>
        <w:rPr>
          <w:color w:val="auto"/>
          <w:highlight w:val="none"/>
        </w:rPr>
      </w:pPr>
      <w:bookmarkStart w:id="769" w:name="_Toc339019875"/>
      <w:bookmarkStart w:id="770" w:name="_Toc333238619"/>
      <w:bookmarkStart w:id="771" w:name="_Toc339020081"/>
      <w:bookmarkStart w:id="772" w:name="_Toc339441073"/>
      <w:bookmarkStart w:id="773" w:name="_Toc333935673"/>
      <w:bookmarkStart w:id="774" w:name="_Toc349127612"/>
      <w:bookmarkStart w:id="775" w:name="_Toc340672855"/>
      <w:bookmarkStart w:id="776" w:name="_Toc342296746"/>
      <w:bookmarkStart w:id="777" w:name="_Toc339020219"/>
      <w:bookmarkStart w:id="778" w:name="_Toc365985165"/>
      <w:bookmarkStart w:id="779" w:name="_Toc337632344"/>
      <w:bookmarkStart w:id="780" w:name="_Toc339362286"/>
      <w:bookmarkStart w:id="781" w:name="_Toc332206694"/>
      <w:bookmarkStart w:id="782" w:name="_Toc331512884"/>
      <w:bookmarkStart w:id="783" w:name="_Toc330459971"/>
      <w:bookmarkStart w:id="784" w:name="_Toc340677056"/>
      <w:bookmarkStart w:id="785" w:name="_Toc339020001"/>
      <w:bookmarkStart w:id="786" w:name="_Toc333935332"/>
      <w:bookmarkStart w:id="787" w:name="_Toc340507428"/>
      <w:bookmarkStart w:id="788" w:name="_Toc336681566"/>
      <w:bookmarkStart w:id="789" w:name="_Toc12725"/>
      <w:bookmarkStart w:id="790" w:name="_Toc336681921"/>
      <w:bookmarkStart w:id="791" w:name="_Toc333237774"/>
      <w:bookmarkStart w:id="792" w:name="_Toc497224213"/>
      <w:bookmarkStart w:id="793" w:name="_Toc342060360"/>
      <w:bookmarkStart w:id="794" w:name="_Toc332270332"/>
      <w:bookmarkStart w:id="795" w:name="_Toc365967059"/>
      <w:bookmarkStart w:id="796" w:name="_Toc331684024"/>
      <w:bookmarkStart w:id="797" w:name="_Toc345513853"/>
      <w:bookmarkStart w:id="798" w:name="_Toc350756436"/>
      <w:bookmarkStart w:id="799" w:name="_Toc349143575"/>
      <w:bookmarkStart w:id="800" w:name="_Toc350438735"/>
      <w:bookmarkStart w:id="801" w:name="_Toc503785415"/>
      <w:bookmarkStart w:id="802" w:name="_Toc333237663"/>
      <w:bookmarkStart w:id="803" w:name="_Toc374454586"/>
      <w:bookmarkStart w:id="804" w:name="_Toc341348324"/>
      <w:bookmarkStart w:id="805" w:name="_Toc366072514"/>
      <w:r>
        <w:rPr>
          <w:rFonts w:hint="eastAsia"/>
          <w:color w:val="auto"/>
          <w:highlight w:val="none"/>
        </w:rPr>
        <w:t>投标有效期</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从开标之日起，本项目的投标有效期为90天。</w:t>
      </w:r>
      <w:r>
        <w:rPr>
          <w:rFonts w:ascii="宋体"/>
          <w:bCs/>
          <w:color w:val="auto"/>
          <w:highlight w:val="none"/>
        </w:rPr>
        <w:t xml:space="preserve"> </w:t>
      </w:r>
    </w:p>
    <w:p>
      <w:pPr>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.2</w:t>
      </w:r>
      <w:r>
        <w:rPr>
          <w:rFonts w:hint="eastAsia" w:ascii="宋体"/>
          <w:bCs/>
          <w:color w:val="auto"/>
          <w:highlight w:val="none"/>
        </w:rPr>
        <w:tab/>
      </w:r>
      <w:r>
        <w:rPr>
          <w:rFonts w:hint="eastAsia" w:ascii="宋体"/>
          <w:bCs/>
          <w:color w:val="auto"/>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6"/>
        </w:numPr>
        <w:tabs>
          <w:tab w:val="left" w:pos="720"/>
        </w:tabs>
        <w:spacing w:before="240" w:after="120"/>
        <w:ind w:left="2432" w:hanging="2432"/>
        <w:rPr>
          <w:color w:val="auto"/>
          <w:highlight w:val="none"/>
        </w:rPr>
      </w:pPr>
      <w:bookmarkStart w:id="806" w:name="_Toc330459972"/>
      <w:bookmarkStart w:id="807" w:name="_Toc333237664"/>
      <w:bookmarkStart w:id="808" w:name="_Toc336681567"/>
      <w:bookmarkStart w:id="809" w:name="_Toc339441074"/>
      <w:bookmarkStart w:id="810" w:name="_Toc332206695"/>
      <w:bookmarkStart w:id="811" w:name="_Toc374454587"/>
      <w:bookmarkStart w:id="812" w:name="_Toc339020082"/>
      <w:bookmarkStart w:id="813" w:name="_Toc345513854"/>
      <w:bookmarkStart w:id="814" w:name="_Toc340507429"/>
      <w:bookmarkStart w:id="815" w:name="_Toc342060361"/>
      <w:bookmarkStart w:id="816" w:name="_Toc350438736"/>
      <w:bookmarkStart w:id="817" w:name="_Toc350756437"/>
      <w:bookmarkStart w:id="818" w:name="_Toc339019876"/>
      <w:bookmarkStart w:id="819" w:name="_Toc336681922"/>
      <w:bookmarkStart w:id="820" w:name="_Toc333935674"/>
      <w:bookmarkStart w:id="821" w:name="_Toc349143576"/>
      <w:bookmarkStart w:id="822" w:name="_Toc339362287"/>
      <w:bookmarkStart w:id="823" w:name="_Toc341348325"/>
      <w:bookmarkStart w:id="824" w:name="_Toc331512885"/>
      <w:bookmarkStart w:id="825" w:name="_Toc339020220"/>
      <w:bookmarkStart w:id="826" w:name="_Toc340672856"/>
      <w:bookmarkStart w:id="827" w:name="_Toc337632345"/>
      <w:bookmarkStart w:id="828" w:name="_Toc333238620"/>
      <w:bookmarkStart w:id="829" w:name="_Toc111534389"/>
      <w:bookmarkStart w:id="830" w:name="_Toc339020002"/>
      <w:bookmarkStart w:id="831" w:name="_Toc497224214"/>
      <w:bookmarkStart w:id="832" w:name="_Toc349127613"/>
      <w:bookmarkStart w:id="833" w:name="_Toc331684025"/>
      <w:bookmarkStart w:id="834" w:name="_Toc366072515"/>
      <w:bookmarkStart w:id="835" w:name="_Toc365985166"/>
      <w:bookmarkStart w:id="836" w:name="_Toc365967060"/>
      <w:bookmarkStart w:id="837" w:name="_Toc332270333"/>
      <w:bookmarkStart w:id="838" w:name="_Toc342296747"/>
      <w:bookmarkStart w:id="839" w:name="_Toc503785416"/>
      <w:bookmarkStart w:id="840" w:name="_Toc333237775"/>
      <w:bookmarkStart w:id="841" w:name="_Toc333935333"/>
      <w:bookmarkStart w:id="842" w:name="_Toc340677057"/>
      <w:bookmarkStart w:id="843" w:name="_Toc10522"/>
      <w:r>
        <w:rPr>
          <w:rFonts w:hint="eastAsia"/>
          <w:color w:val="auto"/>
          <w:highlight w:val="none"/>
        </w:rPr>
        <w:t>投标文件的签署及规定</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auto"/>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.2</w:t>
      </w:r>
      <w:r>
        <w:rPr>
          <w:rFonts w:hint="eastAsia" w:ascii="宋体"/>
          <w:bCs/>
          <w:color w:val="auto"/>
          <w:highlight w:val="none"/>
        </w:rPr>
        <w:tab/>
      </w:r>
      <w:r>
        <w:rPr>
          <w:rFonts w:hint="eastAsia" w:ascii="宋体" w:hAnsi="宋体"/>
          <w:bCs/>
          <w:color w:val="auto"/>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.3</w:t>
      </w:r>
      <w:r>
        <w:rPr>
          <w:rFonts w:hint="eastAsia" w:ascii="宋体"/>
          <w:bCs/>
          <w:color w:val="auto"/>
          <w:highlight w:val="none"/>
        </w:rPr>
        <w:tab/>
      </w:r>
      <w:r>
        <w:rPr>
          <w:rFonts w:hint="eastAsia" w:ascii="宋体"/>
          <w:bCs/>
          <w:color w:val="auto"/>
          <w:highlight w:val="none"/>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auto"/>
          <w:sz w:val="24"/>
          <w:highlight w:val="none"/>
        </w:rPr>
      </w:pPr>
      <w:bookmarkStart w:id="844" w:name="_Toc349143577"/>
      <w:bookmarkStart w:id="845" w:name="_Toc332270334"/>
      <w:bookmarkStart w:id="846" w:name="_Toc339362288"/>
      <w:bookmarkStart w:id="847" w:name="_Toc339020003"/>
      <w:bookmarkStart w:id="848" w:name="_Toc336681923"/>
      <w:bookmarkStart w:id="849" w:name="_Toc365967061"/>
      <w:bookmarkStart w:id="850" w:name="_Toc497224215"/>
      <w:bookmarkStart w:id="851" w:name="_Toc340507430"/>
      <w:bookmarkStart w:id="852" w:name="_Toc366072516"/>
      <w:bookmarkStart w:id="853" w:name="_Toc374454588"/>
      <w:bookmarkStart w:id="854" w:name="_Toc339020083"/>
      <w:bookmarkStart w:id="855" w:name="_Toc333935334"/>
      <w:bookmarkStart w:id="856" w:name="_Toc331684026"/>
      <w:bookmarkStart w:id="857" w:name="_Toc342060362"/>
      <w:bookmarkStart w:id="858" w:name="_Toc333237776"/>
      <w:bookmarkStart w:id="859" w:name="_Toc336681568"/>
      <w:bookmarkStart w:id="860" w:name="_Toc111534390"/>
      <w:bookmarkStart w:id="861" w:name="_Toc333238621"/>
      <w:bookmarkStart w:id="862" w:name="_Toc340677058"/>
      <w:bookmarkStart w:id="863" w:name="_Toc350438737"/>
      <w:bookmarkStart w:id="864" w:name="_Toc503785417"/>
      <w:bookmarkStart w:id="865" w:name="_Toc340672857"/>
      <w:bookmarkStart w:id="866" w:name="_Toc349127614"/>
      <w:bookmarkStart w:id="867" w:name="_Toc333935675"/>
      <w:bookmarkStart w:id="868" w:name="_Toc365985167"/>
      <w:bookmarkStart w:id="869" w:name="_Toc341348326"/>
      <w:bookmarkStart w:id="870" w:name="_Toc342296748"/>
      <w:bookmarkStart w:id="871" w:name="_Toc339020221"/>
      <w:bookmarkStart w:id="872" w:name="_Toc337632346"/>
      <w:bookmarkStart w:id="873" w:name="_Toc333237665"/>
      <w:bookmarkStart w:id="874" w:name="_Toc350756438"/>
      <w:bookmarkStart w:id="875" w:name="_Toc331512886"/>
      <w:bookmarkStart w:id="876" w:name="_Toc345513855"/>
      <w:bookmarkStart w:id="877" w:name="_Toc330459973"/>
      <w:bookmarkStart w:id="878" w:name="_Toc339019877"/>
      <w:bookmarkStart w:id="879" w:name="_Toc332206696"/>
      <w:bookmarkStart w:id="880" w:name="_Toc339441075"/>
      <w:r>
        <w:rPr>
          <w:color w:val="auto"/>
          <w:sz w:val="24"/>
          <w:highlight w:val="none"/>
        </w:rPr>
        <w:br w:type="page"/>
      </w:r>
      <w:bookmarkStart w:id="881" w:name="_Toc25326"/>
      <w:r>
        <w:rPr>
          <w:rFonts w:hint="eastAsia"/>
          <w:color w:val="auto"/>
          <w:sz w:val="24"/>
          <w:highlight w:val="none"/>
        </w:rPr>
        <w:t>Ｄ</w:t>
      </w:r>
      <w:r>
        <w:rPr>
          <w:color w:val="auto"/>
          <w:sz w:val="24"/>
          <w:highlight w:val="none"/>
        </w:rPr>
        <w:t xml:space="preserve">  </w:t>
      </w:r>
      <w:r>
        <w:rPr>
          <w:rFonts w:hint="eastAsia"/>
          <w:color w:val="auto"/>
          <w:sz w:val="24"/>
          <w:highlight w:val="none"/>
        </w:rPr>
        <w:t>投标文件的递交</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pPr>
        <w:pStyle w:val="4"/>
        <w:numPr>
          <w:ilvl w:val="4"/>
          <w:numId w:val="26"/>
        </w:numPr>
        <w:tabs>
          <w:tab w:val="left" w:pos="251"/>
          <w:tab w:val="left" w:pos="720"/>
        </w:tabs>
        <w:spacing w:before="240" w:after="120"/>
        <w:ind w:left="751" w:leftChars="1" w:hangingChars="357"/>
        <w:rPr>
          <w:rFonts w:ascii="宋体" w:hAnsi="宋体"/>
          <w:color w:val="auto"/>
          <w:highlight w:val="none"/>
        </w:rPr>
      </w:pPr>
      <w:bookmarkStart w:id="882" w:name="_Toc339020084"/>
      <w:bookmarkStart w:id="883" w:name="_Toc503785418"/>
      <w:bookmarkStart w:id="884" w:name="_Toc337632347"/>
      <w:bookmarkStart w:id="885" w:name="_Toc339020004"/>
      <w:bookmarkStart w:id="886" w:name="_Toc349143578"/>
      <w:bookmarkStart w:id="887" w:name="_Toc336681569"/>
      <w:bookmarkStart w:id="888" w:name="_Toc365967062"/>
      <w:bookmarkStart w:id="889" w:name="_Toc333237777"/>
      <w:bookmarkStart w:id="890" w:name="_Toc366072517"/>
      <w:bookmarkStart w:id="891" w:name="_Toc331684027"/>
      <w:bookmarkStart w:id="892" w:name="_Toc332206697"/>
      <w:bookmarkStart w:id="893" w:name="_Toc350438738"/>
      <w:bookmarkStart w:id="894" w:name="_Toc340677059"/>
      <w:bookmarkStart w:id="895" w:name="_Toc365985168"/>
      <w:bookmarkStart w:id="896" w:name="_Toc332270335"/>
      <w:bookmarkStart w:id="897" w:name="_Toc333935676"/>
      <w:bookmarkStart w:id="898" w:name="_Toc350756439"/>
      <w:bookmarkStart w:id="899" w:name="_Toc345513856"/>
      <w:bookmarkStart w:id="900" w:name="_Toc339441076"/>
      <w:bookmarkStart w:id="901" w:name="_Toc349127615"/>
      <w:bookmarkStart w:id="902" w:name="_Toc340672858"/>
      <w:bookmarkStart w:id="903" w:name="_Toc333238622"/>
      <w:bookmarkStart w:id="904" w:name="_Toc497224216"/>
      <w:bookmarkStart w:id="905" w:name="_Toc111534391"/>
      <w:bookmarkStart w:id="906" w:name="_Toc339020222"/>
      <w:bookmarkStart w:id="907" w:name="_Toc342296749"/>
      <w:bookmarkStart w:id="908" w:name="_Toc342060363"/>
      <w:bookmarkStart w:id="909" w:name="_Toc330459974"/>
      <w:bookmarkStart w:id="910" w:name="_Toc339019878"/>
      <w:bookmarkStart w:id="911" w:name="_Toc333935335"/>
      <w:bookmarkStart w:id="912" w:name="_Toc336681924"/>
      <w:bookmarkStart w:id="913" w:name="_Toc331512887"/>
      <w:bookmarkStart w:id="914" w:name="_Toc339362289"/>
      <w:bookmarkStart w:id="915" w:name="_Toc333237666"/>
      <w:bookmarkStart w:id="916" w:name="_Toc340507431"/>
      <w:bookmarkStart w:id="917" w:name="_Toc341348327"/>
      <w:bookmarkStart w:id="918" w:name="_Toc374454589"/>
      <w:r>
        <w:rPr>
          <w:color w:val="auto"/>
          <w:highlight w:val="none"/>
        </w:rPr>
        <w:t xml:space="preserve"> </w:t>
      </w:r>
      <w:bookmarkStart w:id="919" w:name="_Toc22559"/>
      <w:r>
        <w:rPr>
          <w:rFonts w:hint="eastAsia"/>
          <w:color w:val="auto"/>
          <w:highlight w:val="none"/>
        </w:rPr>
        <w:t>投标文件的密封和标记</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pPr>
        <w:rPr>
          <w:color w:val="auto"/>
          <w:highlight w:val="none"/>
        </w:rPr>
      </w:pPr>
      <w:bookmarkStart w:id="920" w:name="_Hlk499218605"/>
      <w:r>
        <w:rPr>
          <w:rFonts w:hint="eastAsia"/>
          <w:color w:val="auto"/>
          <w:highlight w:val="none"/>
        </w:rPr>
        <w:tab/>
      </w:r>
      <w:r>
        <w:rPr>
          <w:rFonts w:hint="eastAsia" w:ascii="黑体" w:eastAsia="黑体"/>
          <w:bCs/>
          <w:color w:val="auto"/>
          <w:kern w:val="2"/>
          <w:sz w:val="21"/>
          <w:szCs w:val="24"/>
          <w:highlight w:val="none"/>
        </w:rPr>
        <w:t>详见第三</w:t>
      </w:r>
      <w:r>
        <w:rPr>
          <w:rFonts w:hint="eastAsia" w:ascii="黑体" w:eastAsia="黑体"/>
          <w:bCs/>
          <w:color w:val="auto"/>
          <w:kern w:val="2"/>
          <w:sz w:val="21"/>
          <w:szCs w:val="24"/>
          <w:highlight w:val="none"/>
          <w:lang w:eastAsia="zh-CN"/>
        </w:rPr>
        <w:t>部分</w:t>
      </w:r>
      <w:r>
        <w:rPr>
          <w:rFonts w:hint="eastAsia" w:ascii="黑体" w:eastAsia="黑体"/>
          <w:bCs/>
          <w:color w:val="auto"/>
          <w:kern w:val="2"/>
          <w:sz w:val="21"/>
          <w:szCs w:val="24"/>
          <w:highlight w:val="none"/>
        </w:rPr>
        <w:t>《投标人须知〈投标人须知前附表〉》</w:t>
      </w:r>
      <w:bookmarkEnd w:id="920"/>
      <w:r>
        <w:rPr>
          <w:rFonts w:hint="eastAsia" w:ascii="黑体" w:eastAsia="黑体"/>
          <w:bCs/>
          <w:color w:val="auto"/>
          <w:kern w:val="2"/>
          <w:sz w:val="21"/>
          <w:szCs w:val="24"/>
          <w:highlight w:val="none"/>
        </w:rPr>
        <w:t>。</w:t>
      </w:r>
    </w:p>
    <w:p>
      <w:pPr>
        <w:pStyle w:val="4"/>
        <w:numPr>
          <w:ilvl w:val="4"/>
          <w:numId w:val="26"/>
        </w:numPr>
        <w:tabs>
          <w:tab w:val="left" w:pos="720"/>
        </w:tabs>
        <w:spacing w:before="240" w:after="120"/>
        <w:ind w:left="2432" w:hanging="2432"/>
        <w:rPr>
          <w:color w:val="auto"/>
          <w:highlight w:val="none"/>
        </w:rPr>
      </w:pPr>
      <w:bookmarkStart w:id="921" w:name="_Toc374454590"/>
      <w:bookmarkStart w:id="922" w:name="_Toc345513857"/>
      <w:bookmarkStart w:id="923" w:name="_Toc503785419"/>
      <w:bookmarkStart w:id="924" w:name="_Toc331684028"/>
      <w:bookmarkStart w:id="925" w:name="_Toc340677060"/>
      <w:bookmarkStart w:id="926" w:name="_Toc349127616"/>
      <w:bookmarkStart w:id="927" w:name="_Toc333935677"/>
      <w:bookmarkStart w:id="928" w:name="_Toc331512888"/>
      <w:bookmarkStart w:id="929" w:name="_Toc336681570"/>
      <w:bookmarkStart w:id="930" w:name="_Toc349143579"/>
      <w:bookmarkStart w:id="931" w:name="_Toc336681925"/>
      <w:bookmarkStart w:id="932" w:name="_Toc333237778"/>
      <w:bookmarkStart w:id="933" w:name="_Toc339362290"/>
      <w:bookmarkStart w:id="934" w:name="_Toc339441077"/>
      <w:bookmarkStart w:id="935" w:name="_Toc350756440"/>
      <w:bookmarkStart w:id="936" w:name="_Toc366072518"/>
      <w:bookmarkStart w:id="937" w:name="_Toc330459975"/>
      <w:bookmarkStart w:id="938" w:name="_Toc332270336"/>
      <w:bookmarkStart w:id="939" w:name="_Toc339020005"/>
      <w:bookmarkStart w:id="940" w:name="_Toc337632348"/>
      <w:bookmarkStart w:id="941" w:name="_Toc341348328"/>
      <w:bookmarkStart w:id="942" w:name="_Toc333238623"/>
      <w:bookmarkStart w:id="943" w:name="_Toc339019879"/>
      <w:bookmarkStart w:id="944" w:name="_Toc340507432"/>
      <w:bookmarkStart w:id="945" w:name="_Toc365985169"/>
      <w:bookmarkStart w:id="946" w:name="_Toc350438739"/>
      <w:bookmarkStart w:id="947" w:name="_Toc18547"/>
      <w:bookmarkStart w:id="948" w:name="_Toc332206698"/>
      <w:bookmarkStart w:id="949" w:name="_Toc339020223"/>
      <w:bookmarkStart w:id="950" w:name="_Toc340672859"/>
      <w:bookmarkStart w:id="951" w:name="_Toc333237667"/>
      <w:bookmarkStart w:id="952" w:name="_Toc339020085"/>
      <w:bookmarkStart w:id="953" w:name="_Toc333935336"/>
      <w:bookmarkStart w:id="954" w:name="_Toc111534392"/>
      <w:bookmarkStart w:id="955" w:name="_Toc342296750"/>
      <w:bookmarkStart w:id="956" w:name="_Toc365967063"/>
      <w:bookmarkStart w:id="957" w:name="_Toc497224217"/>
      <w:bookmarkStart w:id="958" w:name="_Toc342060364"/>
      <w:r>
        <w:rPr>
          <w:rFonts w:hint="eastAsia"/>
          <w:color w:val="auto"/>
          <w:highlight w:val="none"/>
        </w:rPr>
        <w:t>递交投标文件的时间、地点及截止时间</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18.1</w:t>
      </w:r>
      <w:r>
        <w:rPr>
          <w:rFonts w:hint="eastAsia" w:ascii="宋体" w:hAnsi="宋体"/>
          <w:bCs/>
          <w:color w:val="auto"/>
          <w:highlight w:val="none"/>
        </w:rPr>
        <w:tab/>
      </w:r>
      <w:r>
        <w:rPr>
          <w:rFonts w:hint="eastAsia" w:ascii="宋体" w:hAnsi="宋体"/>
          <w:bCs/>
          <w:color w:val="auto"/>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18.2</w:t>
      </w:r>
      <w:r>
        <w:rPr>
          <w:rFonts w:hint="eastAsia" w:ascii="宋体" w:hAnsi="宋体"/>
          <w:bCs/>
          <w:color w:val="auto"/>
          <w:highlight w:val="none"/>
        </w:rPr>
        <w:tab/>
      </w:r>
      <w:r>
        <w:rPr>
          <w:rFonts w:hint="eastAsia" w:ascii="宋体" w:hAnsi="宋体"/>
          <w:bCs/>
          <w:color w:val="auto"/>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bookmarkStart w:id="959" w:name="_Toc340677061"/>
      <w:bookmarkStart w:id="960" w:name="_Toc341348329"/>
      <w:bookmarkStart w:id="961" w:name="_Toc333237668"/>
      <w:bookmarkStart w:id="962" w:name="_Toc332206699"/>
      <w:bookmarkStart w:id="963" w:name="_Toc366072519"/>
      <w:bookmarkStart w:id="964" w:name="_Toc497224218"/>
      <w:bookmarkStart w:id="965" w:name="_Toc342296751"/>
      <w:bookmarkStart w:id="966" w:name="_Toc339362291"/>
      <w:bookmarkStart w:id="967" w:name="_Toc349127617"/>
      <w:bookmarkStart w:id="968" w:name="_Toc365967064"/>
      <w:bookmarkStart w:id="969" w:name="_Toc333238624"/>
      <w:bookmarkStart w:id="970" w:name="_Toc336681926"/>
      <w:bookmarkStart w:id="971" w:name="_Toc339020006"/>
      <w:bookmarkStart w:id="972" w:name="_Toc330459976"/>
      <w:bookmarkStart w:id="973" w:name="_Toc339019880"/>
      <w:bookmarkStart w:id="974" w:name="_Toc350438740"/>
      <w:bookmarkStart w:id="975" w:name="_Toc374454591"/>
      <w:bookmarkStart w:id="976" w:name="_Toc336681571"/>
      <w:bookmarkStart w:id="977" w:name="_Toc365985170"/>
      <w:bookmarkStart w:id="978" w:name="_Toc337632349"/>
      <w:bookmarkStart w:id="979" w:name="_Toc333237779"/>
      <w:bookmarkStart w:id="980" w:name="_Toc349143580"/>
      <w:bookmarkStart w:id="981" w:name="_Toc350756441"/>
      <w:bookmarkStart w:id="982" w:name="_Toc333935337"/>
      <w:bookmarkStart w:id="983" w:name="_Toc339020086"/>
      <w:bookmarkStart w:id="984" w:name="_Toc339441078"/>
      <w:bookmarkStart w:id="985" w:name="_Toc331512889"/>
      <w:bookmarkStart w:id="986" w:name="_Toc339020224"/>
      <w:bookmarkStart w:id="987" w:name="_Toc503785420"/>
      <w:bookmarkStart w:id="988" w:name="_Toc340672860"/>
      <w:bookmarkStart w:id="989" w:name="_Toc333935678"/>
      <w:bookmarkStart w:id="990" w:name="_Toc340507433"/>
      <w:bookmarkStart w:id="991" w:name="_Toc331684029"/>
      <w:bookmarkStart w:id="992" w:name="_Toc345513858"/>
      <w:bookmarkStart w:id="993" w:name="_Toc342060365"/>
      <w:bookmarkStart w:id="994" w:name="_Toc332270337"/>
      <w:r>
        <w:rPr>
          <w:rFonts w:hint="eastAsia" w:ascii="宋体" w:hAnsi="宋体"/>
          <w:bCs/>
          <w:color w:val="auto"/>
          <w:highlight w:val="none"/>
        </w:rPr>
        <w:t>18.3</w:t>
      </w:r>
      <w:r>
        <w:rPr>
          <w:rFonts w:hint="eastAsia" w:ascii="宋体" w:hAnsi="宋体"/>
          <w:bCs/>
          <w:color w:val="auto"/>
          <w:highlight w:val="none"/>
        </w:rPr>
        <w:tab/>
      </w:r>
      <w:r>
        <w:rPr>
          <w:rFonts w:hint="eastAsia" w:ascii="宋体" w:hAnsi="宋体"/>
          <w:bCs/>
          <w:color w:val="auto"/>
          <w:highlight w:val="none"/>
        </w:rPr>
        <w:t>代理采购机构于投标截止时间前30分钟开始接收投标文件，并于招标文件“第一部分投标邀请函”规定的开标时间、开标地点公开开标。</w:t>
      </w:r>
    </w:p>
    <w:p>
      <w:pPr>
        <w:pStyle w:val="4"/>
        <w:numPr>
          <w:ilvl w:val="4"/>
          <w:numId w:val="26"/>
        </w:numPr>
        <w:tabs>
          <w:tab w:val="left" w:pos="720"/>
        </w:tabs>
        <w:spacing w:before="240" w:after="120"/>
        <w:ind w:left="2432" w:hanging="2432"/>
        <w:rPr>
          <w:color w:val="auto"/>
          <w:highlight w:val="none"/>
        </w:rPr>
      </w:pPr>
      <w:bookmarkStart w:id="995" w:name="_Toc8174"/>
      <w:r>
        <w:rPr>
          <w:rFonts w:hint="eastAsia"/>
          <w:color w:val="auto"/>
          <w:highlight w:val="none"/>
        </w:rPr>
        <w:t>迟交的投标文件</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hint="eastAsia" w:ascii="宋体"/>
          <w:bCs/>
          <w:color w:val="auto"/>
          <w:highlight w:val="none"/>
        </w:rPr>
        <w:t>19</w:t>
      </w:r>
      <w:r>
        <w:rPr>
          <w:rFonts w:ascii="宋体"/>
          <w:bCs/>
          <w:color w:val="auto"/>
          <w:highlight w:val="none"/>
        </w:rPr>
        <w:t>.1</w:t>
      </w:r>
      <w:r>
        <w:rPr>
          <w:rFonts w:hint="eastAsia" w:ascii="宋体"/>
          <w:bCs/>
          <w:color w:val="auto"/>
          <w:highlight w:val="none"/>
        </w:rPr>
        <w:tab/>
      </w:r>
      <w:r>
        <w:rPr>
          <w:rFonts w:hint="eastAsia" w:ascii="宋体"/>
          <w:bCs/>
          <w:color w:val="auto"/>
          <w:highlight w:val="none"/>
        </w:rPr>
        <w:t>代理采购机构将拒绝在投标截止时间后递交的任何投标文件。</w:t>
      </w:r>
    </w:p>
    <w:p>
      <w:pPr>
        <w:pStyle w:val="4"/>
        <w:numPr>
          <w:ilvl w:val="4"/>
          <w:numId w:val="26"/>
        </w:numPr>
        <w:tabs>
          <w:tab w:val="left" w:pos="720"/>
        </w:tabs>
        <w:spacing w:before="240" w:after="120"/>
        <w:ind w:left="2432" w:hanging="2432"/>
        <w:rPr>
          <w:color w:val="auto"/>
          <w:highlight w:val="none"/>
        </w:rPr>
      </w:pPr>
      <w:bookmarkStart w:id="996" w:name="_Toc497224219"/>
      <w:bookmarkStart w:id="997" w:name="_Toc503785421"/>
      <w:bookmarkStart w:id="998" w:name="_Toc332206700"/>
      <w:bookmarkStart w:id="999" w:name="_Toc333237669"/>
      <w:bookmarkStart w:id="1000" w:name="_Toc337632350"/>
      <w:bookmarkStart w:id="1001" w:name="_Toc365967065"/>
      <w:bookmarkStart w:id="1002" w:name="_Toc374454592"/>
      <w:bookmarkStart w:id="1003" w:name="_Toc339362292"/>
      <w:bookmarkStart w:id="1004" w:name="_Toc340672861"/>
      <w:bookmarkStart w:id="1005" w:name="_Toc365985171"/>
      <w:bookmarkStart w:id="1006" w:name="_Toc339020007"/>
      <w:bookmarkStart w:id="1007" w:name="_Toc345513859"/>
      <w:bookmarkStart w:id="1008" w:name="_Toc339441079"/>
      <w:bookmarkStart w:id="1009" w:name="_Toc349127618"/>
      <w:bookmarkStart w:id="1010" w:name="_Toc332270338"/>
      <w:bookmarkStart w:id="1011" w:name="_Toc336681572"/>
      <w:bookmarkStart w:id="1012" w:name="_Toc342060366"/>
      <w:bookmarkStart w:id="1013" w:name="_Toc341348330"/>
      <w:bookmarkStart w:id="1014" w:name="_Toc339019881"/>
      <w:bookmarkStart w:id="1015" w:name="_Toc333935338"/>
      <w:bookmarkStart w:id="1016" w:name="_Toc333237780"/>
      <w:bookmarkStart w:id="1017" w:name="_Toc333238625"/>
      <w:bookmarkStart w:id="1018" w:name="_Toc366072520"/>
      <w:bookmarkStart w:id="1019" w:name="_Toc350438741"/>
      <w:bookmarkStart w:id="1020" w:name="_Toc333935679"/>
      <w:bookmarkStart w:id="1021" w:name="_Toc340677062"/>
      <w:bookmarkStart w:id="1022" w:name="_Toc350756442"/>
      <w:bookmarkStart w:id="1023" w:name="_Toc342296752"/>
      <w:bookmarkStart w:id="1024" w:name="_Toc330459977"/>
      <w:bookmarkStart w:id="1025" w:name="_Toc336681927"/>
      <w:bookmarkStart w:id="1026" w:name="_Toc349143581"/>
      <w:bookmarkStart w:id="1027" w:name="_Toc340507434"/>
      <w:bookmarkStart w:id="1028" w:name="_Toc331684030"/>
      <w:bookmarkStart w:id="1029" w:name="_Toc6024"/>
      <w:bookmarkStart w:id="1030" w:name="_Toc331512890"/>
      <w:bookmarkStart w:id="1031" w:name="_Toc339020087"/>
      <w:bookmarkStart w:id="1032" w:name="_Toc339020225"/>
      <w:r>
        <w:rPr>
          <w:rFonts w:hint="eastAsia"/>
          <w:color w:val="auto"/>
          <w:highlight w:val="none"/>
        </w:rPr>
        <w:t>投标文件的修改和撤</w:t>
      </w:r>
      <w:bookmarkEnd w:id="996"/>
      <w:bookmarkEnd w:id="997"/>
      <w:r>
        <w:rPr>
          <w:rFonts w:hint="eastAsia"/>
          <w:color w:val="auto"/>
          <w:highlight w:val="none"/>
        </w:rPr>
        <w:t>回</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投标人在</w:t>
      </w:r>
      <w:r>
        <w:rPr>
          <w:rFonts w:hint="eastAsia" w:ascii="宋体"/>
          <w:bCs/>
          <w:color w:val="auto"/>
          <w:highlight w:val="none"/>
          <w:lang w:val="en-US" w:eastAsia="zh-CN"/>
        </w:rPr>
        <w:t>投标</w:t>
      </w:r>
      <w:r>
        <w:rPr>
          <w:rFonts w:hint="eastAsia" w:ascii="宋体"/>
          <w:bCs/>
          <w:color w:val="auto"/>
          <w:highlight w:val="none"/>
        </w:rPr>
        <w:t>截止时间前，可以修改或撤回其投标文件。但必须在规定的</w:t>
      </w:r>
      <w:r>
        <w:rPr>
          <w:rFonts w:hint="eastAsia" w:ascii="宋体"/>
          <w:bCs/>
          <w:color w:val="auto"/>
          <w:highlight w:val="none"/>
          <w:lang w:val="en-US" w:eastAsia="zh-CN"/>
        </w:rPr>
        <w:t>投标</w:t>
      </w:r>
      <w:r>
        <w:rPr>
          <w:rFonts w:hint="eastAsia" w:ascii="宋体"/>
          <w:bCs/>
          <w:color w:val="auto"/>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.2</w:t>
      </w:r>
      <w:r>
        <w:rPr>
          <w:rFonts w:hint="eastAsia" w:ascii="宋体"/>
          <w:bCs/>
          <w:color w:val="auto"/>
          <w:highlight w:val="none"/>
        </w:rPr>
        <w:tab/>
      </w:r>
      <w:r>
        <w:rPr>
          <w:rFonts w:hint="eastAsia" w:ascii="宋体"/>
          <w:bCs/>
          <w:color w:val="auto"/>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从投标截止时间至投标文件有效期期满之前，投标人不得撤回其投标文件，否则代理采购机构将按规定不予退还投标保证金。</w:t>
      </w:r>
    </w:p>
    <w:p>
      <w:pPr>
        <w:pStyle w:val="3"/>
        <w:numPr>
          <w:ilvl w:val="0"/>
          <w:numId w:val="0"/>
        </w:numPr>
        <w:rPr>
          <w:color w:val="auto"/>
          <w:sz w:val="24"/>
          <w:highlight w:val="none"/>
        </w:rPr>
      </w:pPr>
      <w:bookmarkStart w:id="1033" w:name="_Toc365967066"/>
      <w:bookmarkStart w:id="1034" w:name="_Toc350756443"/>
      <w:bookmarkStart w:id="1035" w:name="_Toc332270339"/>
      <w:bookmarkStart w:id="1036" w:name="_Toc332206701"/>
      <w:bookmarkStart w:id="1037" w:name="_Toc337632351"/>
      <w:bookmarkStart w:id="1038" w:name="_Toc339020226"/>
      <w:bookmarkStart w:id="1039" w:name="_Toc340507435"/>
      <w:bookmarkStart w:id="1040" w:name="_Toc365985172"/>
      <w:bookmarkStart w:id="1041" w:name="_Toc333935339"/>
      <w:bookmarkStart w:id="1042" w:name="_Toc339441080"/>
      <w:bookmarkStart w:id="1043" w:name="_Toc339020088"/>
      <w:bookmarkStart w:id="1044" w:name="_Toc366072521"/>
      <w:bookmarkStart w:id="1045" w:name="_Toc342060367"/>
      <w:bookmarkStart w:id="1046" w:name="_Toc339020008"/>
      <w:bookmarkStart w:id="1047" w:name="_Toc339362293"/>
      <w:bookmarkStart w:id="1048" w:name="_Toc349127619"/>
      <w:bookmarkStart w:id="1049" w:name="_Toc503785422"/>
      <w:bookmarkStart w:id="1050" w:name="_Toc345513860"/>
      <w:bookmarkStart w:id="1051" w:name="_Toc333238626"/>
      <w:bookmarkStart w:id="1052" w:name="_Toc331684031"/>
      <w:bookmarkStart w:id="1053" w:name="_Toc339019882"/>
      <w:bookmarkStart w:id="1054" w:name="_Toc497224220"/>
      <w:bookmarkStart w:id="1055" w:name="_Toc333237670"/>
      <w:bookmarkStart w:id="1056" w:name="_Toc330459978"/>
      <w:bookmarkStart w:id="1057" w:name="_Toc340672862"/>
      <w:bookmarkStart w:id="1058" w:name="_Toc374454593"/>
      <w:bookmarkStart w:id="1059" w:name="_Toc342296753"/>
      <w:bookmarkStart w:id="1060" w:name="_Toc333935680"/>
      <w:bookmarkStart w:id="1061" w:name="_Toc341348331"/>
      <w:bookmarkStart w:id="1062" w:name="_Toc336681928"/>
      <w:bookmarkStart w:id="1063" w:name="_Toc340677063"/>
      <w:bookmarkStart w:id="1064" w:name="_Toc349143582"/>
      <w:bookmarkStart w:id="1065" w:name="_Toc336681573"/>
      <w:bookmarkStart w:id="1066" w:name="_Toc331512891"/>
      <w:bookmarkStart w:id="1067" w:name="_Toc333237781"/>
      <w:bookmarkStart w:id="1068" w:name="_Toc350438742"/>
      <w:r>
        <w:rPr>
          <w:color w:val="auto"/>
          <w:sz w:val="24"/>
          <w:highlight w:val="none"/>
        </w:rPr>
        <w:br w:type="page"/>
      </w:r>
      <w:bookmarkStart w:id="1069" w:name="_Toc4169"/>
      <w:r>
        <w:rPr>
          <w:rFonts w:hint="eastAsia"/>
          <w:color w:val="auto"/>
          <w:sz w:val="24"/>
          <w:highlight w:val="none"/>
        </w:rPr>
        <w:t>Ｅ</w:t>
      </w:r>
      <w:r>
        <w:rPr>
          <w:color w:val="auto"/>
          <w:sz w:val="24"/>
          <w:highlight w:val="none"/>
        </w:rPr>
        <w:t xml:space="preserve">  </w:t>
      </w:r>
      <w:r>
        <w:rPr>
          <w:rFonts w:hint="eastAsia"/>
          <w:color w:val="auto"/>
          <w:sz w:val="24"/>
          <w:highlight w:val="none"/>
        </w:rPr>
        <w:t>开标和评标</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pPr>
        <w:pStyle w:val="4"/>
        <w:numPr>
          <w:ilvl w:val="4"/>
          <w:numId w:val="26"/>
        </w:numPr>
        <w:tabs>
          <w:tab w:val="left" w:pos="720"/>
        </w:tabs>
        <w:spacing w:before="240" w:after="120"/>
        <w:ind w:left="2432" w:hanging="2432"/>
        <w:rPr>
          <w:color w:val="auto"/>
          <w:highlight w:val="none"/>
        </w:rPr>
      </w:pPr>
      <w:bookmarkStart w:id="1070" w:name="_Toc333237671"/>
      <w:bookmarkStart w:id="1071" w:name="_Toc330459979"/>
      <w:bookmarkStart w:id="1072" w:name="_Toc333238627"/>
      <w:bookmarkStart w:id="1073" w:name="_Toc339020089"/>
      <w:bookmarkStart w:id="1074" w:name="_Toc341348332"/>
      <w:bookmarkStart w:id="1075" w:name="_Toc337632352"/>
      <w:bookmarkStart w:id="1076" w:name="_Toc497224221"/>
      <w:bookmarkStart w:id="1077" w:name="_Toc339020227"/>
      <w:bookmarkStart w:id="1078" w:name="_Toc365967067"/>
      <w:bookmarkStart w:id="1079" w:name="_Toc332206702"/>
      <w:bookmarkStart w:id="1080" w:name="_Toc345513861"/>
      <w:bookmarkStart w:id="1081" w:name="_Toc332270340"/>
      <w:bookmarkStart w:id="1082" w:name="_Toc333237782"/>
      <w:bookmarkStart w:id="1083" w:name="_Toc336681574"/>
      <w:bookmarkStart w:id="1084" w:name="_Toc365985173"/>
      <w:bookmarkStart w:id="1085" w:name="_Toc340507436"/>
      <w:bookmarkStart w:id="1086" w:name="_Toc374454594"/>
      <w:bookmarkStart w:id="1087" w:name="_Toc339019883"/>
      <w:bookmarkStart w:id="1088" w:name="_Toc333935681"/>
      <w:bookmarkStart w:id="1089" w:name="_Toc336681929"/>
      <w:bookmarkStart w:id="1090" w:name="_Toc339020009"/>
      <w:bookmarkStart w:id="1091" w:name="_Toc342296754"/>
      <w:bookmarkStart w:id="1092" w:name="_Toc331684032"/>
      <w:bookmarkStart w:id="1093" w:name="_Toc340677064"/>
      <w:bookmarkStart w:id="1094" w:name="_Toc333935340"/>
      <w:bookmarkStart w:id="1095" w:name="_Toc349127620"/>
      <w:bookmarkStart w:id="1096" w:name="_Toc331512892"/>
      <w:bookmarkStart w:id="1097" w:name="_Toc503785423"/>
      <w:bookmarkStart w:id="1098" w:name="_Toc350438743"/>
      <w:bookmarkStart w:id="1099" w:name="_Toc339362294"/>
      <w:bookmarkStart w:id="1100" w:name="_Toc339441081"/>
      <w:bookmarkStart w:id="1101" w:name="_Toc366072522"/>
      <w:bookmarkStart w:id="1102" w:name="_Toc349143583"/>
      <w:bookmarkStart w:id="1103" w:name="_Toc340672863"/>
      <w:bookmarkStart w:id="1104" w:name="_Toc14918"/>
      <w:bookmarkStart w:id="1105" w:name="_Toc350756444"/>
      <w:bookmarkStart w:id="1106" w:name="_Toc342060368"/>
      <w:r>
        <w:rPr>
          <w:rFonts w:hint="eastAsia"/>
          <w:color w:val="auto"/>
          <w:highlight w:val="none"/>
        </w:rPr>
        <w:t>开标</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.2</w:t>
      </w:r>
      <w:r>
        <w:rPr>
          <w:rFonts w:hint="eastAsia" w:ascii="宋体" w:hAnsi="宋体"/>
          <w:bCs/>
          <w:color w:val="auto"/>
          <w:highlight w:val="none"/>
        </w:rPr>
        <w:tab/>
      </w:r>
      <w:r>
        <w:rPr>
          <w:rFonts w:hint="eastAsia" w:ascii="宋体" w:hAnsi="宋体"/>
          <w:bCs/>
          <w:color w:val="auto"/>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21.4</w:t>
      </w:r>
      <w:r>
        <w:rPr>
          <w:rFonts w:hint="eastAsia" w:ascii="宋体" w:hAnsi="宋体"/>
          <w:bCs/>
          <w:color w:val="auto"/>
          <w:highlight w:val="none"/>
        </w:rPr>
        <w:tab/>
      </w:r>
      <w:r>
        <w:rPr>
          <w:rFonts w:hint="eastAsia" w:ascii="宋体" w:hAnsi="宋体"/>
          <w:bCs/>
          <w:color w:val="auto"/>
          <w:highlight w:val="none"/>
        </w:rPr>
        <w:t>唱标结束后，代理采购机构将做唱标记录，并按规定在唱标记录上签字。</w:t>
      </w:r>
    </w:p>
    <w:p>
      <w:pPr>
        <w:pStyle w:val="4"/>
        <w:numPr>
          <w:ilvl w:val="4"/>
          <w:numId w:val="26"/>
        </w:numPr>
        <w:tabs>
          <w:tab w:val="left" w:pos="720"/>
        </w:tabs>
        <w:spacing w:before="240" w:after="120"/>
        <w:ind w:left="752" w:hanging="751" w:hangingChars="358"/>
        <w:rPr>
          <w:rFonts w:ascii="宋体" w:hAnsi="宋体"/>
          <w:color w:val="auto"/>
          <w:highlight w:val="none"/>
        </w:rPr>
      </w:pPr>
      <w:bookmarkStart w:id="1107" w:name="_Toc349143584"/>
      <w:bookmarkStart w:id="1108" w:name="_Toc332270341"/>
      <w:bookmarkStart w:id="1109" w:name="_Toc339020228"/>
      <w:bookmarkStart w:id="1110" w:name="_Toc503785424"/>
      <w:bookmarkStart w:id="1111" w:name="_Toc336681930"/>
      <w:bookmarkStart w:id="1112" w:name="_Toc333935341"/>
      <w:bookmarkStart w:id="1113" w:name="_Toc336681575"/>
      <w:bookmarkStart w:id="1114" w:name="_Toc365985174"/>
      <w:bookmarkStart w:id="1115" w:name="_Toc340672864"/>
      <w:bookmarkStart w:id="1116" w:name="_Toc339362295"/>
      <w:bookmarkStart w:id="1117" w:name="_Toc337632353"/>
      <w:bookmarkStart w:id="1118" w:name="_Toc497224222"/>
      <w:bookmarkStart w:id="1119" w:name="_Toc332206703"/>
      <w:bookmarkStart w:id="1120" w:name="_Toc339441082"/>
      <w:bookmarkStart w:id="1121" w:name="_Toc345513862"/>
      <w:bookmarkStart w:id="1122" w:name="_Toc350438744"/>
      <w:bookmarkStart w:id="1123" w:name="_Toc365967068"/>
      <w:bookmarkStart w:id="1124" w:name="_Toc333238628"/>
      <w:bookmarkStart w:id="1125" w:name="_Toc374454595"/>
      <w:bookmarkStart w:id="1126" w:name="_Toc366072523"/>
      <w:bookmarkStart w:id="1127" w:name="_Toc9920"/>
      <w:bookmarkStart w:id="1128" w:name="_Toc340507437"/>
      <w:bookmarkStart w:id="1129" w:name="_Toc331512893"/>
      <w:bookmarkStart w:id="1130" w:name="_Toc342060369"/>
      <w:bookmarkStart w:id="1131" w:name="_Toc339020090"/>
      <w:bookmarkStart w:id="1132" w:name="_Toc341348333"/>
      <w:bookmarkStart w:id="1133" w:name="_Toc333237672"/>
      <w:bookmarkStart w:id="1134" w:name="_Toc333237783"/>
      <w:bookmarkStart w:id="1135" w:name="_Toc333935682"/>
      <w:bookmarkStart w:id="1136" w:name="_Toc331684033"/>
      <w:bookmarkStart w:id="1137" w:name="_Toc339019884"/>
      <w:bookmarkStart w:id="1138" w:name="_Toc339020010"/>
      <w:bookmarkStart w:id="1139" w:name="_Toc330459980"/>
      <w:bookmarkStart w:id="1140" w:name="_Toc349127621"/>
      <w:bookmarkStart w:id="1141" w:name="_Toc340677065"/>
      <w:bookmarkStart w:id="1142" w:name="_Toc342296755"/>
      <w:bookmarkStart w:id="1143" w:name="_Toc350756445"/>
      <w:r>
        <w:rPr>
          <w:rFonts w:hint="eastAsia"/>
          <w:color w:val="auto"/>
          <w:highlight w:val="none"/>
        </w:rPr>
        <w:t>评标委员会</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r>
        <w:rPr>
          <w:rFonts w:hint="eastAsia" w:ascii="宋体" w:hAnsi="宋体"/>
          <w:color w:val="auto"/>
          <w:highlight w:val="none"/>
        </w:rPr>
        <w:t xml:space="preserve"> </w:t>
      </w:r>
    </w:p>
    <w:p>
      <w:pPr>
        <w:rPr>
          <w:color w:val="auto"/>
          <w:highlight w:val="none"/>
        </w:rPr>
      </w:pPr>
      <w:r>
        <w:rPr>
          <w:color w:val="auto"/>
          <w:highlight w:val="none"/>
        </w:rPr>
        <w:t xml:space="preserve">  </w:t>
      </w:r>
      <w:r>
        <w:rPr>
          <w:rFonts w:hint="eastAsia" w:ascii="黑体" w:eastAsia="黑体"/>
          <w:bCs/>
          <w:color w:val="auto"/>
          <w:kern w:val="2"/>
          <w:sz w:val="21"/>
          <w:szCs w:val="24"/>
          <w:highlight w:val="none"/>
        </w:rPr>
        <w:t>详见第三</w:t>
      </w:r>
      <w:r>
        <w:rPr>
          <w:rFonts w:hint="eastAsia" w:ascii="黑体" w:eastAsia="黑体"/>
          <w:bCs/>
          <w:color w:val="auto"/>
          <w:kern w:val="2"/>
          <w:sz w:val="21"/>
          <w:szCs w:val="24"/>
          <w:highlight w:val="none"/>
          <w:lang w:eastAsia="zh-CN"/>
        </w:rPr>
        <w:t>部分</w:t>
      </w:r>
      <w:r>
        <w:rPr>
          <w:rFonts w:hint="eastAsia" w:ascii="黑体" w:eastAsia="黑体"/>
          <w:bCs/>
          <w:color w:val="auto"/>
          <w:kern w:val="2"/>
          <w:sz w:val="21"/>
          <w:szCs w:val="24"/>
          <w:highlight w:val="none"/>
        </w:rPr>
        <w:t>《投标人须知〈投标人须知前附表〉》。</w:t>
      </w:r>
    </w:p>
    <w:p>
      <w:pPr>
        <w:pStyle w:val="4"/>
        <w:numPr>
          <w:ilvl w:val="4"/>
          <w:numId w:val="26"/>
        </w:numPr>
        <w:tabs>
          <w:tab w:val="left" w:pos="720"/>
        </w:tabs>
        <w:spacing w:before="240" w:after="120"/>
        <w:ind w:left="2432" w:hanging="2432"/>
        <w:rPr>
          <w:color w:val="auto"/>
          <w:highlight w:val="none"/>
        </w:rPr>
      </w:pPr>
      <w:bookmarkStart w:id="1144" w:name="_Toc366072524"/>
      <w:bookmarkStart w:id="1145" w:name="_Toc503785425"/>
      <w:bookmarkStart w:id="1146" w:name="_Toc349143585"/>
      <w:bookmarkStart w:id="1147" w:name="_Toc365985175"/>
      <w:bookmarkStart w:id="1148" w:name="_Toc330459981"/>
      <w:bookmarkStart w:id="1149" w:name="_Toc333237673"/>
      <w:bookmarkStart w:id="1150" w:name="_Toc350756446"/>
      <w:bookmarkStart w:id="1151" w:name="_Toc336681931"/>
      <w:bookmarkStart w:id="1152" w:name="_Toc339441083"/>
      <w:bookmarkStart w:id="1153" w:name="_Toc332206704"/>
      <w:bookmarkStart w:id="1154" w:name="_Toc336681576"/>
      <w:bookmarkStart w:id="1155" w:name="_Toc350438745"/>
      <w:bookmarkStart w:id="1156" w:name="_Toc339020229"/>
      <w:bookmarkStart w:id="1157" w:name="_Toc340677066"/>
      <w:bookmarkStart w:id="1158" w:name="_Toc340672865"/>
      <w:bookmarkStart w:id="1159" w:name="_Toc332270342"/>
      <w:bookmarkStart w:id="1160" w:name="_Toc331512894"/>
      <w:bookmarkStart w:id="1161" w:name="_Toc374454596"/>
      <w:bookmarkStart w:id="1162" w:name="_Toc341348334"/>
      <w:bookmarkStart w:id="1163" w:name="_Toc497224223"/>
      <w:bookmarkStart w:id="1164" w:name="_Toc337632354"/>
      <w:bookmarkStart w:id="1165" w:name="_Toc331684034"/>
      <w:bookmarkStart w:id="1166" w:name="_Toc342296756"/>
      <w:bookmarkStart w:id="1167" w:name="_Toc333935342"/>
      <w:bookmarkStart w:id="1168" w:name="_Toc339020011"/>
      <w:bookmarkStart w:id="1169" w:name="_Toc333238629"/>
      <w:bookmarkStart w:id="1170" w:name="_Toc365967069"/>
      <w:bookmarkStart w:id="1171" w:name="_Toc342060370"/>
      <w:bookmarkStart w:id="1172" w:name="_Toc27763"/>
      <w:bookmarkStart w:id="1173" w:name="_Toc339020091"/>
      <w:bookmarkStart w:id="1174" w:name="_Toc345513863"/>
      <w:bookmarkStart w:id="1175" w:name="_Toc340507438"/>
      <w:bookmarkStart w:id="1176" w:name="_Toc333237784"/>
      <w:bookmarkStart w:id="1177" w:name="_Toc333935683"/>
      <w:bookmarkStart w:id="1178" w:name="_Toc339362296"/>
      <w:bookmarkStart w:id="1179" w:name="_Toc339019885"/>
      <w:bookmarkStart w:id="1180" w:name="_Toc349127622"/>
      <w:r>
        <w:rPr>
          <w:rFonts w:hint="eastAsia"/>
          <w:color w:val="auto"/>
          <w:highlight w:val="none"/>
        </w:rPr>
        <w:t>对投标文件的初审和响应性的确定</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.1</w:t>
      </w:r>
      <w:r>
        <w:rPr>
          <w:rFonts w:hint="eastAsia" w:ascii="宋体"/>
          <w:bCs/>
          <w:color w:val="auto"/>
          <w:highlight w:val="none"/>
        </w:rPr>
        <w:tab/>
      </w:r>
      <w:r>
        <w:rPr>
          <w:rFonts w:hint="eastAsia" w:ascii="宋体"/>
          <w:bCs/>
          <w:color w:val="auto"/>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auto"/>
          <w:highlight w:val="none"/>
        </w:rPr>
      </w:pPr>
      <w:r>
        <w:rPr>
          <w:rFonts w:hint="eastAsia" w:ascii="宋体"/>
          <w:bCs/>
          <w:color w:val="auto"/>
          <w:highlight w:val="none"/>
        </w:rPr>
        <w:t xml:space="preserve">23.2  </w:t>
      </w:r>
      <w:r>
        <w:rPr>
          <w:rFonts w:ascii="宋体"/>
          <w:bCs/>
          <w:color w:val="auto"/>
          <w:highlight w:val="none"/>
        </w:rPr>
        <w:t xml:space="preserve"> </w:t>
      </w:r>
      <w:r>
        <w:rPr>
          <w:rFonts w:hint="eastAsia" w:ascii="宋体" w:hAnsi="宋体"/>
          <w:color w:val="auto"/>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3</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auto"/>
          <w:highlight w:val="none"/>
          <w:lang w:val="en-US" w:eastAsia="zh-CN"/>
        </w:rPr>
        <w:t>是</w:t>
      </w:r>
      <w:r>
        <w:rPr>
          <w:rFonts w:hint="eastAsia" w:ascii="宋体"/>
          <w:bCs/>
          <w:color w:val="auto"/>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4</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5</w:t>
      </w:r>
      <w:r>
        <w:rPr>
          <w:rFonts w:hint="eastAsia" w:ascii="宋体"/>
          <w:bCs/>
          <w:color w:val="auto"/>
          <w:highlight w:val="none"/>
        </w:rPr>
        <w:tab/>
      </w:r>
      <w:r>
        <w:rPr>
          <w:rFonts w:hint="eastAsia" w:ascii="宋体" w:hAnsi="宋体"/>
          <w:bCs/>
          <w:color w:val="auto"/>
          <w:highlight w:val="none"/>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资格审查结果为不合格的；</w:t>
      </w:r>
    </w:p>
    <w:p>
      <w:pPr>
        <w:numPr>
          <w:ilvl w:val="0"/>
          <w:numId w:val="30"/>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投标函</w:t>
      </w:r>
      <w:r>
        <w:rPr>
          <w:rFonts w:ascii="宋体" w:hAnsi="宋体"/>
          <w:bCs/>
          <w:color w:val="auto"/>
          <w:highlight w:val="none"/>
        </w:rPr>
        <w:t>未加盖</w:t>
      </w:r>
      <w:r>
        <w:rPr>
          <w:rFonts w:hint="eastAsia" w:ascii="宋体" w:hAnsi="宋体"/>
          <w:bCs/>
          <w:color w:val="auto"/>
          <w:highlight w:val="none"/>
        </w:rPr>
        <w:t>投标人</w:t>
      </w:r>
      <w:r>
        <w:rPr>
          <w:rFonts w:ascii="宋体" w:hAnsi="宋体"/>
          <w:bCs/>
          <w:color w:val="auto"/>
          <w:highlight w:val="none"/>
        </w:rPr>
        <w:t>公章</w:t>
      </w:r>
      <w:r>
        <w:rPr>
          <w:rFonts w:hint="eastAsia" w:ascii="宋体" w:hAnsi="宋体"/>
          <w:bCs/>
          <w:color w:val="auto"/>
          <w:highlight w:val="none"/>
        </w:rPr>
        <w:t>或</w:t>
      </w:r>
      <w:r>
        <w:rPr>
          <w:rFonts w:ascii="宋体" w:hAnsi="宋体"/>
          <w:bCs/>
          <w:color w:val="auto"/>
          <w:highlight w:val="none"/>
        </w:rPr>
        <w:t>未有法定代表人（负责人）或者被授权人签名的；</w:t>
      </w:r>
    </w:p>
    <w:p>
      <w:pPr>
        <w:numPr>
          <w:ilvl w:val="0"/>
          <w:numId w:val="30"/>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投标报价超出最高投标报价（预算价）上限的；</w:t>
      </w:r>
    </w:p>
    <w:p>
      <w:pPr>
        <w:numPr>
          <w:ilvl w:val="0"/>
          <w:numId w:val="30"/>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投标有效期不足的；</w:t>
      </w:r>
    </w:p>
    <w:p>
      <w:pPr>
        <w:numPr>
          <w:ilvl w:val="0"/>
          <w:numId w:val="30"/>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招标文件规定的其他实质性要求的；</w:t>
      </w:r>
    </w:p>
    <w:p>
      <w:pPr>
        <w:numPr>
          <w:ilvl w:val="0"/>
          <w:numId w:val="30"/>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法律、法规规定的其他废标条款。</w:t>
      </w:r>
    </w:p>
    <w:p>
      <w:pPr>
        <w:pStyle w:val="4"/>
        <w:numPr>
          <w:ilvl w:val="4"/>
          <w:numId w:val="26"/>
        </w:numPr>
        <w:tabs>
          <w:tab w:val="left" w:pos="720"/>
        </w:tabs>
        <w:spacing w:before="240" w:after="120"/>
        <w:ind w:left="2432" w:hanging="2432"/>
        <w:rPr>
          <w:color w:val="auto"/>
          <w:highlight w:val="none"/>
        </w:rPr>
      </w:pPr>
      <w:bookmarkStart w:id="1181" w:name="_Toc331512895"/>
      <w:bookmarkStart w:id="1182" w:name="_Toc337632355"/>
      <w:bookmarkStart w:id="1183" w:name="_Toc339020092"/>
      <w:bookmarkStart w:id="1184" w:name="_Toc332270343"/>
      <w:bookmarkStart w:id="1185" w:name="_Toc349143586"/>
      <w:bookmarkStart w:id="1186" w:name="_Toc333237674"/>
      <w:bookmarkStart w:id="1187" w:name="_Toc366072525"/>
      <w:bookmarkStart w:id="1188" w:name="_Toc345513864"/>
      <w:bookmarkStart w:id="1189" w:name="_Toc336681932"/>
      <w:bookmarkStart w:id="1190" w:name="_Toc341348335"/>
      <w:bookmarkStart w:id="1191" w:name="_Toc349127623"/>
      <w:bookmarkStart w:id="1192" w:name="_Toc339020230"/>
      <w:bookmarkStart w:id="1193" w:name="_Toc342296757"/>
      <w:bookmarkStart w:id="1194" w:name="_Toc365967070"/>
      <w:bookmarkStart w:id="1195" w:name="_Toc339019886"/>
      <w:bookmarkStart w:id="1196" w:name="_Toc339441084"/>
      <w:bookmarkStart w:id="1197" w:name="_Toc332206705"/>
      <w:bookmarkStart w:id="1198" w:name="_Toc374454597"/>
      <w:bookmarkStart w:id="1199" w:name="_Toc23207"/>
      <w:bookmarkStart w:id="1200" w:name="_Toc365985176"/>
      <w:bookmarkStart w:id="1201" w:name="_Toc330459982"/>
      <w:bookmarkStart w:id="1202" w:name="_Toc342060371"/>
      <w:bookmarkStart w:id="1203" w:name="_Toc339362297"/>
      <w:bookmarkStart w:id="1204" w:name="_Toc333935343"/>
      <w:bookmarkStart w:id="1205" w:name="_Toc340677067"/>
      <w:bookmarkStart w:id="1206" w:name="_Toc340507439"/>
      <w:bookmarkStart w:id="1207" w:name="_Toc333237785"/>
      <w:bookmarkStart w:id="1208" w:name="_Toc333935684"/>
      <w:bookmarkStart w:id="1209" w:name="_Toc336681577"/>
      <w:bookmarkStart w:id="1210" w:name="_Toc350756447"/>
      <w:bookmarkStart w:id="1211" w:name="_Toc331684035"/>
      <w:bookmarkStart w:id="1212" w:name="_Toc333238630"/>
      <w:bookmarkStart w:id="1213" w:name="_Toc340672866"/>
      <w:bookmarkStart w:id="1214" w:name="_Toc350438746"/>
      <w:bookmarkStart w:id="1215" w:name="_Toc339020012"/>
      <w:r>
        <w:rPr>
          <w:rFonts w:hint="eastAsia"/>
          <w:color w:val="auto"/>
          <w:highlight w:val="none"/>
        </w:rPr>
        <w:t>投标报价的审核</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pPr>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24.1</w:t>
      </w:r>
      <w:r>
        <w:rPr>
          <w:rFonts w:hint="eastAsia" w:ascii="宋体" w:hAnsi="宋体"/>
          <w:bCs/>
          <w:color w:val="auto"/>
          <w:highlight w:val="none"/>
        </w:rPr>
        <w:tab/>
      </w:r>
      <w:r>
        <w:rPr>
          <w:rFonts w:hint="eastAsia" w:ascii="宋体" w:hAnsi="宋体"/>
          <w:bCs/>
          <w:color w:val="auto"/>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auto"/>
          <w:highlight w:val="none"/>
        </w:rPr>
      </w:pPr>
      <w:r>
        <w:rPr>
          <w:rFonts w:hint="eastAsia" w:ascii="宋体" w:hAnsi="宋体"/>
          <w:bCs/>
          <w:color w:val="auto"/>
          <w:highlight w:val="none"/>
        </w:rPr>
        <w:t xml:space="preserve">24.2   </w:t>
      </w:r>
      <w:r>
        <w:rPr>
          <w:rFonts w:ascii="宋体" w:hAnsi="宋体"/>
          <w:bCs/>
          <w:color w:val="auto"/>
          <w:highlight w:val="none"/>
        </w:rPr>
        <w:t>（1）</w:t>
      </w:r>
      <w:r>
        <w:rPr>
          <w:rFonts w:hint="eastAsia" w:ascii="宋体" w:hAnsi="宋体"/>
          <w:bCs/>
          <w:color w:val="auto"/>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大写金额和小写金额不一致的，以大写金额为准;</w:t>
      </w:r>
    </w:p>
    <w:p>
      <w:pPr>
        <w:spacing w:line="360" w:lineRule="auto"/>
        <w:ind w:firstLine="735" w:firstLineChars="350"/>
        <w:jc w:val="left"/>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auto"/>
          <w:highlight w:val="none"/>
        </w:rPr>
      </w:pPr>
      <w:r>
        <w:rPr>
          <w:rFonts w:ascii="宋体" w:hAnsi="宋体"/>
          <w:bCs/>
          <w:color w:val="auto"/>
          <w:highlight w:val="none"/>
        </w:rPr>
        <w:t>（4）</w:t>
      </w:r>
      <w:r>
        <w:rPr>
          <w:rFonts w:hint="eastAsia" w:ascii="宋体" w:hAnsi="宋体"/>
          <w:bCs/>
          <w:color w:val="auto"/>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auto"/>
          <w:highlight w:val="none"/>
        </w:rPr>
      </w:pPr>
      <w:r>
        <w:rPr>
          <w:rFonts w:ascii="宋体" w:hAnsi="宋体"/>
          <w:bCs/>
          <w:color w:val="auto"/>
          <w:highlight w:val="none"/>
        </w:rPr>
        <w:t>（5）</w:t>
      </w:r>
      <w:r>
        <w:rPr>
          <w:rFonts w:hint="eastAsia" w:ascii="宋体" w:hAnsi="宋体"/>
          <w:bCs/>
          <w:color w:val="auto"/>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6"/>
        </w:numPr>
        <w:tabs>
          <w:tab w:val="left" w:pos="720"/>
        </w:tabs>
        <w:spacing w:before="240" w:after="120"/>
        <w:ind w:left="2432" w:hanging="2432"/>
        <w:rPr>
          <w:color w:val="auto"/>
          <w:highlight w:val="none"/>
        </w:rPr>
      </w:pPr>
      <w:bookmarkStart w:id="1216" w:name="_Toc339441085"/>
      <w:bookmarkStart w:id="1217" w:name="_Toc331684036"/>
      <w:bookmarkStart w:id="1218" w:name="_Toc333238631"/>
      <w:bookmarkStart w:id="1219" w:name="_Toc332206706"/>
      <w:bookmarkStart w:id="1220" w:name="_Toc350438747"/>
      <w:bookmarkStart w:id="1221" w:name="_Toc365967071"/>
      <w:bookmarkStart w:id="1222" w:name="_Toc333237675"/>
      <w:bookmarkStart w:id="1223" w:name="_Toc342296758"/>
      <w:bookmarkStart w:id="1224" w:name="_Toc333935685"/>
      <w:bookmarkStart w:id="1225" w:name="_Toc330459983"/>
      <w:bookmarkStart w:id="1226" w:name="_Toc339020013"/>
      <w:bookmarkStart w:id="1227" w:name="_Toc503785426"/>
      <w:bookmarkStart w:id="1228" w:name="_Toc28688"/>
      <w:bookmarkStart w:id="1229" w:name="_Toc337632356"/>
      <w:bookmarkStart w:id="1230" w:name="_Toc336681578"/>
      <w:bookmarkStart w:id="1231" w:name="_Toc349127624"/>
      <w:bookmarkStart w:id="1232" w:name="_Toc374454598"/>
      <w:bookmarkStart w:id="1233" w:name="_Toc336681933"/>
      <w:bookmarkStart w:id="1234" w:name="_Toc339362298"/>
      <w:bookmarkStart w:id="1235" w:name="_Toc339020231"/>
      <w:bookmarkStart w:id="1236" w:name="_Toc340677068"/>
      <w:bookmarkStart w:id="1237" w:name="_Toc342060372"/>
      <w:bookmarkStart w:id="1238" w:name="_Toc365985177"/>
      <w:bookmarkStart w:id="1239" w:name="_Toc497224224"/>
      <w:bookmarkStart w:id="1240" w:name="_Toc333935344"/>
      <w:bookmarkStart w:id="1241" w:name="_Toc345513865"/>
      <w:bookmarkStart w:id="1242" w:name="_Toc349143587"/>
      <w:bookmarkStart w:id="1243" w:name="_Toc331512896"/>
      <w:bookmarkStart w:id="1244" w:name="_Toc340672867"/>
      <w:bookmarkStart w:id="1245" w:name="_Toc340507440"/>
      <w:bookmarkStart w:id="1246" w:name="_Toc341348336"/>
      <w:bookmarkStart w:id="1247" w:name="_Toc339020093"/>
      <w:bookmarkStart w:id="1248" w:name="_Toc332270344"/>
      <w:bookmarkStart w:id="1249" w:name="_Toc333237786"/>
      <w:bookmarkStart w:id="1250" w:name="_Toc366072526"/>
      <w:bookmarkStart w:id="1251" w:name="_Toc350756448"/>
      <w:bookmarkStart w:id="1252" w:name="_Toc339019887"/>
      <w:r>
        <w:rPr>
          <w:rFonts w:hint="eastAsia"/>
          <w:color w:val="auto"/>
          <w:highlight w:val="none"/>
        </w:rPr>
        <w:t>询标及投标文件的澄清</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auto"/>
          <w:highlight w:val="none"/>
        </w:rPr>
      </w:pPr>
      <w:r>
        <w:rPr>
          <w:rFonts w:ascii="宋体"/>
          <w:color w:val="auto"/>
          <w:highlight w:val="none"/>
        </w:rPr>
        <w:t>2</w:t>
      </w:r>
      <w:r>
        <w:rPr>
          <w:rFonts w:hint="eastAsia" w:ascii="宋体"/>
          <w:color w:val="auto"/>
          <w:highlight w:val="none"/>
        </w:rPr>
        <w:t>5</w:t>
      </w:r>
      <w:r>
        <w:rPr>
          <w:rFonts w:ascii="宋体"/>
          <w:color w:val="auto"/>
          <w:highlight w:val="none"/>
        </w:rPr>
        <w:t>.2</w:t>
      </w:r>
      <w:r>
        <w:rPr>
          <w:rFonts w:hint="eastAsia" w:ascii="宋体"/>
          <w:color w:val="auto"/>
          <w:highlight w:val="none"/>
        </w:rPr>
        <w:tab/>
      </w:r>
      <w:r>
        <w:rPr>
          <w:rFonts w:hint="eastAsia" w:ascii="宋体"/>
          <w:color w:val="auto"/>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auto"/>
          <w:highlight w:val="none"/>
        </w:rPr>
      </w:pPr>
      <w:r>
        <w:rPr>
          <w:rFonts w:hint="eastAsia" w:ascii="宋体" w:hAnsi="宋体"/>
          <w:color w:val="auto"/>
          <w:highlight w:val="none"/>
        </w:rPr>
        <w:t>25.3</w:t>
      </w:r>
      <w:r>
        <w:rPr>
          <w:rFonts w:hint="eastAsia"/>
          <w:color w:val="auto"/>
          <w:highlight w:val="none"/>
        </w:rPr>
        <w:tab/>
      </w:r>
      <w:r>
        <w:rPr>
          <w:rFonts w:hint="eastAsia" w:cs="Arial Unicode MS"/>
          <w:color w:val="auto"/>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6"/>
        </w:numPr>
        <w:tabs>
          <w:tab w:val="left" w:pos="720"/>
        </w:tabs>
        <w:spacing w:before="240" w:after="120"/>
        <w:ind w:left="2432" w:hanging="2432"/>
        <w:rPr>
          <w:color w:val="auto"/>
          <w:highlight w:val="none"/>
        </w:rPr>
      </w:pPr>
      <w:bookmarkStart w:id="1253" w:name="_Toc336681934"/>
      <w:bookmarkStart w:id="1254" w:name="_Toc366072527"/>
      <w:bookmarkStart w:id="1255" w:name="_Toc339019888"/>
      <w:bookmarkStart w:id="1256" w:name="_Toc331512897"/>
      <w:bookmarkStart w:id="1257" w:name="_Toc342060373"/>
      <w:bookmarkStart w:id="1258" w:name="_Toc333238632"/>
      <w:bookmarkStart w:id="1259" w:name="_Toc339020232"/>
      <w:bookmarkStart w:id="1260" w:name="_Toc336681579"/>
      <w:bookmarkStart w:id="1261" w:name="_Toc365967072"/>
      <w:bookmarkStart w:id="1262" w:name="_Toc333935345"/>
      <w:bookmarkStart w:id="1263" w:name="_Toc339020094"/>
      <w:bookmarkStart w:id="1264" w:name="_Toc339441086"/>
      <w:bookmarkStart w:id="1265" w:name="_Toc331684037"/>
      <w:bookmarkStart w:id="1266" w:name="_Toc330459984"/>
      <w:bookmarkStart w:id="1267" w:name="_Toc350438748"/>
      <w:bookmarkStart w:id="1268" w:name="_Toc350756449"/>
      <w:bookmarkStart w:id="1269" w:name="_Toc349127625"/>
      <w:bookmarkStart w:id="1270" w:name="_Toc340672868"/>
      <w:bookmarkStart w:id="1271" w:name="_Toc332270345"/>
      <w:bookmarkStart w:id="1272" w:name="_Toc340507441"/>
      <w:bookmarkStart w:id="1273" w:name="_Toc333237676"/>
      <w:bookmarkStart w:id="1274" w:name="_Toc341348337"/>
      <w:bookmarkStart w:id="1275" w:name="_Toc333237787"/>
      <w:bookmarkStart w:id="1276" w:name="_Toc339020014"/>
      <w:bookmarkStart w:id="1277" w:name="_Toc333935686"/>
      <w:bookmarkStart w:id="1278" w:name="_Toc374454599"/>
      <w:bookmarkStart w:id="1279" w:name="_Toc342296759"/>
      <w:bookmarkStart w:id="1280" w:name="_Toc340677069"/>
      <w:bookmarkStart w:id="1281" w:name="_Toc337632357"/>
      <w:bookmarkStart w:id="1282" w:name="_Toc345513866"/>
      <w:bookmarkStart w:id="1283" w:name="_Toc332206707"/>
      <w:bookmarkStart w:id="1284" w:name="_Toc339362299"/>
      <w:bookmarkStart w:id="1285" w:name="_Toc365985178"/>
      <w:bookmarkStart w:id="1286" w:name="_Toc349143588"/>
      <w:bookmarkStart w:id="1287" w:name="_Toc30202"/>
      <w:r>
        <w:rPr>
          <w:rFonts w:hint="eastAsia"/>
          <w:color w:val="auto"/>
          <w:highlight w:val="none"/>
        </w:rPr>
        <w:t>评标原则</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pPr>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26.2</w:t>
      </w:r>
      <w:r>
        <w:rPr>
          <w:rFonts w:hint="eastAsia" w:ascii="宋体"/>
          <w:bCs/>
          <w:color w:val="auto"/>
          <w:highlight w:val="none"/>
        </w:rPr>
        <w:tab/>
      </w:r>
      <w:r>
        <w:rPr>
          <w:rFonts w:hint="eastAsia" w:ascii="宋体"/>
          <w:bCs/>
          <w:color w:val="auto"/>
          <w:highlight w:val="none"/>
        </w:rPr>
        <w:t>坚持公平、公正、科学和择优原则。</w:t>
      </w:r>
    </w:p>
    <w:p>
      <w:pPr>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26.3</w:t>
      </w:r>
      <w:r>
        <w:rPr>
          <w:rFonts w:hint="eastAsia" w:ascii="宋体"/>
          <w:bCs/>
          <w:color w:val="auto"/>
          <w:highlight w:val="none"/>
        </w:rPr>
        <w:tab/>
      </w:r>
      <w:r>
        <w:rPr>
          <w:rFonts w:hint="eastAsia" w:ascii="宋体"/>
          <w:bCs/>
          <w:color w:val="auto"/>
          <w:highlight w:val="none"/>
        </w:rPr>
        <w:t>实行科学评估、集体决策。</w:t>
      </w:r>
    </w:p>
    <w:p>
      <w:pPr>
        <w:pStyle w:val="4"/>
        <w:numPr>
          <w:ilvl w:val="4"/>
          <w:numId w:val="26"/>
        </w:numPr>
        <w:tabs>
          <w:tab w:val="left" w:pos="720"/>
        </w:tabs>
        <w:spacing w:before="240" w:after="120"/>
        <w:ind w:left="2432" w:hanging="2432"/>
        <w:rPr>
          <w:color w:val="auto"/>
          <w:highlight w:val="none"/>
        </w:rPr>
      </w:pPr>
      <w:bookmarkStart w:id="1288" w:name="_Toc332206708"/>
      <w:bookmarkStart w:id="1289" w:name="_Toc333237788"/>
      <w:bookmarkStart w:id="1290" w:name="_Toc350756450"/>
      <w:bookmarkStart w:id="1291" w:name="_Toc340507442"/>
      <w:bookmarkStart w:id="1292" w:name="_Toc333935346"/>
      <w:bookmarkStart w:id="1293" w:name="_Toc349143589"/>
      <w:bookmarkStart w:id="1294" w:name="_Toc333237677"/>
      <w:bookmarkStart w:id="1295" w:name="_Toc339020233"/>
      <w:bookmarkStart w:id="1296" w:name="_Toc336681580"/>
      <w:bookmarkStart w:id="1297" w:name="_Toc350438749"/>
      <w:bookmarkStart w:id="1298" w:name="_Toc349127626"/>
      <w:bookmarkStart w:id="1299" w:name="_Toc342060374"/>
      <w:bookmarkStart w:id="1300" w:name="_Toc330459985"/>
      <w:bookmarkStart w:id="1301" w:name="_Toc365967073"/>
      <w:bookmarkStart w:id="1302" w:name="_Toc339019889"/>
      <w:bookmarkStart w:id="1303" w:name="_Toc333935687"/>
      <w:bookmarkStart w:id="1304" w:name="_Toc374454600"/>
      <w:bookmarkStart w:id="1305" w:name="_Toc337632358"/>
      <w:bookmarkStart w:id="1306" w:name="_Toc332270346"/>
      <w:bookmarkStart w:id="1307" w:name="_Toc339362300"/>
      <w:bookmarkStart w:id="1308" w:name="_Toc342296760"/>
      <w:bookmarkStart w:id="1309" w:name="_Toc331512898"/>
      <w:bookmarkStart w:id="1310" w:name="_Toc331684038"/>
      <w:bookmarkStart w:id="1311" w:name="_Toc333238633"/>
      <w:bookmarkStart w:id="1312" w:name="_Toc345513867"/>
      <w:bookmarkStart w:id="1313" w:name="_Toc340677070"/>
      <w:bookmarkStart w:id="1314" w:name="_Toc336681935"/>
      <w:bookmarkStart w:id="1315" w:name="_Toc339020015"/>
      <w:bookmarkStart w:id="1316" w:name="_Toc340672869"/>
      <w:bookmarkStart w:id="1317" w:name="_Toc7997"/>
      <w:bookmarkStart w:id="1318" w:name="_Toc366072528"/>
      <w:bookmarkStart w:id="1319" w:name="_Toc341348338"/>
      <w:bookmarkStart w:id="1320" w:name="_Toc339020095"/>
      <w:bookmarkStart w:id="1321" w:name="_Toc365985179"/>
      <w:bookmarkStart w:id="1322" w:name="_Toc339441087"/>
      <w:r>
        <w:rPr>
          <w:rFonts w:hint="eastAsia"/>
          <w:color w:val="auto"/>
          <w:highlight w:val="none"/>
        </w:rPr>
        <w:t>评标标准和办法</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pPr>
        <w:pStyle w:val="24"/>
        <w:tabs>
          <w:tab w:val="left" w:pos="753"/>
        </w:tabs>
        <w:adjustRightInd w:val="0"/>
        <w:snapToGrid w:val="0"/>
        <w:spacing w:line="360" w:lineRule="auto"/>
        <w:ind w:left="751" w:leftChars="1" w:hanging="749" w:hangingChars="357"/>
        <w:rPr>
          <w:rFonts w:hAnsi="宋体"/>
          <w:bCs/>
          <w:color w:val="auto"/>
          <w:highlight w:val="none"/>
        </w:rPr>
      </w:pPr>
      <w:r>
        <w:rPr>
          <w:rFonts w:hint="eastAsia" w:hAnsi="宋体"/>
          <w:bCs/>
          <w:color w:val="auto"/>
          <w:highlight w:val="none"/>
        </w:rPr>
        <w:t>27.1</w:t>
      </w:r>
      <w:r>
        <w:rPr>
          <w:rFonts w:hint="eastAsia" w:hAnsi="宋体"/>
          <w:bCs/>
          <w:color w:val="auto"/>
          <w:highlight w:val="none"/>
        </w:rPr>
        <w:tab/>
      </w:r>
      <w:r>
        <w:rPr>
          <w:rFonts w:hint="eastAsia" w:hAnsi="宋体"/>
          <w:bCs/>
          <w:color w:val="auto"/>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auto"/>
          <w:highlight w:val="none"/>
        </w:rPr>
      </w:pPr>
      <w:r>
        <w:rPr>
          <w:rFonts w:hint="eastAsia" w:hAnsi="宋体"/>
          <w:bCs/>
          <w:color w:val="auto"/>
          <w:highlight w:val="none"/>
        </w:rPr>
        <w:t>27</w:t>
      </w:r>
      <w:r>
        <w:rPr>
          <w:rFonts w:hAnsi="宋体"/>
          <w:bCs/>
          <w:color w:val="auto"/>
          <w:highlight w:val="none"/>
        </w:rPr>
        <w:t>.2</w:t>
      </w:r>
      <w:r>
        <w:rPr>
          <w:rFonts w:hint="eastAsia" w:hAnsi="宋体"/>
          <w:bCs/>
          <w:color w:val="auto"/>
          <w:highlight w:val="none"/>
        </w:rPr>
        <w:tab/>
      </w:r>
      <w:bookmarkStart w:id="1323" w:name="_Toc500953375"/>
      <w:bookmarkStart w:id="1324" w:name="_Toc497707712"/>
      <w:bookmarkStart w:id="1325" w:name="_Toc500861023"/>
      <w:r>
        <w:rPr>
          <w:rFonts w:hint="eastAsia" w:hAnsi="宋体"/>
          <w:bCs/>
          <w:color w:val="auto"/>
          <w:highlight w:val="none"/>
        </w:rPr>
        <w:t>采用计分法（综合评价法）来确定各投标人的排名。其操作程序为：</w:t>
      </w:r>
      <w:r>
        <w:rPr>
          <w:rFonts w:hint="eastAsia" w:hAnsi="宋体"/>
          <w:b/>
          <w:color w:val="auto"/>
          <w:highlight w:val="none"/>
        </w:rPr>
        <w:t>详见H评标细则。</w:t>
      </w:r>
    </w:p>
    <w:p>
      <w:pPr>
        <w:pStyle w:val="4"/>
        <w:numPr>
          <w:ilvl w:val="4"/>
          <w:numId w:val="26"/>
        </w:numPr>
        <w:tabs>
          <w:tab w:val="left" w:pos="720"/>
        </w:tabs>
        <w:spacing w:before="240" w:after="120"/>
        <w:ind w:left="2432" w:hanging="2432"/>
        <w:rPr>
          <w:color w:val="auto"/>
          <w:highlight w:val="none"/>
        </w:rPr>
      </w:pPr>
      <w:bookmarkStart w:id="1326" w:name="_Toc327368025"/>
      <w:bookmarkStart w:id="1327" w:name="_Toc327367761"/>
      <w:bookmarkStart w:id="1328" w:name="_Toc366072529"/>
      <w:bookmarkStart w:id="1329" w:name="_Toc2591"/>
      <w:bookmarkStart w:id="1330" w:name="_Toc339441088"/>
      <w:bookmarkStart w:id="1331" w:name="_Toc342296761"/>
      <w:bookmarkStart w:id="1332" w:name="_Toc336681936"/>
      <w:bookmarkStart w:id="1333" w:name="_Toc337632359"/>
      <w:bookmarkStart w:id="1334" w:name="_Toc333237678"/>
      <w:bookmarkStart w:id="1335" w:name="_Toc339020234"/>
      <w:bookmarkStart w:id="1336" w:name="_Toc331512899"/>
      <w:bookmarkStart w:id="1337" w:name="_Toc342060375"/>
      <w:bookmarkStart w:id="1338" w:name="_Toc333238634"/>
      <w:bookmarkStart w:id="1339" w:name="_Toc341348339"/>
      <w:bookmarkStart w:id="1340" w:name="_Toc339362301"/>
      <w:bookmarkStart w:id="1341" w:name="_Toc339019890"/>
      <w:bookmarkStart w:id="1342" w:name="_Toc333935688"/>
      <w:bookmarkStart w:id="1343" w:name="_Toc336681581"/>
      <w:bookmarkStart w:id="1344" w:name="_Toc330459986"/>
      <w:bookmarkStart w:id="1345" w:name="_Toc340672870"/>
      <w:bookmarkStart w:id="1346" w:name="_Toc339020016"/>
      <w:bookmarkStart w:id="1347" w:name="_Toc333935347"/>
      <w:bookmarkStart w:id="1348" w:name="_Toc332206709"/>
      <w:bookmarkStart w:id="1349" w:name="_Toc339020096"/>
      <w:bookmarkStart w:id="1350" w:name="_Toc340677071"/>
      <w:bookmarkStart w:id="1351" w:name="_Toc340507443"/>
      <w:bookmarkStart w:id="1352" w:name="_Toc333237789"/>
      <w:bookmarkStart w:id="1353" w:name="_Toc345513902"/>
      <w:bookmarkStart w:id="1354" w:name="_Toc331684039"/>
      <w:bookmarkStart w:id="1355" w:name="_Toc332270347"/>
      <w:r>
        <w:rPr>
          <w:rFonts w:hint="eastAsia"/>
          <w:color w:val="auto"/>
          <w:highlight w:val="none"/>
        </w:rPr>
        <w:t>评标注意事项</w:t>
      </w:r>
      <w:bookmarkEnd w:id="1326"/>
      <w:bookmarkEnd w:id="1327"/>
      <w:bookmarkEnd w:id="1328"/>
      <w:bookmarkEnd w:id="1329"/>
    </w:p>
    <w:bookmarkEnd w:id="35"/>
    <w:bookmarkEnd w:id="1323"/>
    <w:bookmarkEnd w:id="1324"/>
    <w:bookmarkEnd w:id="1325"/>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Pr>
        <w:widowControl/>
        <w:tabs>
          <w:tab w:val="left" w:pos="753"/>
        </w:tabs>
        <w:adjustRightInd w:val="0"/>
        <w:snapToGrid w:val="0"/>
        <w:spacing w:line="360" w:lineRule="auto"/>
        <w:ind w:left="752" w:hanging="751" w:hangingChars="358"/>
        <w:rPr>
          <w:rFonts w:ascii="宋体" w:hAnsi="宋体"/>
          <w:bCs/>
          <w:color w:val="auto"/>
          <w:highlight w:val="none"/>
        </w:rPr>
      </w:pPr>
      <w:bookmarkStart w:id="1356" w:name="_Toc26066260"/>
      <w:bookmarkStart w:id="1357" w:name="_Toc500861027"/>
      <w:bookmarkStart w:id="1358" w:name="_Toc6727972"/>
      <w:bookmarkStart w:id="1359" w:name="_Toc491658680"/>
      <w:bookmarkStart w:id="1360" w:name="_Toc6397151"/>
      <w:r>
        <w:rPr>
          <w:rFonts w:hint="eastAsia" w:ascii="宋体" w:hAnsi="宋体"/>
          <w:bCs/>
          <w:color w:val="auto"/>
          <w:highlight w:val="none"/>
        </w:rPr>
        <w:t>28.1</w:t>
      </w:r>
      <w:r>
        <w:rPr>
          <w:rFonts w:hint="eastAsia" w:ascii="宋体" w:hAnsi="宋体"/>
          <w:bCs/>
          <w:color w:val="auto"/>
          <w:highlight w:val="none"/>
        </w:rPr>
        <w:tab/>
      </w:r>
      <w:r>
        <w:rPr>
          <w:rFonts w:hint="eastAsia" w:ascii="宋体" w:hAnsi="宋体"/>
          <w:bCs/>
          <w:color w:val="auto"/>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28.2</w:t>
      </w:r>
      <w:r>
        <w:rPr>
          <w:rFonts w:hint="eastAsia" w:ascii="宋体" w:hAnsi="宋体"/>
          <w:bCs/>
          <w:color w:val="auto"/>
          <w:highlight w:val="none"/>
        </w:rPr>
        <w:tab/>
      </w:r>
      <w:r>
        <w:rPr>
          <w:rFonts w:hint="eastAsia" w:ascii="宋体" w:hAnsi="宋体"/>
          <w:bCs/>
          <w:color w:val="auto"/>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28.3</w:t>
      </w:r>
      <w:r>
        <w:rPr>
          <w:rFonts w:hint="eastAsia" w:ascii="宋体" w:hAnsi="宋体"/>
          <w:bCs/>
          <w:color w:val="auto"/>
          <w:highlight w:val="none"/>
        </w:rPr>
        <w:tab/>
      </w:r>
      <w:r>
        <w:rPr>
          <w:rFonts w:hint="eastAsia" w:ascii="宋体" w:hAnsi="宋体"/>
          <w:bCs/>
          <w:color w:val="auto"/>
          <w:highlight w:val="none"/>
        </w:rPr>
        <w:t>在招标工作结束后，评标委员会成员和参与评标的有关工作人员不得透露与评标有关的情况。</w:t>
      </w:r>
    </w:p>
    <w:p>
      <w:pPr>
        <w:pStyle w:val="4"/>
        <w:numPr>
          <w:ilvl w:val="4"/>
          <w:numId w:val="26"/>
        </w:numPr>
        <w:tabs>
          <w:tab w:val="left" w:pos="720"/>
        </w:tabs>
        <w:spacing w:before="240" w:after="120"/>
        <w:ind w:left="2432" w:hanging="2432"/>
        <w:rPr>
          <w:color w:val="auto"/>
          <w:highlight w:val="none"/>
        </w:rPr>
      </w:pPr>
      <w:bookmarkStart w:id="1361" w:name="_Toc336681937"/>
      <w:bookmarkStart w:id="1362" w:name="_Toc342060376"/>
      <w:bookmarkStart w:id="1363" w:name="_Toc340507444"/>
      <w:bookmarkStart w:id="1364" w:name="_Toc333935689"/>
      <w:bookmarkStart w:id="1365" w:name="_Toc365985180"/>
      <w:bookmarkStart w:id="1366" w:name="_Toc350756452"/>
      <w:bookmarkStart w:id="1367" w:name="_Toc339020235"/>
      <w:bookmarkStart w:id="1368" w:name="_Toc339019891"/>
      <w:bookmarkStart w:id="1369" w:name="_Toc341348340"/>
      <w:bookmarkStart w:id="1370" w:name="_Toc332206710"/>
      <w:bookmarkStart w:id="1371" w:name="_Toc331512900"/>
      <w:bookmarkStart w:id="1372" w:name="_Toc333237790"/>
      <w:bookmarkStart w:id="1373" w:name="_Toc339441089"/>
      <w:bookmarkStart w:id="1374" w:name="_Toc342296762"/>
      <w:bookmarkStart w:id="1375" w:name="_Toc331684040"/>
      <w:bookmarkStart w:id="1376" w:name="_Toc339020017"/>
      <w:bookmarkStart w:id="1377" w:name="_Toc339362302"/>
      <w:bookmarkStart w:id="1378" w:name="_Toc366072530"/>
      <w:bookmarkStart w:id="1379" w:name="_Toc339020097"/>
      <w:bookmarkStart w:id="1380" w:name="_Toc374454602"/>
      <w:bookmarkStart w:id="1381" w:name="_Toc333238635"/>
      <w:bookmarkStart w:id="1382" w:name="_Toc337632360"/>
      <w:bookmarkStart w:id="1383" w:name="_Toc345513903"/>
      <w:bookmarkStart w:id="1384" w:name="_Toc349143591"/>
      <w:bookmarkStart w:id="1385" w:name="_Toc336681582"/>
      <w:bookmarkStart w:id="1386" w:name="_Toc333237679"/>
      <w:bookmarkStart w:id="1387" w:name="_Toc330459987"/>
      <w:bookmarkStart w:id="1388" w:name="_Toc333935348"/>
      <w:bookmarkStart w:id="1389" w:name="_Toc349127628"/>
      <w:bookmarkStart w:id="1390" w:name="_Toc365967074"/>
      <w:bookmarkStart w:id="1391" w:name="_Toc340672871"/>
      <w:bookmarkStart w:id="1392" w:name="_Toc340677072"/>
      <w:bookmarkStart w:id="1393" w:name="_Toc3691"/>
      <w:bookmarkStart w:id="1394" w:name="_Toc332270348"/>
      <w:bookmarkStart w:id="1395" w:name="_Toc350438751"/>
      <w:r>
        <w:rPr>
          <w:rFonts w:hint="eastAsia"/>
          <w:color w:val="auto"/>
          <w:highlight w:val="none"/>
        </w:rPr>
        <w:t>接受和拒绝投标的权利</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29</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29.2</w:t>
      </w:r>
      <w:r>
        <w:rPr>
          <w:rFonts w:hint="eastAsia" w:ascii="宋体" w:hAnsi="宋体"/>
          <w:bCs/>
          <w:color w:val="auto"/>
          <w:highlight w:val="none"/>
        </w:rPr>
        <w:tab/>
      </w:r>
      <w:r>
        <w:rPr>
          <w:rFonts w:hint="eastAsia" w:ascii="宋体" w:hAnsi="宋体"/>
          <w:bCs/>
          <w:color w:val="auto"/>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6"/>
        </w:numPr>
        <w:tabs>
          <w:tab w:val="left" w:pos="720"/>
        </w:tabs>
        <w:spacing w:before="240" w:after="120"/>
        <w:ind w:left="2432" w:hanging="2432"/>
        <w:rPr>
          <w:color w:val="auto"/>
          <w:highlight w:val="none"/>
        </w:rPr>
      </w:pPr>
      <w:bookmarkStart w:id="1396" w:name="_Toc366072531"/>
      <w:bookmarkStart w:id="1397" w:name="_Toc374454603"/>
      <w:bookmarkStart w:id="1398" w:name="_Toc2014"/>
      <w:r>
        <w:rPr>
          <w:rFonts w:hint="eastAsia"/>
          <w:color w:val="auto"/>
          <w:highlight w:val="none"/>
        </w:rPr>
        <w:t>发布中标结果公告和发放中标通知书</w:t>
      </w:r>
      <w:bookmarkEnd w:id="1396"/>
      <w:bookmarkEnd w:id="1397"/>
      <w:bookmarkEnd w:id="1398"/>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bookmarkStart w:id="1399" w:name="_Toc366072532"/>
      <w:r>
        <w:rPr>
          <w:rFonts w:hint="eastAsia" w:ascii="宋体" w:hAnsi="宋体"/>
          <w:color w:val="auto"/>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30.2   中标投标人确认后，中标结果</w:t>
      </w:r>
      <w:bookmarkStart w:id="1400" w:name="_Hlk499218799"/>
      <w:r>
        <w:rPr>
          <w:rFonts w:hint="eastAsia" w:ascii="宋体" w:hAnsi="宋体"/>
          <w:color w:val="auto"/>
          <w:szCs w:val="21"/>
          <w:highlight w:val="none"/>
        </w:rPr>
        <w:t>将于指定媒体上公告</w:t>
      </w:r>
      <w:bookmarkEnd w:id="1400"/>
      <w:r>
        <w:rPr>
          <w:rFonts w:hint="eastAsia" w:ascii="宋体" w:hAnsi="宋体"/>
          <w:color w:val="auto"/>
          <w:szCs w:val="21"/>
          <w:highlight w:val="none"/>
        </w:rPr>
        <w:t>(</w:t>
      </w:r>
      <w:r>
        <w:rPr>
          <w:rFonts w:hint="eastAsia" w:ascii="黑体" w:eastAsia="黑体"/>
          <w:bCs/>
          <w:color w:val="auto"/>
          <w:highlight w:val="none"/>
        </w:rPr>
        <w:t>详见第三</w:t>
      </w:r>
      <w:r>
        <w:rPr>
          <w:rFonts w:hint="eastAsia" w:ascii="黑体" w:eastAsia="黑体"/>
          <w:bCs/>
          <w:color w:val="auto"/>
          <w:highlight w:val="none"/>
          <w:lang w:eastAsia="zh-CN"/>
        </w:rPr>
        <w:t>部分</w:t>
      </w:r>
      <w:r>
        <w:rPr>
          <w:rFonts w:hint="eastAsia" w:ascii="黑体" w:eastAsia="黑体"/>
          <w:bCs/>
          <w:color w:val="auto"/>
          <w:highlight w:val="none"/>
        </w:rPr>
        <w:t>《投标人须知〈投标人须知前附表〉》</w:t>
      </w:r>
      <w:r>
        <w:rPr>
          <w:rFonts w:hint="eastAsia" w:ascii="宋体" w:hAnsi="宋体"/>
          <w:color w:val="auto"/>
          <w:highlight w:val="none"/>
        </w:rPr>
        <w:t>)</w:t>
      </w:r>
      <w:r>
        <w:rPr>
          <w:rFonts w:hint="eastAsia" w:ascii="宋体" w:hAnsi="宋体"/>
          <w:color w:val="auto"/>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30.4   中标通知书发出后，采购人改变中标结果，或者中标投标人放弃中标，应当承担相应的法律责任。</w:t>
      </w:r>
    </w:p>
    <w:p>
      <w:pPr>
        <w:pStyle w:val="4"/>
        <w:numPr>
          <w:ilvl w:val="4"/>
          <w:numId w:val="26"/>
        </w:numPr>
        <w:tabs>
          <w:tab w:val="left" w:pos="720"/>
        </w:tabs>
        <w:spacing w:before="240" w:after="120"/>
        <w:ind w:left="2432" w:hanging="2432"/>
        <w:rPr>
          <w:color w:val="auto"/>
          <w:highlight w:val="none"/>
        </w:rPr>
      </w:pPr>
      <w:bookmarkStart w:id="1401" w:name="_Toc374454604"/>
      <w:bookmarkStart w:id="1402" w:name="_Toc18677"/>
      <w:r>
        <w:rPr>
          <w:rFonts w:hint="eastAsia"/>
          <w:color w:val="auto"/>
          <w:highlight w:val="none"/>
        </w:rPr>
        <w:t>投标人对中标结果的质疑、投诉</w:t>
      </w:r>
      <w:bookmarkEnd w:id="1399"/>
      <w:bookmarkEnd w:id="1401"/>
      <w:bookmarkEnd w:id="1402"/>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bookmarkStart w:id="1403" w:name="_Toc339020238"/>
      <w:bookmarkStart w:id="1404" w:name="_Toc340507447"/>
      <w:bookmarkStart w:id="1405" w:name="_Toc345513906"/>
      <w:bookmarkStart w:id="1406" w:name="_Toc350438754"/>
      <w:bookmarkStart w:id="1407" w:name="_Toc330459990"/>
      <w:bookmarkStart w:id="1408" w:name="_Toc341348343"/>
      <w:bookmarkStart w:id="1409" w:name="_Toc365967077"/>
      <w:bookmarkStart w:id="1410" w:name="_Toc333237793"/>
      <w:bookmarkStart w:id="1411" w:name="_Toc332206713"/>
      <w:bookmarkStart w:id="1412" w:name="_Toc342296765"/>
      <w:bookmarkStart w:id="1413" w:name="_Toc340672874"/>
      <w:bookmarkStart w:id="1414" w:name="_Toc350756455"/>
      <w:bookmarkStart w:id="1415" w:name="_Toc340677075"/>
      <w:bookmarkStart w:id="1416" w:name="_Toc349143594"/>
      <w:bookmarkStart w:id="1417" w:name="_Toc339441092"/>
      <w:bookmarkStart w:id="1418" w:name="_Toc365985183"/>
      <w:bookmarkStart w:id="1419" w:name="_Toc333237682"/>
      <w:bookmarkStart w:id="1420" w:name="_Toc333238638"/>
      <w:bookmarkStart w:id="1421" w:name="_Toc339362305"/>
      <w:bookmarkStart w:id="1422" w:name="_Toc339020100"/>
      <w:bookmarkStart w:id="1423" w:name="_Toc336681940"/>
      <w:bookmarkStart w:id="1424" w:name="_Toc332270351"/>
      <w:bookmarkStart w:id="1425" w:name="_Toc342060379"/>
      <w:bookmarkStart w:id="1426" w:name="_Toc331684043"/>
      <w:bookmarkStart w:id="1427" w:name="_Toc349127631"/>
      <w:bookmarkStart w:id="1428" w:name="_Toc333935692"/>
      <w:bookmarkStart w:id="1429" w:name="_Toc336681585"/>
      <w:bookmarkStart w:id="1430" w:name="_Toc339019894"/>
      <w:bookmarkStart w:id="1431" w:name="_Toc337632363"/>
      <w:bookmarkStart w:id="1432" w:name="_Toc331512903"/>
      <w:bookmarkStart w:id="1433" w:name="_Toc339020020"/>
      <w:bookmarkStart w:id="1434" w:name="_Toc333935351"/>
      <w:r>
        <w:rPr>
          <w:rFonts w:hint="eastAsia" w:ascii="宋体" w:hAnsi="宋体"/>
          <w:color w:val="auto"/>
          <w:szCs w:val="21"/>
          <w:highlight w:val="none"/>
        </w:rPr>
        <w:t>31.1</w:t>
      </w:r>
      <w:r>
        <w:rPr>
          <w:rFonts w:hint="eastAsia" w:ascii="宋体" w:hAnsi="宋体"/>
          <w:color w:val="auto"/>
          <w:szCs w:val="21"/>
          <w:highlight w:val="none"/>
        </w:rPr>
        <w:tab/>
      </w:r>
      <w:r>
        <w:rPr>
          <w:rFonts w:hint="eastAsia" w:ascii="宋体" w:hAnsi="宋体"/>
          <w:color w:val="auto"/>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auto"/>
          <w:sz w:val="24"/>
          <w:highlight w:val="none"/>
        </w:rPr>
      </w:pPr>
      <w:bookmarkStart w:id="1435" w:name="_Toc374454605"/>
      <w:bookmarkStart w:id="1436" w:name="_Toc366072533"/>
      <w:r>
        <w:rPr>
          <w:color w:val="auto"/>
          <w:sz w:val="24"/>
          <w:highlight w:val="none"/>
        </w:rPr>
        <w:br w:type="page"/>
      </w:r>
      <w:bookmarkStart w:id="1437" w:name="_Toc31759"/>
      <w:r>
        <w:rPr>
          <w:rFonts w:hint="eastAsia"/>
          <w:color w:val="auto"/>
          <w:sz w:val="24"/>
          <w:highlight w:val="none"/>
        </w:rPr>
        <w:t>Ｆ  授予合同</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pPr>
        <w:pStyle w:val="4"/>
        <w:numPr>
          <w:ilvl w:val="4"/>
          <w:numId w:val="26"/>
        </w:numPr>
        <w:tabs>
          <w:tab w:val="left" w:pos="720"/>
        </w:tabs>
        <w:spacing w:before="240" w:after="120"/>
        <w:ind w:left="2432" w:hanging="2432"/>
        <w:rPr>
          <w:color w:val="auto"/>
          <w:highlight w:val="none"/>
        </w:rPr>
      </w:pPr>
      <w:bookmarkStart w:id="1438" w:name="_Toc337632364"/>
      <w:bookmarkStart w:id="1439" w:name="_Toc365985184"/>
      <w:bookmarkStart w:id="1440" w:name="_Toc330459991"/>
      <w:bookmarkStart w:id="1441" w:name="_Toc500861016"/>
      <w:bookmarkStart w:id="1442" w:name="_Toc332270352"/>
      <w:bookmarkStart w:id="1443" w:name="_Toc467236759"/>
      <w:bookmarkStart w:id="1444" w:name="_Toc342060380"/>
      <w:bookmarkStart w:id="1445" w:name="_Toc365967078"/>
      <w:bookmarkStart w:id="1446" w:name="_Toc339441093"/>
      <w:bookmarkStart w:id="1447" w:name="_Toc342296766"/>
      <w:bookmarkStart w:id="1448" w:name="_Toc333237683"/>
      <w:bookmarkStart w:id="1449" w:name="_Toc350438755"/>
      <w:bookmarkStart w:id="1450" w:name="_Toc340507448"/>
      <w:bookmarkStart w:id="1451" w:name="_Toc340677076"/>
      <w:bookmarkStart w:id="1452" w:name="_Toc374454606"/>
      <w:bookmarkStart w:id="1453" w:name="_Toc341348344"/>
      <w:bookmarkStart w:id="1454" w:name="_Toc480010727"/>
      <w:bookmarkStart w:id="1455" w:name="_Toc339362306"/>
      <w:bookmarkStart w:id="1456" w:name="_Toc336681941"/>
      <w:bookmarkStart w:id="1457" w:name="_Toc349127632"/>
      <w:bookmarkStart w:id="1458" w:name="_Toc350756456"/>
      <w:bookmarkStart w:id="1459" w:name="_Toc479991601"/>
      <w:bookmarkStart w:id="1460" w:name="_Toc366072534"/>
      <w:bookmarkStart w:id="1461" w:name="_Toc336681586"/>
      <w:bookmarkStart w:id="1462" w:name="_Toc345513907"/>
      <w:bookmarkStart w:id="1463" w:name="_Toc17295"/>
      <w:bookmarkStart w:id="1464" w:name="_Toc339020239"/>
      <w:bookmarkStart w:id="1465" w:name="_Toc339020101"/>
      <w:bookmarkStart w:id="1466" w:name="_Toc339020021"/>
      <w:bookmarkStart w:id="1467" w:name="_Toc491658670"/>
      <w:bookmarkStart w:id="1468" w:name="_Toc467987842"/>
      <w:bookmarkStart w:id="1469" w:name="_Toc468157555"/>
      <w:bookmarkStart w:id="1470" w:name="_Toc480021072"/>
      <w:bookmarkStart w:id="1471" w:name="_Toc339019895"/>
      <w:bookmarkStart w:id="1472" w:name="_Toc349143595"/>
      <w:bookmarkStart w:id="1473" w:name="_Toc480020276"/>
      <w:bookmarkStart w:id="1474" w:name="_Toc331684044"/>
      <w:bookmarkStart w:id="1475" w:name="_Toc332206714"/>
      <w:bookmarkStart w:id="1476" w:name="_Toc333238639"/>
      <w:bookmarkStart w:id="1477" w:name="_Toc468606048"/>
      <w:bookmarkStart w:id="1478" w:name="_Toc333935693"/>
      <w:bookmarkStart w:id="1479" w:name="_Toc333935352"/>
      <w:bookmarkStart w:id="1480" w:name="_Toc333237794"/>
      <w:bookmarkStart w:id="1481" w:name="_Toc331512904"/>
      <w:bookmarkStart w:id="1482" w:name="_Toc340672875"/>
      <w:bookmarkStart w:id="1483" w:name="_Toc458262633"/>
      <w:bookmarkStart w:id="1484" w:name="_Toc454701400"/>
      <w:r>
        <w:rPr>
          <w:rFonts w:hint="eastAsia"/>
          <w:color w:val="auto"/>
          <w:highlight w:val="none"/>
        </w:rPr>
        <w:t>合同授予标准</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p>
      <w:pPr>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2</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按第30条规定，采购人将把合同授予此次招标的中标投标人。</w:t>
      </w:r>
    </w:p>
    <w:bookmarkEnd w:id="1483"/>
    <w:bookmarkEnd w:id="1484"/>
    <w:p>
      <w:pPr>
        <w:pStyle w:val="4"/>
        <w:numPr>
          <w:ilvl w:val="4"/>
          <w:numId w:val="26"/>
        </w:numPr>
        <w:tabs>
          <w:tab w:val="left" w:pos="720"/>
        </w:tabs>
        <w:spacing w:before="240" w:after="120"/>
        <w:ind w:left="2432" w:hanging="2432"/>
        <w:rPr>
          <w:color w:val="auto"/>
          <w:highlight w:val="none"/>
        </w:rPr>
      </w:pPr>
      <w:bookmarkStart w:id="1485" w:name="_Toc374454607"/>
      <w:bookmarkStart w:id="1486" w:name="_Toc333935353"/>
      <w:bookmarkStart w:id="1487" w:name="_Toc479991605"/>
      <w:bookmarkStart w:id="1488" w:name="_Toc339020240"/>
      <w:bookmarkStart w:id="1489" w:name="_Toc454701402"/>
      <w:bookmarkStart w:id="1490" w:name="_Toc350756457"/>
      <w:bookmarkStart w:id="1491" w:name="_Toc339019896"/>
      <w:bookmarkStart w:id="1492" w:name="_Toc342296767"/>
      <w:bookmarkStart w:id="1493" w:name="_Toc468606052"/>
      <w:bookmarkStart w:id="1494" w:name="_Toc349143596"/>
      <w:bookmarkStart w:id="1495" w:name="_Toc331684045"/>
      <w:bookmarkStart w:id="1496" w:name="_Toc480020280"/>
      <w:bookmarkStart w:id="1497" w:name="_Toc468157559"/>
      <w:bookmarkStart w:id="1498" w:name="_Toc365985185"/>
      <w:bookmarkStart w:id="1499" w:name="_Toc336681587"/>
      <w:bookmarkStart w:id="1500" w:name="_Toc340677077"/>
      <w:bookmarkStart w:id="1501" w:name="_Toc480010731"/>
      <w:bookmarkStart w:id="1502" w:name="_Toc339362307"/>
      <w:bookmarkStart w:id="1503" w:name="_Toc339020022"/>
      <w:bookmarkStart w:id="1504" w:name="_Toc337632365"/>
      <w:bookmarkStart w:id="1505" w:name="_Toc467987846"/>
      <w:bookmarkStart w:id="1506" w:name="_Toc339020102"/>
      <w:bookmarkStart w:id="1507" w:name="_Toc345513908"/>
      <w:bookmarkStart w:id="1508" w:name="_Toc336681942"/>
      <w:bookmarkStart w:id="1509" w:name="_Toc333238640"/>
      <w:bookmarkStart w:id="1510" w:name="_Toc339441094"/>
      <w:bookmarkStart w:id="1511" w:name="_Toc331512905"/>
      <w:bookmarkStart w:id="1512" w:name="_Toc333237795"/>
      <w:bookmarkStart w:id="1513" w:name="_Toc350438756"/>
      <w:bookmarkStart w:id="1514" w:name="_Toc341348345"/>
      <w:bookmarkStart w:id="1515" w:name="_Toc491658674"/>
      <w:bookmarkStart w:id="1516" w:name="_Toc366072535"/>
      <w:bookmarkStart w:id="1517" w:name="_Toc349127633"/>
      <w:bookmarkStart w:id="1518" w:name="_Toc330459992"/>
      <w:bookmarkStart w:id="1519" w:name="_Toc332206715"/>
      <w:bookmarkStart w:id="1520" w:name="_Toc365967079"/>
      <w:bookmarkStart w:id="1521" w:name="_Toc467236763"/>
      <w:bookmarkStart w:id="1522" w:name="_Toc500861020"/>
      <w:bookmarkStart w:id="1523" w:name="_Toc458262635"/>
      <w:bookmarkStart w:id="1524" w:name="_Toc340507449"/>
      <w:bookmarkStart w:id="1525" w:name="_Toc333237684"/>
      <w:bookmarkStart w:id="1526" w:name="_Toc342060381"/>
      <w:bookmarkStart w:id="1527" w:name="_Toc340672876"/>
      <w:bookmarkStart w:id="1528" w:name="_Toc332270353"/>
      <w:bookmarkStart w:id="1529" w:name="_Toc16082"/>
      <w:bookmarkStart w:id="1530" w:name="_Toc333935694"/>
      <w:bookmarkStart w:id="1531" w:name="_Toc480021076"/>
      <w:r>
        <w:rPr>
          <w:rFonts w:hint="eastAsia"/>
          <w:color w:val="auto"/>
          <w:highlight w:val="none"/>
        </w:rPr>
        <w:t>签订合同</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pPr>
        <w:widowControl/>
        <w:tabs>
          <w:tab w:val="left" w:pos="753"/>
        </w:tabs>
        <w:adjustRightInd w:val="0"/>
        <w:snapToGrid w:val="0"/>
        <w:spacing w:line="360" w:lineRule="auto"/>
        <w:ind w:left="753" w:hanging="753"/>
        <w:rPr>
          <w:rFonts w:ascii="宋体" w:hAnsi="宋体"/>
          <w:bCs/>
          <w:color w:val="auto"/>
          <w:highlight w:val="none"/>
        </w:rPr>
      </w:pPr>
      <w:bookmarkStart w:id="1532" w:name="_Toc374093632"/>
      <w:bookmarkStart w:id="1533" w:name="_Toc377129068"/>
      <w:bookmarkStart w:id="1534" w:name="_Toc373401413"/>
      <w:bookmarkStart w:id="1535" w:name="_Toc370983962"/>
      <w:bookmarkStart w:id="1536" w:name="_Toc372209289"/>
      <w:bookmarkStart w:id="1537" w:name="_Toc379896705"/>
      <w:bookmarkStart w:id="1538" w:name="_Toc369700990"/>
      <w:bookmarkStart w:id="1539" w:name="_Toc366681897"/>
      <w:bookmarkStart w:id="1540" w:name="_Toc383069738"/>
      <w:bookmarkStart w:id="1541" w:name="_Toc370309169"/>
      <w:bookmarkStart w:id="1542" w:name="_Toc378261823"/>
      <w:bookmarkStart w:id="1543" w:name="_Toc374454608"/>
      <w:bookmarkStart w:id="1544" w:name="_Toc367095382"/>
      <w:bookmarkStart w:id="1545" w:name="_Toc366072536"/>
      <w:bookmarkStart w:id="1546" w:name="_Toc339362308"/>
      <w:bookmarkStart w:id="1547" w:name="_Toc339020023"/>
      <w:bookmarkStart w:id="1548" w:name="_Toc339019897"/>
      <w:bookmarkStart w:id="1549" w:name="_Toc349143597"/>
      <w:bookmarkStart w:id="1550" w:name="_Toc339020241"/>
      <w:bookmarkStart w:id="1551" w:name="_Toc342060382"/>
      <w:bookmarkStart w:id="1552" w:name="_Toc331684046"/>
      <w:bookmarkStart w:id="1553" w:name="_Toc337632366"/>
      <w:bookmarkStart w:id="1554" w:name="_Toc336681588"/>
      <w:bookmarkStart w:id="1555" w:name="_Toc341348346"/>
      <w:bookmarkStart w:id="1556" w:name="_Toc339020103"/>
      <w:bookmarkStart w:id="1557" w:name="_Toc345513909"/>
      <w:bookmarkStart w:id="1558" w:name="_Toc365985186"/>
      <w:bookmarkStart w:id="1559" w:name="_Toc333238641"/>
      <w:bookmarkStart w:id="1560" w:name="_Toc330459993"/>
      <w:bookmarkStart w:id="1561" w:name="_Toc350438757"/>
      <w:bookmarkStart w:id="1562" w:name="_Toc332206716"/>
      <w:bookmarkStart w:id="1563" w:name="_Toc340677078"/>
      <w:bookmarkStart w:id="1564" w:name="_Toc333237796"/>
      <w:bookmarkStart w:id="1565" w:name="_Toc336681943"/>
      <w:bookmarkStart w:id="1566" w:name="_Toc339441095"/>
      <w:bookmarkStart w:id="1567" w:name="_Toc332270354"/>
      <w:bookmarkStart w:id="1568" w:name="_Toc331512906"/>
      <w:bookmarkStart w:id="1569" w:name="_Toc350756458"/>
      <w:bookmarkStart w:id="1570" w:name="_Toc333237685"/>
      <w:bookmarkStart w:id="1571" w:name="_Toc340507450"/>
      <w:bookmarkStart w:id="1572" w:name="_Toc333935695"/>
      <w:bookmarkStart w:id="1573" w:name="_Toc342296768"/>
      <w:bookmarkStart w:id="1574" w:name="_Toc365967080"/>
      <w:bookmarkStart w:id="1575" w:name="_Toc349127634"/>
      <w:bookmarkStart w:id="1576" w:name="_Toc340672877"/>
      <w:bookmarkStart w:id="1577" w:name="_Toc333935354"/>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pPr>
        <w:widowControl/>
        <w:tabs>
          <w:tab w:val="left" w:pos="753"/>
        </w:tabs>
        <w:adjustRightInd w:val="0"/>
        <w:snapToGrid w:val="0"/>
        <w:spacing w:line="360" w:lineRule="auto"/>
        <w:ind w:left="753" w:hanging="753"/>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.2</w:t>
      </w:r>
      <w:r>
        <w:rPr>
          <w:rFonts w:hint="eastAsia" w:ascii="宋体" w:hAnsi="宋体"/>
          <w:bCs/>
          <w:color w:val="auto"/>
          <w:highlight w:val="none"/>
        </w:rPr>
        <w:tab/>
      </w:r>
      <w:r>
        <w:rPr>
          <w:rFonts w:hint="eastAsia" w:ascii="宋体" w:hAnsi="宋体"/>
          <w:bCs/>
          <w:color w:val="auto"/>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auto"/>
          <w:highlight w:val="none"/>
        </w:rPr>
      </w:pPr>
      <w:r>
        <w:rPr>
          <w:rFonts w:hint="eastAsia" w:ascii="宋体" w:hAnsi="宋体" w:cs="Arial"/>
          <w:color w:val="auto"/>
          <w:szCs w:val="21"/>
          <w:highlight w:val="none"/>
        </w:rPr>
        <w:t xml:space="preserve">33.3   </w:t>
      </w:r>
      <w:r>
        <w:rPr>
          <w:rFonts w:ascii="宋体" w:hAnsi="宋体"/>
          <w:bCs/>
          <w:color w:val="auto"/>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auto"/>
          <w:highlight w:val="none"/>
        </w:rPr>
        <w:t>。</w:t>
      </w: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p>
      <w:pPr>
        <w:pStyle w:val="3"/>
        <w:numPr>
          <w:ilvl w:val="0"/>
          <w:numId w:val="0"/>
        </w:numPr>
        <w:rPr>
          <w:color w:val="auto"/>
          <w:sz w:val="24"/>
          <w:highlight w:val="none"/>
        </w:rPr>
      </w:pPr>
      <w:bookmarkStart w:id="1578" w:name="_Toc430771059"/>
      <w:bookmarkStart w:id="1579" w:name="_Toc15156"/>
      <w:bookmarkStart w:id="1580" w:name="_Toc432682726"/>
      <w:bookmarkStart w:id="1581" w:name="_Toc468606055"/>
      <w:bookmarkStart w:id="1582" w:name="_Toc468157562"/>
      <w:bookmarkStart w:id="1583" w:name="_Toc500861024"/>
      <w:bookmarkStart w:id="1584" w:name="_Toc480020283"/>
      <w:bookmarkStart w:id="1585" w:name="_Toc479991608"/>
      <w:bookmarkStart w:id="1586" w:name="_Toc480010734"/>
      <w:bookmarkStart w:id="1587" w:name="_Toc480021079"/>
      <w:bookmarkStart w:id="1588" w:name="_Toc467987849"/>
      <w:bookmarkStart w:id="1589" w:name="_Toc491658677"/>
      <w:bookmarkStart w:id="1590" w:name="_Toc467236766"/>
      <w:r>
        <w:rPr>
          <w:color w:val="auto"/>
          <w:sz w:val="24"/>
          <w:highlight w:val="none"/>
        </w:rPr>
        <w:t>G</w:t>
      </w:r>
      <w:r>
        <w:rPr>
          <w:rFonts w:hint="eastAsia"/>
          <w:color w:val="auto"/>
          <w:sz w:val="24"/>
          <w:highlight w:val="none"/>
        </w:rPr>
        <w:t>、政府采购政策</w:t>
      </w:r>
      <w:bookmarkEnd w:id="1578"/>
      <w:bookmarkEnd w:id="1579"/>
      <w:bookmarkEnd w:id="1580"/>
    </w:p>
    <w:p>
      <w:pPr>
        <w:spacing w:line="360" w:lineRule="auto"/>
        <w:ind w:left="735" w:hanging="735" w:hangingChars="350"/>
        <w:rPr>
          <w:rFonts w:hint="eastAsia" w:ascii="宋体" w:hAnsi="宋体" w:eastAsia="宋体" w:cs="宋体"/>
          <w:color w:val="auto"/>
          <w:highlight w:val="none"/>
        </w:rPr>
      </w:pPr>
      <w:bookmarkStart w:id="1591" w:name="_Toc430185803"/>
      <w:bookmarkStart w:id="1592" w:name="_Toc430771060"/>
      <w:r>
        <w:rPr>
          <w:rFonts w:hint="eastAsia" w:ascii="宋体" w:hAnsi="宋体" w:eastAsia="宋体" w:cs="宋体"/>
          <w:color w:val="auto"/>
          <w:highlight w:val="none"/>
        </w:rPr>
        <w:t>3</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     </w:t>
      </w:r>
      <w:bookmarkStart w:id="1593"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1591"/>
      <w:bookmarkEnd w:id="1592"/>
      <w:bookmarkEnd w:id="1593"/>
    </w:p>
    <w:p>
      <w:pPr>
        <w:spacing w:line="360" w:lineRule="auto"/>
        <w:ind w:left="735" w:hanging="735" w:hangingChars="350"/>
        <w:rPr>
          <w:rFonts w:hint="eastAsia" w:ascii="宋体" w:hAnsi="宋体" w:eastAsia="宋体" w:cs="宋体"/>
          <w:color w:val="auto"/>
          <w:highlight w:val="none"/>
        </w:rPr>
      </w:pPr>
      <w:bookmarkStart w:id="1594" w:name="_Toc430771061"/>
      <w:bookmarkStart w:id="1595" w:name="_Toc430185804"/>
      <w:r>
        <w:rPr>
          <w:rFonts w:hint="eastAsia" w:ascii="宋体" w:hAnsi="宋体" w:eastAsia="宋体" w:cs="宋体"/>
          <w:color w:val="auto"/>
          <w:highlight w:val="none"/>
        </w:rPr>
        <w:t>3</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94"/>
      <w:bookmarkEnd w:id="1595"/>
    </w:p>
    <w:p>
      <w:pPr>
        <w:spacing w:line="360" w:lineRule="auto"/>
        <w:ind w:left="735" w:hanging="735" w:hangingChars="350"/>
        <w:rPr>
          <w:rFonts w:hint="eastAsia" w:ascii="宋体" w:hAnsi="宋体" w:eastAsia="宋体" w:cs="宋体"/>
          <w:color w:val="auto"/>
          <w:highlight w:val="none"/>
        </w:rPr>
      </w:pPr>
      <w:bookmarkStart w:id="1596" w:name="_Toc430185805"/>
      <w:bookmarkStart w:id="1597" w:name="_Toc430771062"/>
      <w:r>
        <w:rPr>
          <w:rFonts w:hint="eastAsia" w:ascii="宋体" w:hAnsi="宋体" w:eastAsia="宋体" w:cs="宋体"/>
          <w:color w:val="auto"/>
          <w:highlight w:val="none"/>
        </w:rPr>
        <w:t>3</w:t>
      </w:r>
      <w:r>
        <w:rPr>
          <w:rFonts w:hint="eastAsia" w:ascii="宋体" w:hAnsi="宋体" w:cs="宋体"/>
          <w:color w:val="auto"/>
          <w:highlight w:val="none"/>
          <w:lang w:val="en-US" w:eastAsia="zh-CN"/>
        </w:rPr>
        <w:t>6</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1596"/>
      <w:bookmarkEnd w:id="1597"/>
    </w:p>
    <w:p>
      <w:pPr>
        <w:spacing w:line="360" w:lineRule="auto"/>
        <w:ind w:left="735" w:hanging="735" w:hangingChars="350"/>
        <w:rPr>
          <w:rFonts w:hint="eastAsia" w:ascii="宋体" w:hAnsi="宋体" w:eastAsia="宋体" w:cs="宋体"/>
          <w:color w:val="auto"/>
          <w:highlight w:val="none"/>
        </w:rPr>
      </w:pPr>
      <w:bookmarkStart w:id="1598" w:name="_Toc430185806"/>
      <w:bookmarkStart w:id="1599" w:name="_Toc430771063"/>
      <w:r>
        <w:rPr>
          <w:rFonts w:hint="eastAsia" w:ascii="宋体" w:hAnsi="宋体" w:eastAsia="宋体" w:cs="宋体"/>
          <w:color w:val="auto"/>
          <w:highlight w:val="none"/>
        </w:rPr>
        <w:t>3</w:t>
      </w:r>
      <w:r>
        <w:rPr>
          <w:rFonts w:hint="eastAsia" w:ascii="宋体" w:hAnsi="宋体" w:cs="宋体"/>
          <w:color w:val="auto"/>
          <w:highlight w:val="none"/>
          <w:lang w:val="en-US" w:eastAsia="zh-CN"/>
        </w:rPr>
        <w:t>7</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1598"/>
      <w:bookmarkEnd w:id="1599"/>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7</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pStyle w:val="3"/>
        <w:numPr>
          <w:ilvl w:val="0"/>
          <w:numId w:val="0"/>
        </w:numPr>
        <w:rPr>
          <w:color w:val="auto"/>
          <w:sz w:val="24"/>
          <w:highlight w:val="none"/>
        </w:rPr>
      </w:pPr>
      <w:bookmarkStart w:id="1600" w:name="_Toc4415"/>
      <w:r>
        <w:rPr>
          <w:rFonts w:hint="eastAsia"/>
          <w:color w:val="auto"/>
          <w:sz w:val="24"/>
          <w:highlight w:val="none"/>
        </w:rPr>
        <w:t>H、评标细则</w:t>
      </w:r>
      <w:bookmarkEnd w:id="1600"/>
    </w:p>
    <w:p>
      <w:pPr>
        <w:pStyle w:val="24"/>
        <w:widowControl/>
        <w:tabs>
          <w:tab w:val="left" w:pos="753"/>
        </w:tabs>
        <w:adjustRightInd w:val="0"/>
        <w:snapToGrid w:val="0"/>
        <w:spacing w:line="360" w:lineRule="auto"/>
        <w:ind w:left="752" w:hanging="751" w:hangingChars="358"/>
        <w:rPr>
          <w:rFonts w:hAnsi="宋体"/>
          <w:bCs/>
          <w:color w:val="auto"/>
          <w:highlight w:val="none"/>
        </w:rPr>
      </w:pPr>
      <w:r>
        <w:rPr>
          <w:rFonts w:hint="eastAsia" w:hAnsi="宋体"/>
          <w:bCs/>
          <w:color w:val="auto"/>
          <w:highlight w:val="none"/>
        </w:rPr>
        <w:t>采用计分法（综合评价法）来确定各投标人的排名。其操作程序为：</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根据招标文件和评标原则，按下表（评价指标和权重表）所列评价指标和各评价指标的权重进行评标。</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color w:val="auto"/>
          <w:sz w:val="21"/>
          <w:highlight w:val="none"/>
        </w:rPr>
        <w:t>经济价格得分评审办法：以满足招标文件要求且投标报价最低的投标报价为评标基准价，其价格分为满分。</w:t>
      </w:r>
      <w:r>
        <w:rPr>
          <w:rFonts w:hint="eastAsia" w:ascii="宋体" w:hAnsi="宋体" w:eastAsia="宋体"/>
          <w:bCs/>
          <w:color w:val="auto"/>
          <w:sz w:val="21"/>
          <w:highlight w:val="none"/>
        </w:rPr>
        <w:t>经济价格标得分＝(评标基准价/投标报价)×价格指标权重×100。</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由评委独立地根据各项指标的评价标准，结合每个投标人的实际情况，分别就投标报价以外的各项指标对每个投标人独立打分。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技术部分和商务部分得分结果为全部评委评价指标评分的算术平均值。</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将所有评价指标所得实际评价分数相加，即为该投标人的综合得分。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评标委员会将推荐综合得分最高的投标人为该项目的中标候选人。</w:t>
      </w:r>
    </w:p>
    <w:p>
      <w:pPr>
        <w:rPr>
          <w:color w:val="auto"/>
          <w:highlight w:val="none"/>
        </w:rPr>
      </w:pPr>
      <w:r>
        <w:rPr>
          <w:rFonts w:hint="eastAsia"/>
          <w:color w:val="auto"/>
          <w:highlight w:val="none"/>
        </w:rPr>
        <w:t>评价指标及权重：</w:t>
      </w:r>
    </w:p>
    <w:p>
      <w:pPr>
        <w:rPr>
          <w:color w:val="auto"/>
          <w:highlight w:val="none"/>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tblPrEx>
          <w:tblCellMar>
            <w:top w:w="0" w:type="dxa"/>
            <w:left w:w="0" w:type="dxa"/>
            <w:bottom w:w="0" w:type="dxa"/>
            <w:right w:w="0" w:type="dxa"/>
          </w:tblCellMar>
        </w:tblPrEx>
        <w:trPr>
          <w:trHeight w:val="533"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tblPrEx>
          <w:tblCellMar>
            <w:top w:w="0" w:type="dxa"/>
            <w:left w:w="0" w:type="dxa"/>
            <w:bottom w:w="0" w:type="dxa"/>
            <w:right w:w="0" w:type="dxa"/>
          </w:tblCellMar>
        </w:tblPrEx>
        <w:trPr>
          <w:trHeight w:val="5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bl>
    <w:p>
      <w:pPr>
        <w:rPr>
          <w:color w:val="auto"/>
          <w:highlight w:val="none"/>
        </w:rPr>
      </w:pPr>
    </w:p>
    <w:p>
      <w:pPr>
        <w:rPr>
          <w:color w:val="auto"/>
          <w:highlight w:val="none"/>
        </w:rPr>
      </w:pPr>
      <w:r>
        <w:rPr>
          <w:rFonts w:hint="eastAsia"/>
          <w:color w:val="auto"/>
          <w:highlight w:val="none"/>
        </w:rPr>
        <w:t>技术评分细则：</w:t>
      </w:r>
    </w:p>
    <w:tbl>
      <w:tblPr>
        <w:tblStyle w:val="47"/>
        <w:tblW w:w="9683" w:type="dxa"/>
        <w:jc w:val="center"/>
        <w:shd w:val="clear" w:color="auto" w:fill="FFFFFF"/>
        <w:tblLayout w:type="fixed"/>
        <w:tblCellMar>
          <w:top w:w="0" w:type="dxa"/>
          <w:left w:w="0" w:type="dxa"/>
          <w:bottom w:w="0" w:type="dxa"/>
          <w:right w:w="0" w:type="dxa"/>
        </w:tblCellMar>
      </w:tblPr>
      <w:tblGrid>
        <w:gridCol w:w="783"/>
        <w:gridCol w:w="1291"/>
        <w:gridCol w:w="769"/>
        <w:gridCol w:w="6840"/>
      </w:tblGrid>
      <w:tr>
        <w:tblPrEx>
          <w:shd w:val="clear" w:color="auto" w:fill="FFFFFF"/>
          <w:tblCellMar>
            <w:top w:w="0" w:type="dxa"/>
            <w:left w:w="0" w:type="dxa"/>
            <w:bottom w:w="0" w:type="dxa"/>
            <w:right w:w="0" w:type="dxa"/>
          </w:tblCellMar>
        </w:tblPrEx>
        <w:trPr>
          <w:cantSplit/>
          <w:trHeight w:val="460" w:hRule="atLeast"/>
          <w:tblHeader/>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shd w:val="clear" w:color="auto" w:fill="FFFFFF"/>
          <w:tblCellMar>
            <w:top w:w="0" w:type="dxa"/>
            <w:left w:w="0" w:type="dxa"/>
            <w:bottom w:w="0" w:type="dxa"/>
            <w:right w:w="0" w:type="dxa"/>
          </w:tblCellMar>
        </w:tblPrEx>
        <w:trPr>
          <w:cantSplit/>
          <w:trHeight w:val="1415"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项目的理解情况、档案整理认识与熟悉程度、重点与难点的解决方案 </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根据投标人对本项目总体方案（①项目理解情况；②档案整理认识与熟悉程度；③项目实施重点与难点的解决方案）进行综合评审：</w:t>
            </w:r>
          </w:p>
          <w:p>
            <w:pPr>
              <w:keepNext w:val="0"/>
              <w:keepLines w:val="0"/>
              <w:pageBreakBefore w:val="0"/>
              <w:widowControl w:val="0"/>
              <w:numPr>
                <w:ilvl w:val="0"/>
                <w:numId w:val="0"/>
              </w:numPr>
              <w:kinsoku/>
              <w:wordWrap/>
              <w:overflowPunct/>
              <w:topLinePunct w:val="0"/>
              <w:autoSpaceDE/>
              <w:autoSpaceDN/>
              <w:bidi w:val="0"/>
              <w:adjustRightIn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对本项目的相关标准与要求的理解深刻，熟悉本项目档案情况，项目实施重点与难点的解决方案详尽可行的，</w:t>
            </w:r>
            <w:r>
              <w:rPr>
                <w:rFonts w:hint="eastAsia" w:ascii="宋体" w:hAnsi="宋体" w:cs="宋体"/>
                <w:color w:val="auto"/>
                <w:sz w:val="21"/>
                <w:szCs w:val="21"/>
                <w:highlight w:val="none"/>
                <w:lang w:val="en-US" w:eastAsia="zh-CN"/>
              </w:rPr>
              <w:t>符合文件要求的，</w:t>
            </w:r>
            <w:r>
              <w:rPr>
                <w:rFonts w:hint="eastAsia" w:ascii="宋体" w:hAnsi="宋体" w:eastAsia="宋体" w:cs="宋体"/>
                <w:color w:val="auto"/>
                <w:sz w:val="21"/>
                <w:szCs w:val="21"/>
                <w:highlight w:val="none"/>
              </w:rPr>
              <w:t xml:space="preserve">得10分。 </w:t>
            </w:r>
          </w:p>
          <w:p>
            <w:pPr>
              <w:keepNext w:val="0"/>
              <w:keepLines w:val="0"/>
              <w:pageBreakBefore w:val="0"/>
              <w:widowControl w:val="0"/>
              <w:numPr>
                <w:ilvl w:val="0"/>
                <w:numId w:val="0"/>
              </w:numPr>
              <w:kinsoku/>
              <w:wordWrap/>
              <w:overflowPunct/>
              <w:topLinePunct w:val="0"/>
              <w:autoSpaceDE/>
              <w:autoSpaceDN/>
              <w:bidi w:val="0"/>
              <w:adjustRightIn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 xml:space="preserve">对本项目的相关标准与要求的理解程度一般，对本项目档案情况熟悉程度一般，项目实施重点与难点的解决方案详尽性、可行性一般的，得7分。 </w:t>
            </w:r>
          </w:p>
          <w:p>
            <w:pPr>
              <w:keepNext w:val="0"/>
              <w:keepLines w:val="0"/>
              <w:pageBreakBefore w:val="0"/>
              <w:widowControl w:val="0"/>
              <w:numPr>
                <w:ilvl w:val="0"/>
                <w:numId w:val="0"/>
              </w:numPr>
              <w:kinsoku/>
              <w:wordWrap/>
              <w:overflowPunct/>
              <w:topLinePunct w:val="0"/>
              <w:autoSpaceDE/>
              <w:autoSpaceDN/>
              <w:bidi w:val="0"/>
              <w:adjustRightIn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对本项目的相关标准与要求的理解程度差，对本项目档案情况熟悉程度差，项目实施重点与难点的解决方案详尽性、可行性差的，得3分。</w:t>
            </w:r>
          </w:p>
          <w:p>
            <w:pPr>
              <w:keepNext w:val="0"/>
              <w:keepLines w:val="0"/>
              <w:pageBreakBefore w:val="0"/>
              <w:widowControl w:val="0"/>
              <w:numPr>
                <w:ilvl w:val="0"/>
                <w:numId w:val="0"/>
              </w:numPr>
              <w:kinsoku/>
              <w:wordWrap/>
              <w:overflowPunct/>
              <w:topLinePunct w:val="0"/>
              <w:autoSpaceDE/>
              <w:autoSpaceDN/>
              <w:bidi w:val="0"/>
              <w:adjustRightIn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没有提供相关描述不得分。</w:t>
            </w:r>
          </w:p>
        </w:tc>
      </w:tr>
      <w:tr>
        <w:tblPrEx>
          <w:shd w:val="clear" w:color="auto" w:fill="FFFFFF"/>
          <w:tblCellMar>
            <w:top w:w="0" w:type="dxa"/>
            <w:left w:w="0" w:type="dxa"/>
            <w:bottom w:w="0" w:type="dxa"/>
            <w:right w:w="0" w:type="dxa"/>
          </w:tblCellMar>
        </w:tblPrEx>
        <w:trPr>
          <w:cantSplit/>
          <w:trHeight w:val="210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项目实施方案</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投标人按照采购需求，提供项目实施方案，包括但不限于对项目建设档案整理及数字化加工流程、项目实施管理架构、人员投入、设备投入、档案数字化场地安全管理等进行评审：</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 xml:space="preserve">方案非常详细、完善、合理，可行性非常强，能完全满足项目或优于项目要求的，得10分； </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方案较详细、完善、合理，可行性强，能基本满足项目要求的，得7分；</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方案不够详细、完善、合理，可行性一般，能满足项目大部分要求的，得3分；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没有提供相关描述不得分。</w:t>
            </w:r>
          </w:p>
        </w:tc>
      </w:tr>
      <w:tr>
        <w:tblPrEx>
          <w:shd w:val="clear" w:color="auto" w:fill="FFFFFF"/>
          <w:tblCellMar>
            <w:top w:w="0" w:type="dxa"/>
            <w:left w:w="0" w:type="dxa"/>
            <w:bottom w:w="0" w:type="dxa"/>
            <w:right w:w="0" w:type="dxa"/>
          </w:tblCellMar>
        </w:tblPrEx>
        <w:trPr>
          <w:cantSplit/>
          <w:trHeight w:val="210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en-US"/>
              </w:rPr>
              <w:t>进度计划方案</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根据投标人对进度计划方案，包括但不限于项目组织实施计划、工期安排、进度质量保障等进行评审：</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 xml:space="preserve">方案非常详细、完善、合理，可行性非常强，能完全满足项目或优于项目要求的，得8分； </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方案较详细、完善、合理，可行性强，能基本满足项目要求的，得5分；</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方案不够详细、完善、合理，可行性一般，能满足项目部分要求的，得3分；</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没有提供相关描述不得分。</w:t>
            </w:r>
          </w:p>
        </w:tc>
      </w:tr>
      <w:tr>
        <w:tblPrEx>
          <w:shd w:val="clear" w:color="auto" w:fill="FFFFFF"/>
          <w:tblCellMar>
            <w:top w:w="0" w:type="dxa"/>
            <w:left w:w="0" w:type="dxa"/>
            <w:bottom w:w="0" w:type="dxa"/>
            <w:right w:w="0" w:type="dxa"/>
          </w:tblCellMar>
        </w:tblPrEx>
        <w:trPr>
          <w:cantSplit/>
          <w:trHeight w:val="166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项目保密方案 </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根据投标人对保密方案进行评审：包括但不限于保密制度和管理办法、保密要求、档案资料及数据保密、泄密预防方案等进行评审： </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制定对本项目保密保障措施（包括上述所列内容）措施详细，合理可行，针对性强的，</w:t>
            </w:r>
            <w:r>
              <w:rPr>
                <w:rFonts w:hint="eastAsia" w:ascii="宋体" w:hAnsi="宋体" w:cs="宋体"/>
                <w:color w:val="auto"/>
                <w:sz w:val="21"/>
                <w:szCs w:val="21"/>
                <w:highlight w:val="none"/>
                <w:lang w:val="en-US" w:eastAsia="zh-CN"/>
              </w:rPr>
              <w:t>符合文件要求的，</w:t>
            </w:r>
            <w:r>
              <w:rPr>
                <w:rFonts w:hint="eastAsia" w:ascii="宋体" w:hAnsi="宋体" w:eastAsia="宋体" w:cs="宋体"/>
                <w:color w:val="auto"/>
                <w:sz w:val="21"/>
                <w:szCs w:val="21"/>
                <w:highlight w:val="none"/>
              </w:rPr>
              <w:t xml:space="preserve">得7分。  </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 xml:space="preserve">制定对本项目保密保障措施（上述所列内容缺少一项）措施详细性一般，可行性一般，针对性一般的，得3分。 </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制定对本项目保密保障措施（上述所列内容缺少两项或以上）措施详细性差，可行性、针对性差，得1分。 </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没有提供相关描述不得分。</w:t>
            </w:r>
          </w:p>
        </w:tc>
      </w:tr>
      <w:tr>
        <w:tblPrEx>
          <w:shd w:val="clear" w:color="auto" w:fill="FFFFFF"/>
          <w:tblCellMar>
            <w:top w:w="0" w:type="dxa"/>
            <w:left w:w="0" w:type="dxa"/>
            <w:bottom w:w="0" w:type="dxa"/>
            <w:right w:w="0" w:type="dxa"/>
          </w:tblCellMar>
        </w:tblPrEx>
        <w:trPr>
          <w:cantSplit/>
          <w:trHeight w:val="166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档案整理服务场地安全管理方案</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根据投标人的档案整理服务场地安全管理方案（①场地管理设备投入；②场地安全措施；③安全事项应急制度）进行综合评审：</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安全管理方案详细、完善、合理，可行性强的，</w:t>
            </w:r>
            <w:r>
              <w:rPr>
                <w:rFonts w:hint="eastAsia" w:ascii="宋体" w:hAnsi="宋体" w:cs="宋体"/>
                <w:color w:val="auto"/>
                <w:sz w:val="21"/>
                <w:szCs w:val="21"/>
                <w:highlight w:val="none"/>
                <w:lang w:val="en-US" w:eastAsia="zh-CN"/>
              </w:rPr>
              <w:t>优于文件要求的，</w:t>
            </w:r>
            <w:r>
              <w:rPr>
                <w:rFonts w:hint="eastAsia" w:ascii="宋体" w:hAnsi="宋体" w:eastAsia="宋体" w:cs="宋体"/>
                <w:color w:val="auto"/>
                <w:sz w:val="21"/>
                <w:szCs w:val="21"/>
                <w:highlight w:val="none"/>
              </w:rPr>
              <w:t xml:space="preserve">得8分； </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安全管理方案较详细、完善、合理，可行性较强的，</w:t>
            </w:r>
            <w:r>
              <w:rPr>
                <w:rFonts w:hint="eastAsia" w:ascii="宋体" w:hAnsi="宋体" w:cs="宋体"/>
                <w:color w:val="auto"/>
                <w:sz w:val="21"/>
                <w:szCs w:val="21"/>
                <w:highlight w:val="none"/>
                <w:lang w:val="en-US" w:eastAsia="zh-CN"/>
              </w:rPr>
              <w:t>符合文件要求的，</w:t>
            </w:r>
            <w:r>
              <w:rPr>
                <w:rFonts w:hint="eastAsia" w:ascii="宋体" w:hAnsi="宋体" w:eastAsia="宋体" w:cs="宋体"/>
                <w:color w:val="auto"/>
                <w:sz w:val="21"/>
                <w:szCs w:val="21"/>
                <w:highlight w:val="none"/>
              </w:rPr>
              <w:t>得5分；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安全管理方案不够详细、完善、合理，可行性一般的，得2分；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没有提供相关描述不得分。</w:t>
            </w:r>
          </w:p>
        </w:tc>
      </w:tr>
      <w:tr>
        <w:tblPrEx>
          <w:shd w:val="clear" w:color="auto" w:fill="FFFFFF"/>
          <w:tblCellMar>
            <w:top w:w="0" w:type="dxa"/>
            <w:left w:w="0" w:type="dxa"/>
            <w:bottom w:w="0" w:type="dxa"/>
            <w:right w:w="0" w:type="dxa"/>
          </w:tblCellMar>
        </w:tblPrEx>
        <w:trPr>
          <w:cantSplit/>
          <w:trHeight w:val="114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 w:val="21"/>
                <w:szCs w:val="21"/>
                <w:highlight w:val="none"/>
              </w:rPr>
              <w:t>售后服务及培训方案</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根据投标人的售后服务及培训方案（包括但不限于投标人的售后服务架构、响应时效、培训方案可行性等）进行评审： </w:t>
            </w:r>
          </w:p>
          <w:p>
            <w:pPr>
              <w:keepNext w:val="0"/>
              <w:keepLines w:val="0"/>
              <w:pageBreakBefore w:val="0"/>
              <w:widowControl w:val="0"/>
              <w:numPr>
                <w:ilvl w:val="0"/>
                <w:numId w:val="0"/>
              </w:numPr>
              <w:kinsoku/>
              <w:wordWrap/>
              <w:overflowPunct/>
              <w:topLinePunct w:val="0"/>
              <w:autoSpaceDE/>
              <w:autoSpaceDN/>
              <w:bidi w:val="0"/>
              <w:adjustRightIn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售后服务方案详细、完善、合理，可行性强的，</w:t>
            </w:r>
            <w:r>
              <w:rPr>
                <w:rFonts w:hint="eastAsia" w:ascii="宋体" w:hAnsi="宋体" w:cs="宋体"/>
                <w:color w:val="auto"/>
                <w:sz w:val="21"/>
                <w:szCs w:val="21"/>
                <w:highlight w:val="none"/>
                <w:lang w:val="en-US" w:eastAsia="zh-CN"/>
              </w:rPr>
              <w:t>优于文件要求的，</w:t>
            </w:r>
            <w:r>
              <w:rPr>
                <w:rFonts w:hint="eastAsia" w:ascii="宋体" w:hAnsi="宋体" w:eastAsia="宋体" w:cs="宋体"/>
                <w:color w:val="auto"/>
                <w:sz w:val="21"/>
                <w:szCs w:val="21"/>
                <w:highlight w:val="none"/>
              </w:rPr>
              <w:t>得7分；</w:t>
            </w:r>
          </w:p>
          <w:p>
            <w:pPr>
              <w:keepNext w:val="0"/>
              <w:keepLines w:val="0"/>
              <w:pageBreakBefore w:val="0"/>
              <w:widowControl w:val="0"/>
              <w:numPr>
                <w:ilvl w:val="0"/>
                <w:numId w:val="0"/>
              </w:numPr>
              <w:kinsoku/>
              <w:wordWrap/>
              <w:overflowPunct/>
              <w:topLinePunct w:val="0"/>
              <w:autoSpaceDE/>
              <w:autoSpaceDN/>
              <w:bidi w:val="0"/>
              <w:adjustRightIn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售后服务方案较详细、完善、合理，可行性较强的，</w:t>
            </w:r>
            <w:r>
              <w:rPr>
                <w:rFonts w:hint="eastAsia" w:ascii="宋体" w:hAnsi="宋体" w:cs="宋体"/>
                <w:color w:val="auto"/>
                <w:sz w:val="21"/>
                <w:szCs w:val="21"/>
                <w:highlight w:val="none"/>
                <w:lang w:val="en-US" w:eastAsia="zh-CN"/>
              </w:rPr>
              <w:t>符合文件要求的，</w:t>
            </w:r>
            <w:r>
              <w:rPr>
                <w:rFonts w:hint="eastAsia" w:ascii="宋体" w:hAnsi="宋体" w:eastAsia="宋体" w:cs="宋体"/>
                <w:color w:val="auto"/>
                <w:sz w:val="21"/>
                <w:szCs w:val="21"/>
                <w:highlight w:val="none"/>
              </w:rPr>
              <w:t xml:space="preserve">得3分； </w:t>
            </w:r>
          </w:p>
          <w:p>
            <w:pPr>
              <w:keepNext w:val="0"/>
              <w:keepLines w:val="0"/>
              <w:pageBreakBefore w:val="0"/>
              <w:widowControl w:val="0"/>
              <w:numPr>
                <w:ilvl w:val="0"/>
                <w:numId w:val="0"/>
              </w:numPr>
              <w:kinsoku/>
              <w:wordWrap/>
              <w:overflowPunct/>
              <w:topLinePunct w:val="0"/>
              <w:autoSpaceDE/>
              <w:autoSpaceDN/>
              <w:bidi w:val="0"/>
              <w:adjustRightIn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售后服务方案不够详细、完善、合理，可行性一般的，得1分；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没有提供相关描述不得分。</w:t>
            </w:r>
          </w:p>
        </w:tc>
      </w:tr>
      <w:tr>
        <w:tblPrEx>
          <w:shd w:val="clear" w:color="auto" w:fill="FFFFFF"/>
          <w:tblCellMar>
            <w:top w:w="0" w:type="dxa"/>
            <w:left w:w="0" w:type="dxa"/>
            <w:bottom w:w="0" w:type="dxa"/>
            <w:right w:w="0" w:type="dxa"/>
          </w:tblCellMar>
        </w:tblPrEx>
        <w:trPr>
          <w:cantSplit/>
          <w:trHeight w:val="488" w:hRule="atLeast"/>
          <w:jc w:val="center"/>
        </w:trPr>
        <w:tc>
          <w:tcPr>
            <w:tcW w:w="207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2169" w:name="_GoBack"/>
      <w:bookmarkEnd w:id="2169"/>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7"/>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273"/>
        <w:gridCol w:w="787"/>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7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8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84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02" w:hRule="atLeast"/>
          <w:jc w:val="center"/>
        </w:trPr>
        <w:tc>
          <w:tcPr>
            <w:tcW w:w="7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27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项目负责人</w:t>
            </w:r>
          </w:p>
        </w:tc>
        <w:tc>
          <w:tcPr>
            <w:tcW w:w="78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6846" w:type="dxa"/>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根据投标人拟投入本项目的项目负责人取得的证书情况进行综合评审：</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①具有人力资源和社会保障部颁发的档案专业初级或以上职称；</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②具有人力资源和社会保障部、工业和信息化部批准颁发的计算机技术与软件专业技术资格证书；</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③具有中国信息安全测评中心颁发的国家信息安全水平证书；</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提供一项得2分，最高得6分。</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注：需提供投标文件截止时间之前六个月内任意一个月的依法缴纳社会保险的证明文件及相关证书复印件加盖投标人公章，不提供不得分。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02" w:hRule="atLeast"/>
          <w:jc w:val="center"/>
        </w:trPr>
        <w:tc>
          <w:tcPr>
            <w:tcW w:w="7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7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拟投入本项目的项目团队人员</w:t>
            </w:r>
          </w:p>
        </w:tc>
        <w:tc>
          <w:tcPr>
            <w:tcW w:w="78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lang w:val="en-US" w:eastAsia="zh-CN"/>
              </w:rPr>
              <w:t>分</w:t>
            </w:r>
          </w:p>
        </w:tc>
        <w:tc>
          <w:tcPr>
            <w:tcW w:w="684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（1）拟投入主要技术人员</w:t>
            </w:r>
            <w:r>
              <w:rPr>
                <w:rFonts w:hint="eastAsia" w:ascii="宋体" w:hAnsi="宋体" w:cs="宋体"/>
                <w:color w:val="auto"/>
                <w:sz w:val="21"/>
                <w:szCs w:val="21"/>
                <w:highlight w:val="none"/>
                <w:lang w:val="en-US" w:eastAsia="zh-CN"/>
              </w:rPr>
              <w:t>三人</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①具有人力资源和社会保障部颁发的档案专业初级或以上职称；</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②具有中国信息安全测评中心颁发的国家信息安全水平证书；</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③具有2个或以上的档案数字化或档案整理经验；</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以上每提供一人同时具备三项得3分，每缺一项扣1分；本小项最高得9分；</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rPr>
              <w:t>注：需提供投标文件截止时间之前六个月内任意一个月的依法缴纳社会保险的证明文件及相关证书</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证明材料</w:t>
            </w:r>
            <w:r>
              <w:rPr>
                <w:rFonts w:hint="eastAsia" w:ascii="宋体" w:hAnsi="宋体" w:eastAsia="宋体" w:cs="宋体"/>
                <w:b/>
                <w:bCs/>
                <w:color w:val="auto"/>
                <w:sz w:val="21"/>
                <w:szCs w:val="21"/>
                <w:highlight w:val="none"/>
              </w:rPr>
              <w:t>复印件加盖投标人公章，不提供不得分。</w:t>
            </w:r>
          </w:p>
          <w:p>
            <w:pPr>
              <w:keepNext w:val="0"/>
              <w:keepLines w:val="0"/>
              <w:pageBreakBefore w:val="0"/>
              <w:numPr>
                <w:ilvl w:val="0"/>
                <w:numId w:val="32"/>
              </w:numPr>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拟投入项目现场服务人员：每提供1个具有档案专业人员岗位培训证书或综合档案业务培训证书员的人员得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分，本小项最高得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注：需提供投标文件截止时间之前六个月内任意一个月的依法缴纳社会保险的证明文件及相关证书复印件加盖投标人公章，不提供不得分。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5" w:hRule="atLeast"/>
          <w:jc w:val="center"/>
        </w:trPr>
        <w:tc>
          <w:tcPr>
            <w:tcW w:w="7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7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企业综合实力</w:t>
            </w:r>
          </w:p>
        </w:tc>
        <w:tc>
          <w:tcPr>
            <w:tcW w:w="78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p>
        </w:tc>
        <w:tc>
          <w:tcPr>
            <w:tcW w:w="684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根据投标人综合实力进行综合评审：</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具有有效期内质量管理体系认证证书、职业健康安全管理体系认证证书、环境管理体系认证证书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以上认证证书认证范围需包含档案整理或档案数字化，每提供一个得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提供不得分。</w:t>
            </w:r>
          </w:p>
          <w:p>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注：提供相关有效证书复印件加盖投标人公章，不提供不得分。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27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投标人软件服务能力</w:t>
            </w:r>
          </w:p>
        </w:tc>
        <w:tc>
          <w:tcPr>
            <w:tcW w:w="78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10分</w:t>
            </w:r>
          </w:p>
        </w:tc>
        <w:tc>
          <w:tcPr>
            <w:tcW w:w="684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投标人软件服务能力进行评分：电子文件安全防扩系统、档案数字化防病毒安全防护系统、档案数字化质检系统、档案数字化扫描加密系统、档案数字化元数据采集和管理系统的计算机软件著作权登记证书；每提供一个证书2分，最高10分。 </w:t>
            </w:r>
          </w:p>
          <w:p>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注：提供相关证书复印件加盖投标人公章</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27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同类项目业绩</w:t>
            </w:r>
          </w:p>
        </w:tc>
        <w:tc>
          <w:tcPr>
            <w:tcW w:w="78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分</w:t>
            </w:r>
          </w:p>
        </w:tc>
        <w:tc>
          <w:tcPr>
            <w:tcW w:w="684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根据投标人2021年1月1日（以签订合同的日期为准）以来，承接过同类项目的业绩情况进行评分，每提供1个业绩得</w:t>
            </w:r>
            <w:r>
              <w:rPr>
                <w:rFonts w:hint="eastAsia" w:ascii="宋体" w:hAnsi="宋体" w:cs="宋体"/>
                <w:b w:val="0"/>
                <w:bCs w:val="0"/>
                <w:color w:val="auto"/>
                <w:sz w:val="21"/>
                <w:szCs w:val="21"/>
                <w:highlight w:val="none"/>
                <w:lang w:val="en-US" w:eastAsia="zh-CN"/>
              </w:rPr>
              <w:t>0.5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最高得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注：提供项目中标（或成交）通知书或合同关键页（包括采购内容、签约日期、双方盖章）的复印件加盖投标人公章，不提供不得分。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06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8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684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p>
        </w:tc>
      </w:tr>
    </w:tbl>
    <w:p>
      <w:pPr>
        <w:rPr>
          <w:rFonts w:ascii="宋体"/>
          <w:color w:val="auto"/>
          <w:szCs w:val="21"/>
          <w:highlight w:val="none"/>
        </w:rPr>
      </w:pPr>
      <w:r>
        <w:rPr>
          <w:rFonts w:hint="eastAsia"/>
          <w:color w:val="auto"/>
          <w:highlight w:val="none"/>
        </w:rPr>
        <w:t>注：对照每项评价指标要求，投标文件完全不满足要求的，不得分。</w:t>
      </w:r>
    </w:p>
    <w:p>
      <w:pPr>
        <w:rPr>
          <w:rFonts w:ascii="宋体"/>
          <w:color w:val="auto"/>
          <w:szCs w:val="21"/>
          <w:highlight w:val="none"/>
        </w:rPr>
      </w:pPr>
    </w:p>
    <w:bookmarkEnd w:id="1581"/>
    <w:bookmarkEnd w:id="1582"/>
    <w:bookmarkEnd w:id="1583"/>
    <w:bookmarkEnd w:id="1584"/>
    <w:bookmarkEnd w:id="1585"/>
    <w:bookmarkEnd w:id="1586"/>
    <w:bookmarkEnd w:id="1587"/>
    <w:bookmarkEnd w:id="1588"/>
    <w:bookmarkEnd w:id="1589"/>
    <w:bookmarkEnd w:id="1590"/>
    <w:p>
      <w:pPr>
        <w:rPr>
          <w:rFonts w:hint="eastAsia"/>
          <w:color w:val="auto"/>
          <w:highlight w:val="none"/>
        </w:rPr>
      </w:pPr>
      <w:bookmarkStart w:id="1601" w:name="_Hlt21939000"/>
      <w:bookmarkEnd w:id="1601"/>
      <w:bookmarkStart w:id="1602" w:name="_Toc340672878"/>
      <w:bookmarkStart w:id="1603" w:name="_Toc341348347"/>
      <w:bookmarkStart w:id="1604" w:name="_Toc342296769"/>
      <w:bookmarkStart w:id="1605" w:name="_Toc332206717"/>
      <w:bookmarkStart w:id="1606" w:name="_Toc345513910"/>
      <w:bookmarkStart w:id="1607" w:name="_Toc332270355"/>
      <w:bookmarkStart w:id="1608" w:name="_Toc339020104"/>
      <w:bookmarkStart w:id="1609" w:name="_Toc374454610"/>
      <w:bookmarkStart w:id="1610" w:name="_Toc333238642"/>
      <w:bookmarkStart w:id="1611" w:name="_Toc337632367"/>
      <w:bookmarkStart w:id="1612" w:name="_Toc331512907"/>
      <w:bookmarkStart w:id="1613" w:name="_Toc340507451"/>
      <w:bookmarkStart w:id="1614" w:name="_Toc349127635"/>
      <w:bookmarkStart w:id="1615" w:name="_Toc339019898"/>
      <w:bookmarkStart w:id="1616" w:name="_Toc331684047"/>
      <w:bookmarkStart w:id="1617" w:name="_Toc365985187"/>
      <w:bookmarkStart w:id="1618" w:name="_Toc339020242"/>
      <w:bookmarkStart w:id="1619" w:name="_Toc333237686"/>
      <w:bookmarkStart w:id="1620" w:name="_Toc339020024"/>
      <w:bookmarkStart w:id="1621" w:name="_Toc342060383"/>
      <w:bookmarkStart w:id="1622" w:name="_Toc336681589"/>
      <w:bookmarkStart w:id="1623" w:name="_Toc340677079"/>
      <w:bookmarkStart w:id="1624" w:name="_Toc350756459"/>
      <w:bookmarkStart w:id="1625" w:name="_Toc333935696"/>
      <w:bookmarkStart w:id="1626" w:name="_Toc339362309"/>
      <w:bookmarkStart w:id="1627" w:name="_Toc336681944"/>
      <w:bookmarkStart w:id="1628" w:name="_Toc366072538"/>
      <w:bookmarkStart w:id="1629" w:name="_Toc350438758"/>
      <w:bookmarkStart w:id="1630" w:name="_Toc365967081"/>
      <w:bookmarkStart w:id="1631" w:name="_Toc330459994"/>
      <w:bookmarkStart w:id="1632" w:name="_Toc349143598"/>
      <w:bookmarkStart w:id="1633" w:name="_Toc333935355"/>
      <w:bookmarkStart w:id="1634" w:name="_Toc333237797"/>
      <w:bookmarkStart w:id="1635" w:name="_Toc339441096"/>
      <w:r>
        <w:rPr>
          <w:rFonts w:hint="eastAsia"/>
          <w:color w:val="auto"/>
          <w:highlight w:val="none"/>
        </w:rPr>
        <w:br w:type="page"/>
      </w:r>
    </w:p>
    <w:p>
      <w:pPr>
        <w:pStyle w:val="2"/>
        <w:numPr>
          <w:ilvl w:val="0"/>
          <w:numId w:val="0"/>
        </w:numPr>
        <w:spacing w:beforeLines="0"/>
        <w:rPr>
          <w:color w:val="auto"/>
          <w:highlight w:val="none"/>
        </w:rPr>
      </w:pPr>
      <w:bookmarkStart w:id="1636" w:name="_Toc11383"/>
      <w:r>
        <w:rPr>
          <w:rFonts w:hint="eastAsia"/>
          <w:color w:val="auto"/>
          <w:highlight w:val="none"/>
        </w:rPr>
        <w:t xml:space="preserve">第四部分  </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Start w:id="1637" w:name="_Hlt97188170"/>
      <w:bookmarkEnd w:id="1637"/>
      <w:r>
        <w:rPr>
          <w:rFonts w:hint="eastAsia"/>
          <w:color w:val="auto"/>
          <w:highlight w:val="none"/>
        </w:rPr>
        <w:t>采购项目合同（参考范本）</w:t>
      </w:r>
      <w:bookmarkEnd w:id="1636"/>
    </w:p>
    <w:p>
      <w:pPr>
        <w:rPr>
          <w:bCs/>
          <w:color w:val="auto"/>
          <w:highlight w:val="none"/>
        </w:rPr>
      </w:pPr>
    </w:p>
    <w:p>
      <w:pPr>
        <w:jc w:val="center"/>
        <w:rPr>
          <w:rFonts w:hint="eastAsia" w:ascii="宋体" w:hAnsi="宋体"/>
          <w:b/>
          <w:color w:val="auto"/>
          <w:sz w:val="30"/>
          <w:szCs w:val="30"/>
          <w:highlight w:val="none"/>
        </w:rPr>
      </w:pPr>
    </w:p>
    <w:p>
      <w:pPr>
        <w:jc w:val="center"/>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pStyle w:val="56"/>
        <w:rPr>
          <w:rFonts w:hint="eastAsia" w:ascii="宋体" w:hAnsi="宋体"/>
          <w:b/>
          <w:color w:val="auto"/>
          <w:sz w:val="36"/>
          <w:szCs w:val="36"/>
          <w:highlight w:val="none"/>
        </w:rPr>
      </w:pPr>
    </w:p>
    <w:p>
      <w:pPr>
        <w:jc w:val="center"/>
        <w:rPr>
          <w:rFonts w:hint="eastAsia" w:ascii="宋体" w:hAnsi="宋体"/>
          <w:b/>
          <w:color w:val="auto"/>
          <w:sz w:val="72"/>
          <w:szCs w:val="72"/>
          <w:highlight w:val="none"/>
        </w:rPr>
      </w:pPr>
      <w:r>
        <w:rPr>
          <w:rFonts w:hint="eastAsia" w:ascii="宋体" w:hAnsi="宋体"/>
          <w:b/>
          <w:color w:val="auto"/>
          <w:sz w:val="72"/>
          <w:szCs w:val="72"/>
          <w:highlight w:val="none"/>
        </w:rPr>
        <w:t>合 同 书</w:t>
      </w: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采购编号：</w:t>
      </w:r>
      <w:r>
        <w:rPr>
          <w:rFonts w:hint="eastAsia" w:ascii="宋体" w:hAnsi="宋体"/>
          <w:b/>
          <w:color w:val="auto"/>
          <w:sz w:val="28"/>
          <w:szCs w:val="28"/>
          <w:highlight w:val="none"/>
          <w:u w:val="single"/>
        </w:rPr>
        <w:t xml:space="preserve">                          </w:t>
      </w:r>
    </w:p>
    <w:p>
      <w:pPr>
        <w:rPr>
          <w:rFonts w:hint="eastAsia" w:ascii="宋体" w:hAnsi="宋体"/>
          <w:b/>
          <w:color w:val="auto"/>
          <w:sz w:val="28"/>
          <w:szCs w:val="28"/>
          <w:highlight w:val="none"/>
        </w:rPr>
      </w:pPr>
    </w:p>
    <w:p>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项目名称：</w:t>
      </w:r>
      <w:r>
        <w:rPr>
          <w:rFonts w:hint="eastAsia" w:ascii="宋体" w:hAnsi="宋体"/>
          <w:b/>
          <w:color w:val="auto"/>
          <w:sz w:val="28"/>
          <w:szCs w:val="28"/>
          <w:highlight w:val="none"/>
          <w:u w:val="single"/>
        </w:rPr>
        <w:t xml:space="preserve">                           </w:t>
      </w: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Cs w:val="21"/>
          <w:highlight w:val="none"/>
        </w:rPr>
      </w:pPr>
      <w:r>
        <w:rPr>
          <w:rFonts w:hint="eastAsia" w:ascii="宋体" w:hAnsi="宋体"/>
          <w:b/>
          <w:color w:val="auto"/>
          <w:szCs w:val="21"/>
          <w:highlight w:val="none"/>
        </w:rPr>
        <w:t>注：本合同仅为合同草案文本，合同签订双方可根据项目的具体要求进行修订和细化。</w:t>
      </w:r>
    </w:p>
    <w:p>
      <w:pPr>
        <w:ind w:firstLine="5670" w:firstLineChars="2700"/>
        <w:rPr>
          <w:rFonts w:hint="eastAsia" w:ascii="宋体" w:hAnsi="宋体"/>
          <w:color w:val="auto"/>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    方：</w:t>
      </w:r>
      <w:r>
        <w:rPr>
          <w:rFonts w:hint="eastAsia" w:ascii="宋体" w:hAnsi="宋体" w:eastAsia="宋体" w:cs="宋体"/>
          <w:b/>
          <w:color w:val="auto"/>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    方：</w:t>
      </w:r>
      <w:r>
        <w:rPr>
          <w:rFonts w:hint="eastAsia" w:ascii="宋体" w:hAnsi="宋体" w:eastAsia="宋体" w:cs="宋体"/>
          <w:b/>
          <w:color w:val="auto"/>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）的采购结果</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招标投标文件中的相关约定，按照《中华人民共和国政府采购法》、</w:t>
      </w:r>
      <w:r>
        <w:rPr>
          <w:rFonts w:hint="eastAsia" w:ascii="宋体" w:hAnsi="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的规定，</w:t>
      </w:r>
      <w:r>
        <w:rPr>
          <w:rFonts w:hint="eastAsia" w:ascii="宋体" w:hAnsi="宋体" w:eastAsia="宋体" w:cs="宋体"/>
          <w:color w:val="auto"/>
          <w:kern w:val="28"/>
          <w:sz w:val="21"/>
          <w:szCs w:val="21"/>
          <w:highlight w:val="none"/>
        </w:rPr>
        <w:t>经双方协商，</w:t>
      </w:r>
      <w:r>
        <w:rPr>
          <w:rFonts w:hint="eastAsia" w:ascii="宋体" w:hAnsi="宋体" w:eastAsia="宋体" w:cs="宋体"/>
          <w:color w:val="auto"/>
          <w:sz w:val="21"/>
          <w:szCs w:val="21"/>
          <w:highlight w:val="none"/>
        </w:rPr>
        <w:t>本着平等互利和诚实信用的原则，</w:t>
      </w:r>
      <w:r>
        <w:rPr>
          <w:rFonts w:hint="eastAsia" w:ascii="宋体" w:hAnsi="宋体" w:eastAsia="宋体" w:cs="宋体"/>
          <w:color w:val="auto"/>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合同金额为人民币（大写</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甲方聘请乙方提供以下服务：</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eastAsia="宋体"/>
          <w:b/>
          <w:bCs/>
          <w:color w:val="auto"/>
          <w:highlight w:val="none"/>
          <w:lang w:val="en-US" w:eastAsia="zh-CN"/>
        </w:rPr>
        <w:t>三、</w:t>
      </w:r>
      <w:r>
        <w:rPr>
          <w:rFonts w:hint="eastAsia" w:ascii="宋体" w:hAnsi="宋体" w:eastAsia="宋体" w:cs="宋体"/>
          <w:b/>
          <w:bCs/>
          <w:color w:val="auto"/>
          <w:sz w:val="21"/>
          <w:szCs w:val="21"/>
          <w:highlight w:val="none"/>
        </w:rPr>
        <w:t>甲方乙方的权利和义务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甲方的权利和义务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服务期间（项目完成期限）</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委托服务期间自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月至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月止。</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五、付款方式</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 知识产权归属</w:t>
      </w:r>
    </w:p>
    <w:p>
      <w:pPr>
        <w:pStyle w:val="56"/>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 、 保 密</w:t>
      </w:r>
    </w:p>
    <w:p>
      <w:pPr>
        <w:pStyle w:val="56"/>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 违约责任与赔偿损失</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其它违约责任按</w:t>
      </w:r>
      <w:r>
        <w:rPr>
          <w:rFonts w:hint="eastAsia" w:ascii="宋体" w:hAnsi="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 其它</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合同生效</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本合同在甲乙双方法人代表或其授权代表签字盖章后生效。</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合同一式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份。</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本项目合同订立后，应提供</w:t>
      </w:r>
      <w:r>
        <w:rPr>
          <w:rFonts w:hint="eastAsia" w:ascii="宋体" w:hAnsi="宋体" w:eastAsia="宋体" w:cs="宋体"/>
          <w:color w:val="auto"/>
          <w:sz w:val="21"/>
          <w:szCs w:val="21"/>
          <w:highlight w:val="none"/>
          <w:lang w:val="en-US" w:eastAsia="zh-CN"/>
        </w:rPr>
        <w:t>一份</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广东业信采购招标有限公司</w:t>
      </w:r>
      <w:r>
        <w:rPr>
          <w:rFonts w:hint="eastAsia" w:ascii="宋体" w:hAnsi="宋体" w:eastAsia="宋体" w:cs="宋体"/>
          <w:color w:val="auto"/>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auto"/>
          <w:highlight w:val="none"/>
        </w:rPr>
      </w:pPr>
      <w:r>
        <w:rPr>
          <w:rFonts w:hint="eastAsia" w:ascii="宋体" w:hAnsi="宋体" w:eastAsia="宋体" w:cs="宋体"/>
          <w:color w:val="auto"/>
          <w:sz w:val="21"/>
          <w:szCs w:val="21"/>
          <w:highlight w:val="none"/>
        </w:rPr>
        <w:t>开 户 行：</w:t>
      </w:r>
    </w:p>
    <w:p>
      <w:pPr>
        <w:tabs>
          <w:tab w:val="left" w:pos="1004"/>
        </w:tabs>
        <w:spacing w:line="440" w:lineRule="exact"/>
        <w:rPr>
          <w:rFonts w:ascii="宋体" w:hAnsi="宋体"/>
          <w:bCs/>
          <w:color w:val="auto"/>
          <w:szCs w:val="21"/>
          <w:highlight w:val="none"/>
        </w:rPr>
      </w:pPr>
    </w:p>
    <w:p>
      <w:pPr>
        <w:tabs>
          <w:tab w:val="left" w:pos="1004"/>
        </w:tabs>
        <w:spacing w:line="440" w:lineRule="exact"/>
        <w:ind w:right="31" w:rightChars="15"/>
        <w:rPr>
          <w:rFonts w:ascii="宋体" w:hAnsi="宋体"/>
          <w:b/>
          <w:bCs/>
          <w:color w:val="auto"/>
          <w:szCs w:val="21"/>
          <w:highlight w:val="none"/>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2"/>
        <w:numPr>
          <w:ilvl w:val="0"/>
          <w:numId w:val="0"/>
        </w:numPr>
        <w:spacing w:beforeLines="0"/>
        <w:rPr>
          <w:rFonts w:hint="eastAsia"/>
          <w:color w:val="auto"/>
          <w:highlight w:val="none"/>
        </w:rPr>
      </w:pPr>
      <w:bookmarkStart w:id="1638" w:name="_Toc339020025"/>
      <w:bookmarkStart w:id="1639" w:name="_Toc332270356"/>
      <w:bookmarkStart w:id="1640" w:name="_Toc333935697"/>
      <w:bookmarkStart w:id="1641" w:name="_Toc365985188"/>
      <w:bookmarkStart w:id="1642" w:name="_Toc350756460"/>
      <w:bookmarkStart w:id="1643" w:name="_Toc491658678"/>
      <w:bookmarkStart w:id="1644" w:name="_Toc345513911"/>
      <w:bookmarkStart w:id="1645" w:name="_Toc342296770"/>
      <w:bookmarkStart w:id="1646" w:name="_Toc366072539"/>
      <w:bookmarkStart w:id="1647" w:name="_Toc339441097"/>
      <w:bookmarkStart w:id="1648" w:name="_Toc331512908"/>
      <w:bookmarkStart w:id="1649" w:name="_Toc365967082"/>
      <w:bookmarkStart w:id="1650" w:name="_Toc340507452"/>
      <w:bookmarkStart w:id="1651" w:name="_Toc500861025"/>
      <w:bookmarkStart w:id="1652" w:name="_Toc339020105"/>
      <w:bookmarkStart w:id="1653" w:name="_Toc341348348"/>
      <w:bookmarkStart w:id="1654" w:name="_Toc336681945"/>
      <w:bookmarkStart w:id="1655" w:name="_Toc330459995"/>
      <w:bookmarkStart w:id="1656" w:name="_Toc339362310"/>
      <w:bookmarkStart w:id="1657" w:name="_Toc349143599"/>
      <w:bookmarkStart w:id="1658" w:name="_Toc337632368"/>
      <w:bookmarkStart w:id="1659" w:name="_Toc350438759"/>
      <w:bookmarkStart w:id="1660" w:name="_Toc333237687"/>
      <w:bookmarkStart w:id="1661" w:name="_Toc339020243"/>
      <w:bookmarkStart w:id="1662" w:name="_Toc340677080"/>
      <w:bookmarkStart w:id="1663" w:name="_Toc336681590"/>
      <w:bookmarkStart w:id="1664" w:name="_Toc333237798"/>
      <w:bookmarkStart w:id="1665" w:name="_Toc340672879"/>
      <w:bookmarkStart w:id="1666" w:name="_Toc332206718"/>
      <w:bookmarkStart w:id="1667" w:name="_Toc333935356"/>
      <w:bookmarkStart w:id="1668" w:name="_Toc339019899"/>
      <w:bookmarkStart w:id="1669" w:name="_Toc342060384"/>
      <w:bookmarkStart w:id="1670" w:name="_Toc331684048"/>
      <w:bookmarkStart w:id="1671" w:name="_Toc333238643"/>
      <w:bookmarkStart w:id="1672" w:name="_Toc349127636"/>
    </w:p>
    <w:p>
      <w:pPr>
        <w:pStyle w:val="2"/>
        <w:numPr>
          <w:ilvl w:val="0"/>
          <w:numId w:val="0"/>
        </w:numPr>
        <w:spacing w:beforeLines="0"/>
        <w:rPr>
          <w:color w:val="auto"/>
          <w:highlight w:val="none"/>
        </w:rPr>
      </w:pPr>
      <w:bookmarkStart w:id="1673" w:name="_Toc17914"/>
      <w:r>
        <w:rPr>
          <w:rFonts w:hint="eastAsia"/>
          <w:color w:val="auto"/>
          <w:highlight w:val="none"/>
        </w:rPr>
        <w:t>第五部分</w:t>
      </w:r>
      <w:bookmarkStart w:id="1674" w:name="_Hlt97188172"/>
      <w:bookmarkEnd w:id="1674"/>
      <w:r>
        <w:rPr>
          <w:rFonts w:hint="eastAsia"/>
          <w:color w:val="auto"/>
          <w:highlight w:val="none"/>
        </w:rPr>
        <w:t xml:space="preserve"> </w:t>
      </w:r>
      <w:r>
        <w:rPr>
          <w:color w:val="auto"/>
          <w:highlight w:val="none"/>
        </w:rPr>
        <w:t xml:space="preserve"> </w:t>
      </w:r>
      <w:r>
        <w:rPr>
          <w:rFonts w:hint="eastAsia"/>
          <w:color w:val="auto"/>
          <w:highlight w:val="none"/>
        </w:rPr>
        <w:t>投标文件格式</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Start w:id="1675" w:name="_Hlt21938933"/>
      <w:bookmarkEnd w:id="1675"/>
    </w:p>
    <w:p>
      <w:pPr>
        <w:pStyle w:val="3"/>
        <w:numPr>
          <w:ilvl w:val="0"/>
          <w:numId w:val="0"/>
        </w:numPr>
        <w:rPr>
          <w:color w:val="auto"/>
          <w:sz w:val="24"/>
          <w:highlight w:val="none"/>
        </w:rPr>
      </w:pPr>
      <w:bookmarkStart w:id="1676" w:name="_Toc336681591"/>
      <w:bookmarkStart w:id="1677" w:name="_Toc339020026"/>
      <w:bookmarkStart w:id="1678" w:name="_Toc349143600"/>
      <w:bookmarkStart w:id="1679" w:name="_Toc342296771"/>
      <w:bookmarkStart w:id="1680" w:name="_Toc340507453"/>
      <w:bookmarkStart w:id="1681" w:name="_Toc333935357"/>
      <w:bookmarkStart w:id="1682" w:name="_Toc339019900"/>
      <w:bookmarkStart w:id="1683" w:name="_Toc332270357"/>
      <w:bookmarkStart w:id="1684" w:name="_Toc337632369"/>
      <w:bookmarkStart w:id="1685" w:name="_Toc365967083"/>
      <w:bookmarkStart w:id="1686" w:name="_Toc330459996"/>
      <w:bookmarkStart w:id="1687" w:name="_Toc336681946"/>
      <w:bookmarkStart w:id="1688" w:name="_Toc350438760"/>
      <w:bookmarkStart w:id="1689" w:name="_Toc339441098"/>
      <w:bookmarkStart w:id="1690" w:name="_Toc350756461"/>
      <w:bookmarkStart w:id="1691" w:name="_Toc366072540"/>
      <w:bookmarkStart w:id="1692" w:name="_Toc341348349"/>
      <w:bookmarkStart w:id="1693" w:name="_Toc339020106"/>
      <w:bookmarkStart w:id="1694" w:name="_Toc11871"/>
      <w:bookmarkStart w:id="1695" w:name="_Toc340677081"/>
      <w:bookmarkStart w:id="1696" w:name="_Toc333237688"/>
      <w:bookmarkStart w:id="1697" w:name="_Toc331512909"/>
      <w:bookmarkStart w:id="1698" w:name="_Toc349127637"/>
      <w:bookmarkStart w:id="1699" w:name="_Toc333935698"/>
      <w:bookmarkStart w:id="1700" w:name="_Toc333237799"/>
      <w:bookmarkStart w:id="1701" w:name="_Toc331684049"/>
      <w:bookmarkStart w:id="1702" w:name="_Toc333238644"/>
      <w:bookmarkStart w:id="1703" w:name="_Toc339020244"/>
      <w:bookmarkStart w:id="1704" w:name="_Toc339362311"/>
      <w:bookmarkStart w:id="1705" w:name="_Toc340672880"/>
      <w:bookmarkStart w:id="1706" w:name="_Toc345513912"/>
      <w:bookmarkStart w:id="1707" w:name="_Toc342060385"/>
      <w:bookmarkStart w:id="1708" w:name="_Toc332206719"/>
      <w:bookmarkStart w:id="1709" w:name="_Toc365985189"/>
      <w:bookmarkStart w:id="1710" w:name="_Hlk534184453"/>
      <w:r>
        <w:rPr>
          <w:rFonts w:hint="eastAsia"/>
          <w:color w:val="auto"/>
          <w:sz w:val="24"/>
          <w:highlight w:val="none"/>
        </w:rPr>
        <w:t>资格审查封面格式</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p>
      <w:pPr>
        <w:rPr>
          <w:rFonts w:hAnsi="宋体"/>
          <w:bCs/>
          <w:color w:val="auto"/>
          <w:sz w:val="21"/>
          <w:highlight w:val="none"/>
        </w:rPr>
      </w:pPr>
    </w:p>
    <w:p>
      <w:pPr>
        <w:spacing w:line="360" w:lineRule="auto"/>
        <w:rPr>
          <w:rFonts w:hAnsi="宋体"/>
          <w:bCs/>
          <w:color w:val="auto"/>
          <w:sz w:val="21"/>
          <w:highlight w:val="none"/>
        </w:rPr>
      </w:pPr>
      <w:r>
        <w:rPr>
          <w:rFonts w:hint="eastAsia" w:hAnsi="宋体"/>
          <w:bCs/>
          <w:color w:val="auto"/>
          <w:sz w:val="21"/>
          <w:highlight w:val="none"/>
        </w:rPr>
        <w:t xml:space="preserve">1、投标内容应当编有目录、页码，按页码排序并装订成册。  </w:t>
      </w:r>
    </w:p>
    <w:p>
      <w:pPr>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spacing w:line="440" w:lineRule="exact"/>
        <w:jc w:val="center"/>
        <w:rPr>
          <w:rFonts w:hAnsi="宋体"/>
          <w:bCs/>
          <w:color w:val="auto"/>
          <w:sz w:val="21"/>
          <w:highlight w:val="none"/>
        </w:rPr>
      </w:pPr>
    </w:p>
    <w:p>
      <w:pPr>
        <w:spacing w:line="440" w:lineRule="exact"/>
        <w:jc w:val="center"/>
        <w:rPr>
          <w:rFonts w:hAnsi="宋体"/>
          <w:bCs/>
          <w:color w:val="auto"/>
          <w:sz w:val="21"/>
          <w:highlight w:val="none"/>
        </w:rPr>
      </w:pPr>
    </w:p>
    <w:p>
      <w:pPr>
        <w:spacing w:line="440" w:lineRule="exact"/>
        <w:jc w:val="center"/>
        <w:rPr>
          <w:rFonts w:hAnsi="宋体"/>
          <w:bCs/>
          <w:color w:val="auto"/>
          <w:sz w:val="21"/>
          <w:highlight w:val="none"/>
        </w:rPr>
      </w:pPr>
    </w:p>
    <w:p>
      <w:pPr>
        <w:spacing w:line="440" w:lineRule="exact"/>
        <w:jc w:val="center"/>
        <w:rPr>
          <w:rFonts w:hAnsi="宋体"/>
          <w:bCs/>
          <w:color w:val="auto"/>
          <w:sz w:val="21"/>
          <w:highlight w:val="none"/>
        </w:rPr>
      </w:pPr>
    </w:p>
    <w:p>
      <w:pPr>
        <w:spacing w:line="360" w:lineRule="auto"/>
        <w:jc w:val="center"/>
        <w:rPr>
          <w:rFonts w:hint="eastAsia" w:hAnsi="宋体"/>
          <w:b/>
          <w:bCs/>
          <w:color w:val="auto"/>
          <w:sz w:val="52"/>
          <w:szCs w:val="52"/>
          <w:highlight w:val="none"/>
        </w:rPr>
      </w:pPr>
    </w:p>
    <w:p>
      <w:pPr>
        <w:spacing w:line="360" w:lineRule="auto"/>
        <w:jc w:val="center"/>
        <w:rPr>
          <w:rFonts w:hint="eastAsia" w:hAnsi="宋体"/>
          <w:b/>
          <w:bCs/>
          <w:color w:val="auto"/>
          <w:sz w:val="52"/>
          <w:szCs w:val="52"/>
          <w:highlight w:val="none"/>
        </w:rPr>
      </w:pPr>
    </w:p>
    <w:p>
      <w:pPr>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pPr>
        <w:spacing w:line="360" w:lineRule="auto"/>
        <w:jc w:val="center"/>
        <w:rPr>
          <w:rFonts w:hAnsi="宋体"/>
          <w:bCs/>
          <w:color w:val="auto"/>
          <w:sz w:val="52"/>
          <w:szCs w:val="52"/>
          <w:highlight w:val="none"/>
        </w:rPr>
      </w:pPr>
      <w:r>
        <w:rPr>
          <w:rFonts w:hint="eastAsia" w:hAnsi="宋体"/>
          <w:b/>
          <w:color w:val="auto"/>
          <w:sz w:val="44"/>
          <w:szCs w:val="44"/>
          <w:highlight w:val="none"/>
        </w:rPr>
        <w:t>（资格审查文件）</w:t>
      </w:r>
    </w:p>
    <w:p>
      <w:pPr>
        <w:spacing w:line="360" w:lineRule="auto"/>
        <w:jc w:val="center"/>
        <w:rPr>
          <w:rFonts w:hAnsi="宋体"/>
          <w:bCs/>
          <w:color w:val="auto"/>
          <w:sz w:val="52"/>
          <w:szCs w:val="52"/>
          <w:highlight w:val="none"/>
        </w:rPr>
      </w:pPr>
    </w:p>
    <w:p>
      <w:pPr>
        <w:spacing w:line="360" w:lineRule="auto"/>
        <w:jc w:val="center"/>
        <w:rPr>
          <w:rFonts w:hAnsi="宋体"/>
          <w:bCs/>
          <w:color w:val="auto"/>
          <w:sz w:val="52"/>
          <w:szCs w:val="52"/>
          <w:highlight w:val="none"/>
        </w:rPr>
      </w:pPr>
    </w:p>
    <w:p>
      <w:pPr>
        <w:spacing w:line="360" w:lineRule="auto"/>
        <w:jc w:val="center"/>
        <w:rPr>
          <w:rFonts w:hAnsi="宋体"/>
          <w:bCs/>
          <w:color w:val="auto"/>
          <w:sz w:val="52"/>
          <w:szCs w:val="52"/>
          <w:highlight w:val="none"/>
        </w:rPr>
      </w:pPr>
    </w:p>
    <w:p>
      <w:pPr>
        <w:spacing w:line="360" w:lineRule="auto"/>
        <w:jc w:val="center"/>
        <w:rPr>
          <w:rFonts w:hAnsi="宋体"/>
          <w:bCs/>
          <w:color w:val="auto"/>
          <w:sz w:val="52"/>
          <w:szCs w:val="52"/>
          <w:highlight w:val="none"/>
        </w:rPr>
      </w:pPr>
    </w:p>
    <w:p>
      <w:pPr>
        <w:spacing w:line="360" w:lineRule="auto"/>
        <w:jc w:val="center"/>
        <w:rPr>
          <w:rFonts w:hAnsi="宋体"/>
          <w:bCs/>
          <w:color w:val="auto"/>
          <w:sz w:val="52"/>
          <w:szCs w:val="52"/>
          <w:highlight w:val="none"/>
        </w:rPr>
      </w:pPr>
    </w:p>
    <w:p>
      <w:pPr>
        <w:spacing w:line="440" w:lineRule="exact"/>
        <w:jc w:val="center"/>
        <w:rPr>
          <w:rFonts w:hAnsi="宋体"/>
          <w:bCs/>
          <w:color w:val="auto"/>
          <w:sz w:val="21"/>
          <w:highlight w:val="none"/>
        </w:rPr>
      </w:pPr>
    </w:p>
    <w:p>
      <w:pPr>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pPr>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pPr>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pPr>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pPr>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pPr>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pStyle w:val="3"/>
        <w:numPr>
          <w:ilvl w:val="7"/>
          <w:numId w:val="6"/>
        </w:numPr>
        <w:tabs>
          <w:tab w:val="clear" w:pos="720"/>
        </w:tabs>
        <w:spacing w:before="240" w:after="240" w:line="360" w:lineRule="exact"/>
        <w:ind w:left="0" w:firstLine="0"/>
        <w:rPr>
          <w:color w:val="auto"/>
          <w:sz w:val="24"/>
          <w:highlight w:val="none"/>
        </w:rPr>
      </w:pPr>
      <w:bookmarkStart w:id="1711" w:name="_Toc30307"/>
      <w:bookmarkStart w:id="1712" w:name="_Toc272497428"/>
      <w:bookmarkStart w:id="1713" w:name="_Toc268004451"/>
      <w:r>
        <w:rPr>
          <w:rFonts w:hint="eastAsia"/>
          <w:color w:val="auto"/>
          <w:sz w:val="24"/>
          <w:highlight w:val="none"/>
        </w:rPr>
        <w:t xml:space="preserve">  </w:t>
      </w:r>
      <w:bookmarkStart w:id="1714" w:name="_Toc13076"/>
      <w:r>
        <w:rPr>
          <w:rFonts w:hint="eastAsia"/>
          <w:color w:val="auto"/>
          <w:sz w:val="24"/>
          <w:highlight w:val="none"/>
        </w:rPr>
        <w:t>自查表</w:t>
      </w:r>
      <w:bookmarkEnd w:id="1711"/>
      <w:bookmarkEnd w:id="1714"/>
    </w:p>
    <w:bookmarkEnd w:id="1712"/>
    <w:bookmarkEnd w:id="1713"/>
    <w:p>
      <w:pPr>
        <w:pStyle w:val="3"/>
        <w:keepLines w:val="0"/>
        <w:numPr>
          <w:ilvl w:val="0"/>
          <w:numId w:val="0"/>
        </w:numPr>
        <w:tabs>
          <w:tab w:val="left" w:pos="4320"/>
        </w:tabs>
        <w:spacing w:before="240" w:after="60" w:line="360" w:lineRule="exact"/>
        <w:rPr>
          <w:rFonts w:ascii="宋体"/>
          <w:b/>
          <w:bCs w:val="0"/>
          <w:color w:val="auto"/>
          <w:szCs w:val="21"/>
          <w:highlight w:val="none"/>
        </w:rPr>
      </w:pPr>
      <w:r>
        <w:rPr>
          <w:rFonts w:hint="eastAsia" w:ascii="宋体"/>
          <w:b/>
          <w:bCs w:val="0"/>
          <w:color w:val="auto"/>
          <w:szCs w:val="21"/>
          <w:highlight w:val="none"/>
        </w:rPr>
        <w:t xml:space="preserve"> </w:t>
      </w:r>
      <w:bookmarkStart w:id="1715" w:name="_Toc5439"/>
      <w:r>
        <w:rPr>
          <w:rFonts w:hint="eastAsia" w:ascii="宋体"/>
          <w:b/>
          <w:bCs w:val="0"/>
          <w:color w:val="auto"/>
          <w:szCs w:val="21"/>
          <w:highlight w:val="none"/>
        </w:rPr>
        <w:t>资格性自查表</w:t>
      </w:r>
      <w:bookmarkEnd w:id="1715"/>
    </w:p>
    <w:p>
      <w:pPr>
        <w:jc w:val="center"/>
        <w:rPr>
          <w:rFonts w:ascii="宋体" w:hAnsi="宋体"/>
          <w:b/>
          <w:bCs/>
          <w:color w:val="auto"/>
          <w:szCs w:val="21"/>
          <w:highlight w:val="none"/>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2828"/>
        <w:gridCol w:w="1847"/>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3"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2828"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847"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434"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trPr>
        <w:tc>
          <w:tcPr>
            <w:tcW w:w="926" w:type="dxa"/>
            <w:vMerge w:val="restart"/>
            <w:vAlign w:val="center"/>
          </w:tcPr>
          <w:p>
            <w:pPr>
              <w:bidi w:val="0"/>
              <w:jc w:val="left"/>
              <w:rPr>
                <w:color w:val="auto"/>
                <w:highlight w:val="none"/>
              </w:rPr>
            </w:pPr>
            <w:r>
              <w:rPr>
                <w:rFonts w:hint="eastAsia"/>
                <w:color w:val="auto"/>
                <w:highlight w:val="none"/>
              </w:rPr>
              <w:t>资格性检查</w:t>
            </w:r>
          </w:p>
        </w:tc>
        <w:tc>
          <w:tcPr>
            <w:tcW w:w="1267" w:type="dxa"/>
            <w:vMerge w:val="restart"/>
            <w:vAlign w:val="center"/>
          </w:tcPr>
          <w:p>
            <w:pPr>
              <w:bidi w:val="0"/>
              <w:jc w:val="left"/>
              <w:rPr>
                <w:color w:val="auto"/>
                <w:highlight w:val="none"/>
              </w:rPr>
            </w:pPr>
            <w:r>
              <w:rPr>
                <w:rFonts w:hint="eastAsia"/>
                <w:color w:val="auto"/>
                <w:highlight w:val="none"/>
              </w:rPr>
              <w:t>投标人资格要求</w:t>
            </w:r>
          </w:p>
        </w:tc>
        <w:tc>
          <w:tcPr>
            <w:tcW w:w="2828" w:type="dxa"/>
            <w:vAlign w:val="center"/>
          </w:tcPr>
          <w:p>
            <w:pPr>
              <w:tabs>
                <w:tab w:val="left" w:pos="0"/>
              </w:tabs>
              <w:rPr>
                <w:rFonts w:ascii="宋体" w:hAnsi="宋体"/>
                <w:b w:val="0"/>
                <w:bCs w:val="0"/>
                <w:color w:val="auto"/>
                <w:szCs w:val="21"/>
                <w:highlight w:val="none"/>
              </w:rPr>
            </w:pPr>
            <w:r>
              <w:rPr>
                <w:rFonts w:hint="eastAsia" w:ascii="宋体" w:hAnsi="宋体"/>
                <w:b w:val="0"/>
                <w:bCs w:val="0"/>
                <w:color w:val="auto"/>
                <w:szCs w:val="21"/>
                <w:highlight w:val="none"/>
              </w:rPr>
              <w:t>投标人应具备《中华人民共和国政府采购法》第二十二条规定的条件</w:t>
            </w:r>
          </w:p>
          <w:p>
            <w:pPr>
              <w:tabs>
                <w:tab w:val="left" w:pos="0"/>
              </w:tabs>
              <w:rPr>
                <w:rFonts w:ascii="宋体" w:hAnsi="宋体"/>
                <w:b w:val="0"/>
                <w:bCs w:val="0"/>
                <w:color w:val="auto"/>
                <w:szCs w:val="21"/>
                <w:highlight w:val="none"/>
              </w:rPr>
            </w:pPr>
          </w:p>
        </w:tc>
        <w:tc>
          <w:tcPr>
            <w:tcW w:w="1847" w:type="dxa"/>
            <w:vAlign w:val="center"/>
          </w:tcPr>
          <w:p>
            <w:pPr>
              <w:tabs>
                <w:tab w:val="left" w:pos="480"/>
              </w:tabs>
              <w:ind w:left="480" w:hanging="480"/>
              <w:rPr>
                <w:rFonts w:ascii="宋体" w:hAnsi="宋体"/>
                <w:b/>
                <w:bCs/>
                <w:color w:val="auto"/>
                <w:szCs w:val="21"/>
                <w:highlight w:val="none"/>
              </w:rPr>
            </w:pPr>
          </w:p>
        </w:tc>
        <w:tc>
          <w:tcPr>
            <w:tcW w:w="2434"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见投标文件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要求：提交合法有效的营业执照复印件加盖公章、</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926" w:type="dxa"/>
            <w:vMerge w:val="continue"/>
            <w:vAlign w:val="center"/>
          </w:tcPr>
          <w:p>
            <w:pPr>
              <w:bidi w:val="0"/>
              <w:jc w:val="left"/>
              <w:rPr>
                <w:rFonts w:hint="eastAsia"/>
                <w:color w:val="auto"/>
                <w:highlight w:val="none"/>
              </w:rPr>
            </w:pPr>
          </w:p>
        </w:tc>
        <w:tc>
          <w:tcPr>
            <w:tcW w:w="1267" w:type="dxa"/>
            <w:vMerge w:val="continue"/>
            <w:vAlign w:val="center"/>
          </w:tcPr>
          <w:p>
            <w:pPr>
              <w:bidi w:val="0"/>
              <w:jc w:val="left"/>
              <w:rPr>
                <w:rFonts w:hint="eastAsia"/>
                <w:color w:val="auto"/>
                <w:highlight w:val="none"/>
              </w:rPr>
            </w:pPr>
          </w:p>
        </w:tc>
        <w:tc>
          <w:tcPr>
            <w:tcW w:w="2828" w:type="dxa"/>
            <w:vAlign w:val="center"/>
          </w:tcPr>
          <w:p>
            <w:pPr>
              <w:tabs>
                <w:tab w:val="left" w:pos="0"/>
              </w:tabs>
              <w:rPr>
                <w:rFonts w:ascii="宋体" w:hAnsi="宋体"/>
                <w:b w:val="0"/>
                <w:bCs w:val="0"/>
                <w:color w:val="auto"/>
                <w:szCs w:val="21"/>
                <w:highlight w:val="none"/>
              </w:rPr>
            </w:pPr>
            <w:r>
              <w:rPr>
                <w:rFonts w:hint="eastAsia" w:ascii="宋体" w:hAnsi="宋体"/>
                <w:b w:val="0"/>
                <w:bCs w:val="0"/>
                <w:color w:val="auto"/>
                <w:szCs w:val="21"/>
                <w:highlight w:val="none"/>
              </w:rPr>
              <w:t>单位负责人为同一人或者存在直接控股、管理关系的不同投标人，不得参加同一合同项下的政府采购活动；（</w:t>
            </w:r>
            <w:r>
              <w:rPr>
                <w:rFonts w:hint="eastAsia" w:ascii="宋体" w:hAnsi="宋体"/>
                <w:b w:val="0"/>
                <w:bCs w:val="0"/>
                <w:color w:val="auto"/>
                <w:szCs w:val="21"/>
                <w:highlight w:val="none"/>
                <w:lang w:val="en-US" w:eastAsia="zh-CN"/>
              </w:rPr>
              <w:t>提供《投标函》承诺</w:t>
            </w:r>
            <w:r>
              <w:rPr>
                <w:rFonts w:hint="eastAsia" w:ascii="宋体" w:hAnsi="宋体"/>
                <w:b w:val="0"/>
                <w:bCs w:val="0"/>
                <w:color w:val="auto"/>
                <w:szCs w:val="21"/>
                <w:highlight w:val="none"/>
              </w:rPr>
              <w:t>）</w:t>
            </w:r>
          </w:p>
        </w:tc>
        <w:tc>
          <w:tcPr>
            <w:tcW w:w="1847" w:type="dxa"/>
            <w:vAlign w:val="center"/>
          </w:tcPr>
          <w:p>
            <w:pPr>
              <w:tabs>
                <w:tab w:val="left" w:pos="480"/>
              </w:tabs>
              <w:ind w:left="480" w:hanging="480"/>
              <w:rPr>
                <w:rFonts w:ascii="宋体" w:hAnsi="宋体"/>
                <w:b/>
                <w:bCs/>
                <w:color w:val="auto"/>
                <w:szCs w:val="21"/>
                <w:highlight w:val="none"/>
              </w:rPr>
            </w:pPr>
          </w:p>
        </w:tc>
        <w:tc>
          <w:tcPr>
            <w:tcW w:w="2434"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926" w:type="dxa"/>
            <w:vMerge w:val="continue"/>
            <w:vAlign w:val="center"/>
          </w:tcPr>
          <w:p>
            <w:pPr>
              <w:bidi w:val="0"/>
              <w:jc w:val="left"/>
              <w:rPr>
                <w:rFonts w:hint="eastAsia"/>
                <w:color w:val="auto"/>
                <w:highlight w:val="none"/>
              </w:rPr>
            </w:pPr>
          </w:p>
        </w:tc>
        <w:tc>
          <w:tcPr>
            <w:tcW w:w="1267" w:type="dxa"/>
            <w:vMerge w:val="continue"/>
            <w:vAlign w:val="center"/>
          </w:tcPr>
          <w:p>
            <w:pPr>
              <w:bidi w:val="0"/>
              <w:jc w:val="left"/>
              <w:rPr>
                <w:rFonts w:hint="eastAsia"/>
                <w:color w:val="auto"/>
                <w:highlight w:val="none"/>
              </w:rPr>
            </w:pPr>
          </w:p>
        </w:tc>
        <w:tc>
          <w:tcPr>
            <w:tcW w:w="2828" w:type="dxa"/>
            <w:vAlign w:val="center"/>
          </w:tcPr>
          <w:p>
            <w:pPr>
              <w:tabs>
                <w:tab w:val="left" w:pos="0"/>
              </w:tabs>
              <w:rPr>
                <w:rFonts w:hint="eastAsia" w:ascii="宋体" w:hAnsi="宋体"/>
                <w:b w:val="0"/>
                <w:bCs w:val="0"/>
                <w:color w:val="auto"/>
                <w:szCs w:val="21"/>
                <w:highlight w:val="none"/>
              </w:rPr>
            </w:pPr>
            <w:r>
              <w:rPr>
                <w:rFonts w:hint="eastAsia" w:ascii="宋体" w:hAnsi="宋体"/>
                <w:b w:val="0"/>
                <w:bCs w:val="0"/>
                <w:color w:val="auto"/>
                <w:szCs w:val="21"/>
                <w:highlight w:val="none"/>
              </w:rPr>
              <w:t>为采购项目提供整体设计、规范编制或者项目管理、监理、检测等服务的投标人，不得再参加该项目的其他采购活动；（</w:t>
            </w:r>
            <w:r>
              <w:rPr>
                <w:rFonts w:hint="eastAsia" w:ascii="宋体" w:hAnsi="宋体"/>
                <w:b w:val="0"/>
                <w:bCs w:val="0"/>
                <w:color w:val="auto"/>
                <w:szCs w:val="21"/>
                <w:highlight w:val="none"/>
                <w:lang w:val="en-US" w:eastAsia="zh-CN"/>
              </w:rPr>
              <w:t>提供《投标函》承诺</w:t>
            </w:r>
            <w:r>
              <w:rPr>
                <w:rFonts w:hint="eastAsia" w:ascii="宋体" w:hAnsi="宋体"/>
                <w:b w:val="0"/>
                <w:bCs w:val="0"/>
                <w:color w:val="auto"/>
                <w:szCs w:val="21"/>
                <w:highlight w:val="none"/>
              </w:rPr>
              <w:t>）</w:t>
            </w:r>
          </w:p>
        </w:tc>
        <w:tc>
          <w:tcPr>
            <w:tcW w:w="1847" w:type="dxa"/>
            <w:vAlign w:val="center"/>
          </w:tcPr>
          <w:p>
            <w:pPr>
              <w:tabs>
                <w:tab w:val="left" w:pos="480"/>
              </w:tabs>
              <w:ind w:left="480" w:hanging="480"/>
              <w:rPr>
                <w:rFonts w:ascii="宋体" w:hAnsi="宋体"/>
                <w:b/>
                <w:bCs/>
                <w:color w:val="auto"/>
                <w:szCs w:val="21"/>
                <w:highlight w:val="none"/>
              </w:rPr>
            </w:pPr>
          </w:p>
        </w:tc>
        <w:tc>
          <w:tcPr>
            <w:tcW w:w="2434"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26" w:type="dxa"/>
            <w:vMerge w:val="continue"/>
            <w:vAlign w:val="center"/>
          </w:tcPr>
          <w:p>
            <w:pPr>
              <w:bidi w:val="0"/>
              <w:jc w:val="left"/>
              <w:rPr>
                <w:color w:val="auto"/>
                <w:highlight w:val="none"/>
              </w:rPr>
            </w:pPr>
          </w:p>
        </w:tc>
        <w:tc>
          <w:tcPr>
            <w:tcW w:w="1267" w:type="dxa"/>
            <w:vAlign w:val="center"/>
          </w:tcPr>
          <w:p>
            <w:pPr>
              <w:bidi w:val="0"/>
              <w:jc w:val="left"/>
              <w:rPr>
                <w:color w:val="auto"/>
                <w:highlight w:val="none"/>
              </w:rPr>
            </w:pPr>
            <w:r>
              <w:rPr>
                <w:rFonts w:hint="eastAsia"/>
                <w:color w:val="auto"/>
                <w:highlight w:val="none"/>
              </w:rPr>
              <w:t>不接受联合体投标</w:t>
            </w:r>
          </w:p>
        </w:tc>
        <w:tc>
          <w:tcPr>
            <w:tcW w:w="2828"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847" w:type="dxa"/>
            <w:vAlign w:val="center"/>
          </w:tcPr>
          <w:p>
            <w:pPr>
              <w:tabs>
                <w:tab w:val="left" w:pos="480"/>
              </w:tabs>
              <w:ind w:left="-107" w:leftChars="-51" w:firstLine="106"/>
              <w:rPr>
                <w:rFonts w:ascii="宋体" w:hAnsi="宋体"/>
                <w:b/>
                <w:bCs/>
                <w:color w:val="auto"/>
                <w:szCs w:val="21"/>
                <w:highlight w:val="none"/>
              </w:rPr>
            </w:pPr>
          </w:p>
        </w:tc>
        <w:tc>
          <w:tcPr>
            <w:tcW w:w="2434"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pPr>
        <w:tabs>
          <w:tab w:val="center" w:pos="4483"/>
        </w:tabs>
        <w:ind w:left="315" w:leftChars="50" w:hanging="210" w:hangingChars="100"/>
        <w:rPr>
          <w:rFonts w:ascii="宋体" w:hAnsi="宋体"/>
          <w:color w:val="auto"/>
          <w:szCs w:val="21"/>
          <w:highlight w:val="none"/>
        </w:rPr>
      </w:pPr>
    </w:p>
    <w:p>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525" w:leftChars="50" w:hanging="420" w:hangingChars="200"/>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pPr>
        <w:adjustRightInd w:val="0"/>
        <w:snapToGrid w:val="0"/>
        <w:spacing w:line="300" w:lineRule="auto"/>
        <w:rPr>
          <w:color w:val="auto"/>
          <w:szCs w:val="21"/>
          <w:highlight w:val="none"/>
        </w:rPr>
      </w:pPr>
    </w:p>
    <w:p>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pPr>
        <w:adjustRightInd w:val="0"/>
        <w:snapToGrid w:val="0"/>
        <w:spacing w:line="300" w:lineRule="auto"/>
        <w:rPr>
          <w:color w:val="auto"/>
          <w:sz w:val="24"/>
          <w:highlight w:val="none"/>
        </w:rPr>
      </w:pPr>
    </w:p>
    <w:p>
      <w:pPr>
        <w:tabs>
          <w:tab w:val="left" w:pos="1004"/>
          <w:tab w:val="left" w:pos="4267"/>
        </w:tabs>
        <w:spacing w:line="400" w:lineRule="exact"/>
        <w:rPr>
          <w:rFonts w:ascii="宋体" w:hAnsi="宋体"/>
          <w:bCs/>
          <w:color w:val="auto"/>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56"/>
    <w:bookmarkEnd w:id="1357"/>
    <w:bookmarkEnd w:id="1358"/>
    <w:bookmarkEnd w:id="1359"/>
    <w:bookmarkEnd w:id="1360"/>
    <w:p>
      <w:pPr>
        <w:pStyle w:val="3"/>
        <w:numPr>
          <w:ilvl w:val="0"/>
          <w:numId w:val="0"/>
        </w:numPr>
        <w:rPr>
          <w:color w:val="auto"/>
          <w:highlight w:val="none"/>
        </w:rPr>
      </w:pPr>
      <w:bookmarkStart w:id="1716" w:name="_Toc24588"/>
      <w:bookmarkStart w:id="1717" w:name="_Toc399684363"/>
      <w:bookmarkStart w:id="1718" w:name="_Toc399147593"/>
      <w:bookmarkStart w:id="1719" w:name="_Toc382404102"/>
      <w:bookmarkStart w:id="1720" w:name="_Toc332270360"/>
      <w:bookmarkStart w:id="1721" w:name="_Toc339020246"/>
      <w:bookmarkStart w:id="1722" w:name="_Toc340677083"/>
      <w:bookmarkStart w:id="1723" w:name="_Toc339020108"/>
      <w:bookmarkStart w:id="1724" w:name="_Toc332206722"/>
      <w:bookmarkStart w:id="1725" w:name="_Toc336681593"/>
      <w:bookmarkStart w:id="1726" w:name="_Toc339019902"/>
      <w:bookmarkStart w:id="1727" w:name="_Toc337632371"/>
      <w:bookmarkStart w:id="1728" w:name="_Toc333935700"/>
      <w:bookmarkStart w:id="1729" w:name="_Toc343248431"/>
      <w:bookmarkStart w:id="1730" w:name="_Toc330459999"/>
      <w:bookmarkStart w:id="1731" w:name="_Toc336681948"/>
      <w:bookmarkStart w:id="1732" w:name="_Toc343612933"/>
      <w:bookmarkStart w:id="1733" w:name="_Toc365985191"/>
      <w:bookmarkStart w:id="1734" w:name="_Toc333935359"/>
      <w:bookmarkStart w:id="1735" w:name="_Toc341348353"/>
      <w:bookmarkStart w:id="1736" w:name="_Toc342398143"/>
      <w:bookmarkStart w:id="1737" w:name="_Toc333237802"/>
      <w:bookmarkStart w:id="1738" w:name="_Toc365967085"/>
      <w:bookmarkStart w:id="1739" w:name="_Toc350438762"/>
      <w:bookmarkStart w:id="1740" w:name="_Toc340672882"/>
      <w:bookmarkStart w:id="1741" w:name="_Toc342312456"/>
      <w:bookmarkStart w:id="1742" w:name="_Toc350756463"/>
      <w:bookmarkStart w:id="1743" w:name="_Toc339441100"/>
      <w:bookmarkStart w:id="1744" w:name="_Toc342060388"/>
      <w:bookmarkStart w:id="1745" w:name="_Toc342296774"/>
      <w:bookmarkStart w:id="1746" w:name="_Toc339362313"/>
      <w:bookmarkStart w:id="1747" w:name="_Toc366072542"/>
      <w:bookmarkStart w:id="1748" w:name="_Toc339020028"/>
      <w:bookmarkStart w:id="1749" w:name="_Toc333238647"/>
      <w:bookmarkStart w:id="1750" w:name="_Toc333237691"/>
      <w:bookmarkStart w:id="1751" w:name="_Toc340507455"/>
      <w:bookmarkStart w:id="1752" w:name="_Toc331512914"/>
      <w:bookmarkStart w:id="1753" w:name="_Toc345312610"/>
      <w:bookmarkStart w:id="1754" w:name="_Toc331684055"/>
      <w:bookmarkStart w:id="1755" w:name="_Toc343247113"/>
      <w:bookmarkStart w:id="1756" w:name="_Toc6397150"/>
      <w:bookmarkStart w:id="1757" w:name="_Toc6727971"/>
      <w:bookmarkStart w:id="1758" w:name="_Toc480021081"/>
      <w:bookmarkStart w:id="1759" w:name="_Toc468157564"/>
      <w:bookmarkStart w:id="1760" w:name="_Toc500861026"/>
      <w:bookmarkStart w:id="1761" w:name="_Toc467236768"/>
      <w:bookmarkStart w:id="1762" w:name="_Toc458262638"/>
      <w:bookmarkStart w:id="1763" w:name="_Toc467987851"/>
      <w:bookmarkStart w:id="1764" w:name="_Toc491658679"/>
      <w:bookmarkStart w:id="1765" w:name="_Toc468606057"/>
      <w:bookmarkStart w:id="1766" w:name="_Toc480020285"/>
      <w:bookmarkStart w:id="1767" w:name="_Toc479991610"/>
      <w:bookmarkStart w:id="1768" w:name="_Toc480010736"/>
      <w:bookmarkStart w:id="1769" w:name="_Toc454701405"/>
      <w:r>
        <w:rPr>
          <w:rFonts w:hint="eastAsia"/>
          <w:color w:val="auto"/>
          <w:highlight w:val="none"/>
        </w:rPr>
        <w:t>（一）资格审查文件要求提交的有效证明文件</w:t>
      </w:r>
      <w:bookmarkEnd w:id="1716"/>
    </w:p>
    <w:p>
      <w:pPr>
        <w:adjustRightInd w:val="0"/>
        <w:snapToGrid w:val="0"/>
        <w:spacing w:line="360" w:lineRule="auto"/>
        <w:jc w:val="left"/>
        <w:rPr>
          <w:rFonts w:ascii="宋体" w:hAnsi="宋体"/>
          <w:b/>
          <w:bCs/>
          <w:cap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C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p>
    <w:p>
      <w:pPr>
        <w:rPr>
          <w:color w:val="auto"/>
          <w:highlight w:val="none"/>
        </w:rPr>
      </w:pP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bookmarkEnd w:id="1717"/>
    <w:bookmarkEnd w:id="1718"/>
    <w:p>
      <w:pPr>
        <w:rPr>
          <w:rFonts w:hAnsi="宋体"/>
          <w:bCs/>
          <w:color w:val="auto"/>
          <w:sz w:val="21"/>
          <w:szCs w:val="21"/>
          <w:highlight w:val="none"/>
        </w:rPr>
      </w:pPr>
    </w:p>
    <w:p>
      <w:pPr>
        <w:rPr>
          <w:rFonts w:hAnsi="宋体"/>
          <w:bCs/>
          <w:color w:val="auto"/>
          <w:sz w:val="21"/>
          <w:szCs w:val="21"/>
          <w:highlight w:val="none"/>
        </w:rPr>
      </w:pPr>
    </w:p>
    <w:p>
      <w:pPr>
        <w:rPr>
          <w:rFonts w:hAnsi="宋体"/>
          <w:bCs/>
          <w:color w:val="auto"/>
          <w:sz w:val="21"/>
          <w:szCs w:val="21"/>
          <w:highlight w:val="none"/>
        </w:rPr>
      </w:pPr>
    </w:p>
    <w:p>
      <w:pPr>
        <w:rPr>
          <w:rFonts w:hAnsi="宋体"/>
          <w:bCs/>
          <w:color w:val="auto"/>
          <w:sz w:val="21"/>
          <w:szCs w:val="21"/>
          <w:highlight w:val="none"/>
        </w:rPr>
      </w:pPr>
    </w:p>
    <w:p>
      <w:pPr>
        <w:rPr>
          <w:rFonts w:hAnsi="宋体"/>
          <w:color w:val="auto"/>
          <w:sz w:val="21"/>
          <w:szCs w:val="21"/>
          <w:highlight w:val="none"/>
        </w:rPr>
      </w:pPr>
      <w:r>
        <w:rPr>
          <w:rFonts w:hint="eastAsia" w:hAnsi="宋体"/>
          <w:bCs/>
          <w:color w:val="auto"/>
          <w:sz w:val="21"/>
          <w:szCs w:val="21"/>
          <w:highlight w:val="none"/>
        </w:rPr>
        <w:t>提供招标文件要求的资格</w:t>
      </w:r>
      <w:r>
        <w:rPr>
          <w:rFonts w:hint="eastAsia" w:hAnsi="宋体"/>
          <w:color w:val="auto"/>
          <w:sz w:val="21"/>
          <w:szCs w:val="21"/>
          <w:highlight w:val="none"/>
        </w:rPr>
        <w:t>证明文件复印件加盖公章。</w:t>
      </w: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pStyle w:val="54"/>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pStyle w:val="3"/>
        <w:numPr>
          <w:ilvl w:val="0"/>
          <w:numId w:val="0"/>
        </w:numPr>
        <w:rPr>
          <w:rFonts w:hAnsi="黑体"/>
          <w:color w:val="auto"/>
          <w:szCs w:val="21"/>
          <w:highlight w:val="none"/>
        </w:rPr>
      </w:pPr>
      <w:bookmarkStart w:id="1770" w:name="_Toc9510"/>
      <w:r>
        <w:rPr>
          <w:rFonts w:hint="eastAsia" w:hAnsi="黑体"/>
          <w:color w:val="auto"/>
          <w:szCs w:val="21"/>
          <w:highlight w:val="none"/>
        </w:rPr>
        <w:t>（二）无重大违法记录声明函</w:t>
      </w:r>
      <w:bookmarkEnd w:id="1719"/>
      <w:bookmarkEnd w:id="1770"/>
    </w:p>
    <w:p>
      <w:pPr>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致广东业信采购招标有限公司：</w:t>
      </w:r>
    </w:p>
    <w:p>
      <w:pPr>
        <w:spacing w:line="360" w:lineRule="auto"/>
        <w:rPr>
          <w:rFonts w:ascii="宋体" w:hAnsi="宋体"/>
          <w:bCs/>
          <w:color w:val="auto"/>
          <w:highlight w:val="none"/>
          <w:u w:val="single"/>
        </w:rPr>
      </w:pPr>
      <w:r>
        <w:rPr>
          <w:rFonts w:hint="eastAsia"/>
          <w:color w:val="auto"/>
          <w:szCs w:val="21"/>
          <w:highlight w:val="none"/>
        </w:rPr>
        <w:t xml:space="preserve">    针对贵</w:t>
      </w:r>
      <w:r>
        <w:rPr>
          <w:rFonts w:hint="eastAsia" w:ascii="宋体" w:hAnsi="宋体"/>
          <w:color w:val="auto"/>
          <w:szCs w:val="21"/>
          <w:highlight w:val="none"/>
        </w:rPr>
        <w:t>方</w:t>
      </w:r>
      <w:r>
        <w:rPr>
          <w:rFonts w:hint="eastAsia"/>
          <w:color w:val="auto"/>
          <w:szCs w:val="21"/>
          <w:highlight w:val="none"/>
        </w:rPr>
        <w:t>组织的（项目名称：</w:t>
      </w:r>
      <w:r>
        <w:rPr>
          <w:rFonts w:hint="eastAsia"/>
          <w:color w:val="auto"/>
          <w:szCs w:val="21"/>
          <w:highlight w:val="none"/>
          <w:u w:val="single"/>
        </w:rPr>
        <w:t xml:space="preserve">                         </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 xml:space="preserve">    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 xml:space="preserve">    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 xml:space="preserve">    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spacing w:line="360" w:lineRule="auto"/>
        <w:rPr>
          <w:color w:val="auto"/>
          <w:szCs w:val="21"/>
          <w:highlight w:val="none"/>
          <w:u w:val="single"/>
        </w:rPr>
      </w:pPr>
      <w:r>
        <w:rPr>
          <w:rFonts w:hint="eastAsia"/>
          <w:color w:val="auto"/>
          <w:szCs w:val="21"/>
          <w:highlight w:val="none"/>
        </w:rPr>
        <w:t>投标人名称（公章）：</w:t>
      </w:r>
      <w:r>
        <w:rPr>
          <w:rFonts w:hint="eastAsia"/>
          <w:color w:val="auto"/>
          <w:szCs w:val="21"/>
          <w:highlight w:val="none"/>
          <w:u w:val="single"/>
        </w:rPr>
        <w:t xml:space="preserve">                        </w:t>
      </w:r>
    </w:p>
    <w:p>
      <w:pPr>
        <w:spacing w:line="360" w:lineRule="auto"/>
        <w:rPr>
          <w:color w:val="auto"/>
          <w:szCs w:val="21"/>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ind w:left="420" w:firstLine="0"/>
        <w:rPr>
          <w:color w:val="auto"/>
          <w:highlight w:val="none"/>
        </w:rPr>
      </w:pPr>
    </w:p>
    <w:p>
      <w:pPr>
        <w:ind w:left="420" w:firstLine="0"/>
        <w:rPr>
          <w:color w:val="auto"/>
          <w:highlight w:val="none"/>
        </w:rPr>
      </w:pPr>
    </w:p>
    <w:p>
      <w:pPr>
        <w:ind w:left="420" w:firstLine="0"/>
        <w:rPr>
          <w:color w:val="auto"/>
          <w:highlight w:val="none"/>
        </w:rPr>
      </w:pPr>
    </w:p>
    <w:p>
      <w:pPr>
        <w:ind w:left="420" w:firstLine="0"/>
        <w:rPr>
          <w:color w:val="auto"/>
          <w:highlight w:val="none"/>
        </w:rPr>
      </w:pPr>
    </w:p>
    <w:p>
      <w:pPr>
        <w:ind w:left="420" w:firstLine="0"/>
        <w:rPr>
          <w:color w:val="auto"/>
          <w:highlight w:val="none"/>
        </w:rPr>
      </w:pPr>
    </w:p>
    <w:p>
      <w:pPr>
        <w:ind w:left="420" w:firstLine="0"/>
        <w:rPr>
          <w:color w:val="auto"/>
          <w:highlight w:val="none"/>
        </w:rPr>
      </w:pPr>
    </w:p>
    <w:p>
      <w:pPr>
        <w:ind w:left="420" w:firstLine="0"/>
        <w:rPr>
          <w:color w:val="auto"/>
          <w:highlight w:val="none"/>
        </w:rPr>
      </w:pPr>
    </w:p>
    <w:p>
      <w:pPr>
        <w:ind w:firstLine="0"/>
        <w:rPr>
          <w:color w:val="auto"/>
          <w:highlight w:val="none"/>
        </w:rPr>
      </w:pPr>
    </w:p>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pStyle w:val="3"/>
        <w:numPr>
          <w:ilvl w:val="7"/>
          <w:numId w:val="6"/>
        </w:numPr>
        <w:tabs>
          <w:tab w:val="clear" w:pos="720"/>
        </w:tabs>
        <w:ind w:left="720"/>
        <w:rPr>
          <w:color w:val="auto"/>
          <w:highlight w:val="none"/>
        </w:rPr>
      </w:pPr>
      <w:bookmarkStart w:id="1771" w:name="_Toc340507462"/>
      <w:bookmarkStart w:id="1772" w:name="_Toc336681600"/>
      <w:bookmarkStart w:id="1773" w:name="_Toc333237698"/>
      <w:bookmarkStart w:id="1774" w:name="_Toc337632378"/>
      <w:bookmarkStart w:id="1775" w:name="_Toc339019909"/>
      <w:bookmarkStart w:id="1776" w:name="_Toc342312463"/>
      <w:bookmarkStart w:id="1777" w:name="_Toc333935707"/>
      <w:bookmarkStart w:id="1778" w:name="_Toc333935366"/>
      <w:bookmarkStart w:id="1779" w:name="_Toc339020035"/>
      <w:bookmarkStart w:id="1780" w:name="_Toc339020253"/>
      <w:bookmarkStart w:id="1781" w:name="_Toc336681955"/>
      <w:bookmarkStart w:id="1782" w:name="_Toc333237809"/>
      <w:bookmarkStart w:id="1783" w:name="_Toc340672889"/>
      <w:bookmarkStart w:id="1784" w:name="_Toc342296781"/>
      <w:bookmarkStart w:id="1785" w:name="_Toc345312617"/>
      <w:bookmarkStart w:id="1786" w:name="_Toc343247120"/>
      <w:bookmarkStart w:id="1787" w:name="_Toc332206729"/>
      <w:bookmarkStart w:id="1788" w:name="_Toc331512921"/>
      <w:bookmarkStart w:id="1789" w:name="_Toc332270367"/>
      <w:bookmarkStart w:id="1790" w:name="_Toc341348360"/>
      <w:bookmarkStart w:id="1791" w:name="_Toc342398150"/>
      <w:bookmarkStart w:id="1792" w:name="_Toc339362320"/>
      <w:bookmarkStart w:id="1793" w:name="_Toc366072549"/>
      <w:bookmarkStart w:id="1794" w:name="_Toc342060395"/>
      <w:bookmarkStart w:id="1795" w:name="_Toc350438769"/>
      <w:bookmarkStart w:id="1796" w:name="_Toc365985198"/>
      <w:bookmarkStart w:id="1797" w:name="_Toc340677090"/>
      <w:bookmarkStart w:id="1798" w:name="_Toc331684062"/>
      <w:bookmarkStart w:id="1799" w:name="_Toc14598"/>
      <w:bookmarkStart w:id="1800" w:name="_Toc350756470"/>
      <w:bookmarkStart w:id="1801" w:name="_Toc343612940"/>
      <w:bookmarkStart w:id="1802" w:name="_Toc330460006"/>
      <w:bookmarkStart w:id="1803" w:name="_Toc339441107"/>
      <w:bookmarkStart w:id="1804" w:name="_Toc339020115"/>
      <w:bookmarkStart w:id="1805" w:name="_Toc365967092"/>
      <w:bookmarkStart w:id="1806" w:name="_Toc333238654"/>
      <w:bookmarkStart w:id="1807" w:name="_Toc343248438"/>
      <w:r>
        <w:rPr>
          <w:rFonts w:hint="eastAsia"/>
          <w:color w:val="auto"/>
          <w:highlight w:val="none"/>
        </w:rPr>
        <w:t>投标文件商务及技术部分</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pPr>
        <w:pStyle w:val="3"/>
        <w:numPr>
          <w:ilvl w:val="0"/>
          <w:numId w:val="0"/>
        </w:numPr>
        <w:rPr>
          <w:color w:val="auto"/>
          <w:sz w:val="24"/>
          <w:highlight w:val="none"/>
        </w:rPr>
      </w:pPr>
      <w:bookmarkStart w:id="1808" w:name="_Toc6353"/>
      <w:r>
        <w:rPr>
          <w:rFonts w:hint="eastAsia"/>
          <w:color w:val="auto"/>
          <w:sz w:val="24"/>
          <w:highlight w:val="none"/>
        </w:rPr>
        <w:t>商务及技术封面格式</w:t>
      </w:r>
      <w:bookmarkEnd w:id="1808"/>
    </w:p>
    <w:p>
      <w:pPr>
        <w:rPr>
          <w:rFonts w:hAnsi="宋体"/>
          <w:bCs/>
          <w:color w:val="auto"/>
          <w:sz w:val="21"/>
          <w:highlight w:val="none"/>
        </w:rPr>
      </w:pPr>
    </w:p>
    <w:p>
      <w:pPr>
        <w:spacing w:line="360" w:lineRule="auto"/>
        <w:rPr>
          <w:rFonts w:hAnsi="宋体"/>
          <w:bCs/>
          <w:color w:val="auto"/>
          <w:sz w:val="21"/>
          <w:highlight w:val="none"/>
        </w:rPr>
      </w:pPr>
      <w:r>
        <w:rPr>
          <w:rFonts w:hAnsi="宋体"/>
          <w:bCs/>
          <w:color w:val="auto"/>
          <w:sz w:val="21"/>
          <w:highlight w:val="none"/>
        </w:rPr>
        <w:t>1</w:t>
      </w:r>
      <w:r>
        <w:rPr>
          <w:rFonts w:hint="eastAsia" w:hAnsi="宋体"/>
          <w:bCs/>
          <w:color w:val="auto"/>
          <w:sz w:val="21"/>
          <w:highlight w:val="none"/>
        </w:rPr>
        <w:t xml:space="preserve">、投标内容应当编目录、页码，按页码排序并装订成册。   </w:t>
      </w:r>
    </w:p>
    <w:p>
      <w:pPr>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pStyle w:val="54"/>
        <w:rPr>
          <w:rFonts w:hAnsi="宋体"/>
          <w:bCs/>
          <w:color w:val="auto"/>
          <w:sz w:val="21"/>
          <w:highlight w:val="none"/>
        </w:rPr>
      </w:pPr>
    </w:p>
    <w:p>
      <w:pPr>
        <w:pStyle w:val="54"/>
        <w:rPr>
          <w:rFonts w:hAnsi="宋体"/>
          <w:bCs/>
          <w:color w:val="auto"/>
          <w:sz w:val="21"/>
          <w:highlight w:val="none"/>
        </w:rPr>
      </w:pPr>
    </w:p>
    <w:p>
      <w:pPr>
        <w:pStyle w:val="54"/>
        <w:rPr>
          <w:rFonts w:hAnsi="宋体"/>
          <w:bCs/>
          <w:color w:val="auto"/>
          <w:sz w:val="21"/>
          <w:highlight w:val="none"/>
        </w:rPr>
      </w:pPr>
    </w:p>
    <w:p>
      <w:pPr>
        <w:pStyle w:val="54"/>
        <w:rPr>
          <w:rFonts w:hAnsi="宋体"/>
          <w:bCs/>
          <w:color w:val="auto"/>
          <w:sz w:val="21"/>
          <w:highlight w:val="none"/>
        </w:rPr>
      </w:pPr>
    </w:p>
    <w:p>
      <w:pPr>
        <w:pStyle w:val="54"/>
        <w:rPr>
          <w:rFonts w:hAnsi="宋体"/>
          <w:bCs/>
          <w:color w:val="auto"/>
          <w:sz w:val="21"/>
          <w:highlight w:val="none"/>
        </w:rPr>
      </w:pPr>
    </w:p>
    <w:p>
      <w:pPr>
        <w:pStyle w:val="54"/>
        <w:rPr>
          <w:rFonts w:hAnsi="宋体"/>
          <w:bCs/>
          <w:color w:val="auto"/>
          <w:sz w:val="21"/>
          <w:highlight w:val="none"/>
        </w:rPr>
      </w:pPr>
    </w:p>
    <w:p>
      <w:pPr>
        <w:pStyle w:val="54"/>
        <w:rPr>
          <w:rFonts w:hAnsi="宋体"/>
          <w:bCs/>
          <w:color w:val="auto"/>
          <w:sz w:val="21"/>
          <w:highlight w:val="none"/>
        </w:rPr>
      </w:pPr>
    </w:p>
    <w:p>
      <w:pPr>
        <w:rPr>
          <w:rFonts w:hAnsi="宋体"/>
          <w:bCs/>
          <w:color w:val="auto"/>
          <w:sz w:val="21"/>
          <w:highlight w:val="none"/>
        </w:rPr>
      </w:pPr>
    </w:p>
    <w:p>
      <w:pPr>
        <w:rPr>
          <w:rFonts w:hAnsi="宋体"/>
          <w:bCs/>
          <w:color w:val="auto"/>
          <w:sz w:val="21"/>
          <w:highlight w:val="none"/>
        </w:rPr>
      </w:pPr>
    </w:p>
    <w:p>
      <w:pPr>
        <w:spacing w:line="440" w:lineRule="exact"/>
        <w:jc w:val="center"/>
        <w:rPr>
          <w:rFonts w:hAnsi="宋体"/>
          <w:bCs/>
          <w:color w:val="auto"/>
          <w:sz w:val="21"/>
          <w:highlight w:val="none"/>
        </w:rPr>
      </w:pPr>
    </w:p>
    <w:p>
      <w:pPr>
        <w:spacing w:line="440" w:lineRule="exact"/>
        <w:jc w:val="center"/>
        <w:rPr>
          <w:rFonts w:hAnsi="宋体"/>
          <w:bCs/>
          <w:color w:val="auto"/>
          <w:sz w:val="21"/>
          <w:highlight w:val="none"/>
        </w:rPr>
      </w:pPr>
    </w:p>
    <w:p>
      <w:pPr>
        <w:spacing w:line="440" w:lineRule="exact"/>
        <w:jc w:val="center"/>
        <w:rPr>
          <w:rFonts w:hAnsi="宋体"/>
          <w:bCs/>
          <w:color w:val="auto"/>
          <w:sz w:val="21"/>
          <w:highlight w:val="none"/>
        </w:rPr>
      </w:pPr>
    </w:p>
    <w:p>
      <w:pPr>
        <w:pStyle w:val="54"/>
        <w:rPr>
          <w:color w:val="auto"/>
          <w:highlight w:val="none"/>
        </w:rPr>
      </w:pPr>
    </w:p>
    <w:p>
      <w:pPr>
        <w:spacing w:line="440" w:lineRule="exact"/>
        <w:jc w:val="center"/>
        <w:rPr>
          <w:rFonts w:hAnsi="宋体"/>
          <w:bCs/>
          <w:color w:val="auto"/>
          <w:sz w:val="21"/>
          <w:highlight w:val="none"/>
        </w:rPr>
      </w:pPr>
    </w:p>
    <w:p>
      <w:pPr>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pPr>
        <w:spacing w:line="360" w:lineRule="auto"/>
        <w:jc w:val="center"/>
        <w:rPr>
          <w:rFonts w:hAnsi="宋体"/>
          <w:bCs/>
          <w:color w:val="auto"/>
          <w:sz w:val="52"/>
          <w:szCs w:val="52"/>
          <w:highlight w:val="none"/>
        </w:rPr>
      </w:pPr>
      <w:r>
        <w:rPr>
          <w:rFonts w:hint="eastAsia" w:hAnsi="宋体"/>
          <w:b/>
          <w:color w:val="auto"/>
          <w:sz w:val="44"/>
          <w:szCs w:val="44"/>
          <w:highlight w:val="none"/>
        </w:rPr>
        <w:t>（商务及技术文件）</w:t>
      </w:r>
    </w:p>
    <w:p>
      <w:pPr>
        <w:spacing w:line="360" w:lineRule="auto"/>
        <w:jc w:val="center"/>
        <w:rPr>
          <w:rFonts w:hAnsi="宋体"/>
          <w:bCs/>
          <w:color w:val="auto"/>
          <w:sz w:val="52"/>
          <w:szCs w:val="52"/>
          <w:highlight w:val="none"/>
        </w:rPr>
      </w:pPr>
    </w:p>
    <w:p>
      <w:pPr>
        <w:spacing w:line="360" w:lineRule="auto"/>
        <w:jc w:val="center"/>
        <w:rPr>
          <w:rFonts w:hAnsi="宋体"/>
          <w:bCs/>
          <w:color w:val="auto"/>
          <w:sz w:val="52"/>
          <w:szCs w:val="52"/>
          <w:highlight w:val="none"/>
        </w:rPr>
      </w:pPr>
    </w:p>
    <w:p>
      <w:pPr>
        <w:spacing w:line="360" w:lineRule="auto"/>
        <w:jc w:val="center"/>
        <w:rPr>
          <w:rFonts w:hAnsi="宋体"/>
          <w:bCs/>
          <w:color w:val="auto"/>
          <w:sz w:val="52"/>
          <w:szCs w:val="52"/>
          <w:highlight w:val="none"/>
        </w:rPr>
      </w:pPr>
    </w:p>
    <w:p>
      <w:pPr>
        <w:spacing w:line="360" w:lineRule="auto"/>
        <w:jc w:val="center"/>
        <w:rPr>
          <w:rFonts w:hAnsi="宋体"/>
          <w:bCs/>
          <w:color w:val="auto"/>
          <w:sz w:val="52"/>
          <w:szCs w:val="52"/>
          <w:highlight w:val="none"/>
        </w:rPr>
      </w:pPr>
    </w:p>
    <w:p>
      <w:pPr>
        <w:spacing w:line="360" w:lineRule="auto"/>
        <w:jc w:val="center"/>
        <w:rPr>
          <w:rFonts w:hAnsi="宋体"/>
          <w:bCs/>
          <w:color w:val="auto"/>
          <w:sz w:val="52"/>
          <w:szCs w:val="52"/>
          <w:highlight w:val="none"/>
        </w:rPr>
      </w:pPr>
    </w:p>
    <w:p>
      <w:pPr>
        <w:spacing w:line="440" w:lineRule="exact"/>
        <w:jc w:val="center"/>
        <w:rPr>
          <w:rFonts w:hAnsi="宋体"/>
          <w:bCs/>
          <w:color w:val="auto"/>
          <w:sz w:val="21"/>
          <w:highlight w:val="none"/>
        </w:rPr>
      </w:pPr>
    </w:p>
    <w:p>
      <w:pPr>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pPr>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pPr>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pPr>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pPr>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pPr>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pPr>
        <w:tabs>
          <w:tab w:val="left" w:pos="1004"/>
          <w:tab w:val="left" w:pos="4267"/>
        </w:tabs>
        <w:spacing w:line="400" w:lineRule="exact"/>
        <w:rPr>
          <w:rFonts w:ascii="宋体" w:hAnsi="宋体"/>
          <w:bCs/>
          <w:color w:val="auto"/>
          <w:highlight w:val="none"/>
        </w:rPr>
      </w:pPr>
    </w:p>
    <w:p>
      <w:pPr>
        <w:rPr>
          <w:color w:val="auto"/>
          <w:highlight w:val="none"/>
        </w:rPr>
      </w:pPr>
    </w:p>
    <w:p>
      <w:pPr>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3"/>
        <w:keepLines w:val="0"/>
        <w:numPr>
          <w:ilvl w:val="0"/>
          <w:numId w:val="0"/>
        </w:numPr>
        <w:tabs>
          <w:tab w:val="left" w:pos="4320"/>
        </w:tabs>
        <w:spacing w:before="240" w:after="60" w:line="360" w:lineRule="exact"/>
        <w:rPr>
          <w:rFonts w:ascii="宋体"/>
          <w:b/>
          <w:bCs w:val="0"/>
          <w:color w:val="auto"/>
          <w:szCs w:val="21"/>
          <w:highlight w:val="none"/>
        </w:rPr>
      </w:pPr>
      <w:bookmarkStart w:id="1809" w:name="_Toc6240"/>
      <w:r>
        <w:rPr>
          <w:rFonts w:hint="eastAsia" w:ascii="宋体"/>
          <w:b/>
          <w:bCs w:val="0"/>
          <w:color w:val="auto"/>
          <w:szCs w:val="21"/>
          <w:highlight w:val="none"/>
        </w:rPr>
        <w:t>符合性自查表</w:t>
      </w:r>
      <w:bookmarkEnd w:id="1809"/>
    </w:p>
    <w:p>
      <w:pPr>
        <w:jc w:val="center"/>
        <w:rPr>
          <w:rFonts w:ascii="宋体" w:hAnsi="宋体"/>
          <w:b/>
          <w:bCs/>
          <w:color w:val="auto"/>
          <w:szCs w:val="21"/>
          <w:highlight w:val="none"/>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1958"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1966"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374" w:type="dxa"/>
            <w:vMerge w:val="restart"/>
            <w:vAlign w:val="center"/>
          </w:tcPr>
          <w:p>
            <w:pPr>
              <w:tabs>
                <w:tab w:val="left" w:pos="480"/>
              </w:tabs>
              <w:ind w:left="480" w:hanging="480"/>
              <w:jc w:val="center"/>
              <w:rPr>
                <w:rFonts w:ascii="宋体" w:hAnsi="宋体"/>
                <w:b/>
                <w:bCs/>
                <w:color w:val="auto"/>
                <w:szCs w:val="21"/>
                <w:highlight w:val="none"/>
              </w:rPr>
            </w:pPr>
            <w:r>
              <w:rPr>
                <w:rFonts w:hint="eastAsia" w:ascii="宋体" w:hAnsi="宋体"/>
                <w:color w:val="auto"/>
                <w:szCs w:val="21"/>
                <w:highlight w:val="none"/>
              </w:rPr>
              <w:t>符合性审查</w:t>
            </w:r>
          </w:p>
        </w:tc>
        <w:tc>
          <w:tcPr>
            <w:tcW w:w="2300" w:type="dxa"/>
            <w:vAlign w:val="center"/>
          </w:tcPr>
          <w:p>
            <w:pPr>
              <w:tabs>
                <w:tab w:val="left" w:pos="146"/>
              </w:tabs>
              <w:ind w:left="146" w:leftChars="0"/>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lang w:eastAsia="zh-CN"/>
              </w:rPr>
              <w:t>完工期</w:t>
            </w:r>
            <w:r>
              <w:rPr>
                <w:rFonts w:hint="eastAsia" w:ascii="宋体" w:hAnsi="宋体"/>
                <w:color w:val="auto"/>
                <w:szCs w:val="21"/>
                <w:highlight w:val="none"/>
              </w:rPr>
              <w:t>须满足要求</w:t>
            </w:r>
          </w:p>
        </w:tc>
        <w:tc>
          <w:tcPr>
            <w:tcW w:w="1958" w:type="dxa"/>
            <w:vAlign w:val="center"/>
          </w:tcPr>
          <w:p>
            <w:pPr>
              <w:tabs>
                <w:tab w:val="left" w:pos="0"/>
              </w:tabs>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按招标文件要求</w:t>
            </w:r>
          </w:p>
        </w:tc>
        <w:tc>
          <w:tcPr>
            <w:tcW w:w="1975" w:type="dxa"/>
            <w:vAlign w:val="center"/>
          </w:tcPr>
          <w:p>
            <w:pPr>
              <w:tabs>
                <w:tab w:val="left" w:pos="480"/>
              </w:tabs>
              <w:ind w:left="480" w:hanging="480"/>
              <w:rPr>
                <w:rFonts w:ascii="宋体" w:hAnsi="宋体"/>
                <w:b/>
                <w:bCs/>
                <w:color w:val="auto"/>
                <w:szCs w:val="21"/>
                <w:highlight w:val="none"/>
              </w:rPr>
            </w:pPr>
          </w:p>
        </w:tc>
        <w:tc>
          <w:tcPr>
            <w:tcW w:w="1966"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投标报价未超出报价上限</w:t>
            </w:r>
          </w:p>
        </w:tc>
        <w:tc>
          <w:tcPr>
            <w:tcW w:w="1958"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pPr>
              <w:tabs>
                <w:tab w:val="left" w:pos="480"/>
              </w:tabs>
              <w:ind w:left="480" w:hanging="480"/>
              <w:rPr>
                <w:rFonts w:ascii="宋体" w:hAnsi="宋体"/>
                <w:b/>
                <w:bCs/>
                <w:color w:val="auto"/>
                <w:szCs w:val="21"/>
                <w:highlight w:val="none"/>
              </w:rPr>
            </w:pPr>
          </w:p>
        </w:tc>
        <w:tc>
          <w:tcPr>
            <w:tcW w:w="1966"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法定代表人/负责人资格证明书及授权委托书</w:t>
            </w:r>
          </w:p>
        </w:tc>
        <w:tc>
          <w:tcPr>
            <w:tcW w:w="1958"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975" w:type="dxa"/>
            <w:vAlign w:val="center"/>
          </w:tcPr>
          <w:p>
            <w:pPr>
              <w:pStyle w:val="7"/>
              <w:rPr>
                <w:rFonts w:ascii="宋体" w:hAnsi="宋体"/>
                <w:bCs/>
                <w:color w:val="auto"/>
                <w:szCs w:val="21"/>
                <w:highlight w:val="none"/>
              </w:rPr>
            </w:pPr>
          </w:p>
        </w:tc>
        <w:tc>
          <w:tcPr>
            <w:tcW w:w="1966"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其他要求</w:t>
            </w:r>
          </w:p>
        </w:tc>
        <w:tc>
          <w:tcPr>
            <w:tcW w:w="1958"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按投标资料清单中规定提供“必须提交”的文件资料</w:t>
            </w:r>
          </w:p>
        </w:tc>
        <w:tc>
          <w:tcPr>
            <w:tcW w:w="1975" w:type="dxa"/>
            <w:vAlign w:val="center"/>
          </w:tcPr>
          <w:p>
            <w:pPr>
              <w:tabs>
                <w:tab w:val="left" w:pos="480"/>
              </w:tabs>
              <w:ind w:left="480" w:hanging="480"/>
              <w:rPr>
                <w:color w:val="auto"/>
                <w:highlight w:val="none"/>
              </w:rPr>
            </w:pPr>
          </w:p>
        </w:tc>
        <w:tc>
          <w:tcPr>
            <w:tcW w:w="1966"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pPr>
        <w:tabs>
          <w:tab w:val="center" w:pos="4483"/>
        </w:tabs>
        <w:ind w:left="315" w:leftChars="50" w:hanging="210" w:hangingChars="100"/>
        <w:rPr>
          <w:rFonts w:ascii="宋体" w:hAnsi="宋体"/>
          <w:color w:val="auto"/>
          <w:szCs w:val="21"/>
          <w:highlight w:val="none"/>
        </w:rPr>
      </w:pPr>
    </w:p>
    <w:p>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 xml:space="preserve">    2.</w:t>
      </w:r>
      <w:r>
        <w:rPr>
          <w:rFonts w:hint="eastAsia" w:ascii="宋体" w:hAnsi="宋体"/>
          <w:bCs/>
          <w:color w:val="auto"/>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pPr>
        <w:adjustRightInd w:val="0"/>
        <w:snapToGrid w:val="0"/>
        <w:spacing w:line="300" w:lineRule="auto"/>
        <w:rPr>
          <w:color w:val="auto"/>
          <w:szCs w:val="21"/>
          <w:highlight w:val="none"/>
        </w:rPr>
      </w:pPr>
    </w:p>
    <w:p>
      <w:pPr>
        <w:adjustRightInd w:val="0"/>
        <w:snapToGrid w:val="0"/>
        <w:spacing w:line="300" w:lineRule="auto"/>
        <w:rPr>
          <w:color w:val="auto"/>
          <w:szCs w:val="21"/>
          <w:highlight w:val="none"/>
        </w:rPr>
      </w:pPr>
    </w:p>
    <w:p>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adjustRightInd w:val="0"/>
        <w:snapToGrid w:val="0"/>
        <w:spacing w:line="300" w:lineRule="auto"/>
        <w:rPr>
          <w:color w:val="auto"/>
          <w:sz w:val="24"/>
          <w:highlight w:val="none"/>
        </w:rPr>
      </w:pPr>
      <w:r>
        <w:rPr>
          <w:rFonts w:hint="eastAsia" w:ascii="宋体" w:hAnsi="宋体"/>
          <w:color w:val="auto"/>
          <w:szCs w:val="21"/>
          <w:highlight w:val="none"/>
        </w:rPr>
        <w:t>日期：   年   月   日</w:t>
      </w:r>
    </w:p>
    <w:p>
      <w:pPr>
        <w:rPr>
          <w:rFonts w:ascii="宋体"/>
          <w:b/>
          <w:bCs w:val="0"/>
          <w:color w:val="auto"/>
          <w:szCs w:val="21"/>
          <w:highlight w:val="none"/>
        </w:rPr>
      </w:pPr>
      <w:r>
        <w:rPr>
          <w:rFonts w:ascii="宋体"/>
          <w:b/>
          <w:bCs w:val="0"/>
          <w:color w:val="auto"/>
          <w:szCs w:val="21"/>
          <w:highlight w:val="none"/>
        </w:rPr>
        <w:br w:type="page"/>
      </w:r>
    </w:p>
    <w:p>
      <w:pPr>
        <w:pStyle w:val="3"/>
        <w:keepLines w:val="0"/>
        <w:numPr>
          <w:ilvl w:val="0"/>
          <w:numId w:val="0"/>
        </w:numPr>
        <w:tabs>
          <w:tab w:val="left" w:pos="4320"/>
        </w:tabs>
        <w:spacing w:before="240" w:after="60" w:line="480" w:lineRule="exact"/>
        <w:rPr>
          <w:rFonts w:ascii="宋体"/>
          <w:b/>
          <w:color w:val="auto"/>
          <w:szCs w:val="21"/>
          <w:highlight w:val="none"/>
        </w:rPr>
      </w:pPr>
      <w:r>
        <w:rPr>
          <w:rFonts w:ascii="宋体"/>
          <w:b/>
          <w:bCs w:val="0"/>
          <w:color w:val="auto"/>
          <w:szCs w:val="21"/>
          <w:highlight w:val="none"/>
        </w:rPr>
        <w:t xml:space="preserve">  </w:t>
      </w:r>
      <w:r>
        <w:rPr>
          <w:rFonts w:hint="eastAsia" w:ascii="宋体"/>
          <w:b/>
          <w:color w:val="auto"/>
          <w:szCs w:val="21"/>
          <w:highlight w:val="none"/>
        </w:rPr>
        <w:t xml:space="preserve"> </w:t>
      </w:r>
      <w:bookmarkStart w:id="1810" w:name="_Toc10576"/>
      <w:r>
        <w:rPr>
          <w:rFonts w:hint="eastAsia" w:ascii="宋体"/>
          <w:b/>
          <w:color w:val="auto"/>
          <w:szCs w:val="21"/>
          <w:highlight w:val="none"/>
        </w:rPr>
        <w:t>评审项目投标资料表</w:t>
      </w:r>
      <w:bookmarkEnd w:id="1810"/>
    </w:p>
    <w:p>
      <w:pPr>
        <w:jc w:val="center"/>
        <w:rPr>
          <w:rFonts w:ascii="宋体" w:hAnsi="宋体" w:eastAsia="黑体"/>
          <w:b/>
          <w:color w:val="auto"/>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auto"/>
                <w:sz w:val="21"/>
                <w:szCs w:val="21"/>
                <w:highlight w:val="none"/>
              </w:rPr>
            </w:pPr>
          </w:p>
        </w:tc>
        <w:tc>
          <w:tcPr>
            <w:tcW w:w="5202" w:type="dxa"/>
            <w:vAlign w:val="center"/>
          </w:tcPr>
          <w:p>
            <w:pPr>
              <w:pStyle w:val="33"/>
              <w:ind w:left="420" w:firstLine="420"/>
              <w:rPr>
                <w:rFonts w:ascii="宋体" w:hAnsi="宋体"/>
                <w:color w:val="auto"/>
                <w:szCs w:val="21"/>
                <w:highlight w:val="none"/>
              </w:rPr>
            </w:pPr>
          </w:p>
        </w:tc>
        <w:tc>
          <w:tcPr>
            <w:tcW w:w="2300" w:type="dxa"/>
            <w:vAlign w:val="center"/>
          </w:tcPr>
          <w:p>
            <w:pPr>
              <w:pStyle w:val="33"/>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3"/>
              <w:ind w:left="420" w:firstLine="420"/>
              <w:rPr>
                <w:rFonts w:ascii="宋体" w:hAnsi="宋体"/>
                <w:color w:val="auto"/>
                <w:szCs w:val="21"/>
                <w:highlight w:val="none"/>
              </w:rPr>
            </w:pPr>
          </w:p>
        </w:tc>
        <w:tc>
          <w:tcPr>
            <w:tcW w:w="2300" w:type="dxa"/>
            <w:vAlign w:val="center"/>
          </w:tcPr>
          <w:p>
            <w:pPr>
              <w:pStyle w:val="33"/>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3"/>
              <w:ind w:left="420" w:firstLine="420"/>
              <w:rPr>
                <w:rFonts w:ascii="宋体" w:hAnsi="宋体"/>
                <w:color w:val="auto"/>
                <w:szCs w:val="21"/>
                <w:highlight w:val="none"/>
              </w:rPr>
            </w:pPr>
          </w:p>
        </w:tc>
        <w:tc>
          <w:tcPr>
            <w:tcW w:w="2300" w:type="dxa"/>
            <w:vAlign w:val="center"/>
          </w:tcPr>
          <w:p>
            <w:pPr>
              <w:pStyle w:val="33"/>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3"/>
              <w:ind w:left="420" w:firstLine="420"/>
              <w:rPr>
                <w:rFonts w:ascii="宋体" w:hAnsi="宋体"/>
                <w:color w:val="auto"/>
                <w:szCs w:val="21"/>
                <w:highlight w:val="none"/>
              </w:rPr>
            </w:pPr>
          </w:p>
        </w:tc>
        <w:tc>
          <w:tcPr>
            <w:tcW w:w="2300" w:type="dxa"/>
            <w:vAlign w:val="center"/>
          </w:tcPr>
          <w:p>
            <w:pPr>
              <w:pStyle w:val="33"/>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3"/>
              <w:ind w:left="420" w:firstLine="420"/>
              <w:rPr>
                <w:rFonts w:ascii="宋体" w:hAnsi="宋体"/>
                <w:color w:val="auto"/>
                <w:szCs w:val="21"/>
                <w:highlight w:val="none"/>
              </w:rPr>
            </w:pPr>
          </w:p>
        </w:tc>
        <w:tc>
          <w:tcPr>
            <w:tcW w:w="2300" w:type="dxa"/>
            <w:vAlign w:val="center"/>
          </w:tcPr>
          <w:p>
            <w:pPr>
              <w:pStyle w:val="33"/>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3"/>
              <w:ind w:left="420" w:firstLine="420"/>
              <w:rPr>
                <w:rFonts w:ascii="宋体" w:hAnsi="宋体"/>
                <w:color w:val="auto"/>
                <w:szCs w:val="21"/>
                <w:highlight w:val="none"/>
              </w:rPr>
            </w:pPr>
          </w:p>
        </w:tc>
        <w:tc>
          <w:tcPr>
            <w:tcW w:w="2300" w:type="dxa"/>
            <w:vAlign w:val="center"/>
          </w:tcPr>
          <w:p>
            <w:pPr>
              <w:pStyle w:val="33"/>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3"/>
              <w:ind w:left="420" w:firstLine="420"/>
              <w:rPr>
                <w:rFonts w:ascii="宋体" w:hAnsi="宋体"/>
                <w:color w:val="auto"/>
                <w:szCs w:val="21"/>
                <w:highlight w:val="none"/>
              </w:rPr>
            </w:pPr>
          </w:p>
        </w:tc>
        <w:tc>
          <w:tcPr>
            <w:tcW w:w="2300" w:type="dxa"/>
            <w:vAlign w:val="center"/>
          </w:tcPr>
          <w:p>
            <w:pPr>
              <w:pStyle w:val="33"/>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pStyle w:val="33"/>
              <w:ind w:left="420" w:firstLine="420"/>
              <w:rPr>
                <w:rFonts w:ascii="宋体" w:hAnsi="宋体"/>
                <w:color w:val="auto"/>
                <w:szCs w:val="21"/>
                <w:highlight w:val="none"/>
              </w:rPr>
            </w:pPr>
          </w:p>
        </w:tc>
        <w:tc>
          <w:tcPr>
            <w:tcW w:w="2300" w:type="dxa"/>
            <w:vAlign w:val="center"/>
          </w:tcPr>
          <w:p>
            <w:pPr>
              <w:pStyle w:val="33"/>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pStyle w:val="33"/>
              <w:ind w:left="420" w:firstLine="420"/>
              <w:rPr>
                <w:rFonts w:ascii="宋体" w:hAnsi="宋体"/>
                <w:color w:val="auto"/>
                <w:szCs w:val="21"/>
                <w:highlight w:val="none"/>
              </w:rPr>
            </w:pPr>
          </w:p>
        </w:tc>
        <w:tc>
          <w:tcPr>
            <w:tcW w:w="2300" w:type="dxa"/>
            <w:vAlign w:val="center"/>
          </w:tcPr>
          <w:p>
            <w:pPr>
              <w:pStyle w:val="33"/>
              <w:rPr>
                <w:rFonts w:ascii="宋体" w:hAnsi="宋体"/>
                <w:color w:val="auto"/>
                <w:szCs w:val="21"/>
                <w:highlight w:val="none"/>
              </w:rPr>
            </w:pPr>
            <w:r>
              <w:rPr>
                <w:rFonts w:hint="eastAsia" w:ascii="宋体" w:hAnsi="宋体"/>
                <w:color w:val="auto"/>
                <w:szCs w:val="21"/>
                <w:highlight w:val="none"/>
              </w:rPr>
              <w:t>见投标文件第（）页</w:t>
            </w:r>
          </w:p>
        </w:tc>
      </w:tr>
    </w:tbl>
    <w:p>
      <w:pPr>
        <w:adjustRightInd w:val="0"/>
        <w:snapToGrid w:val="0"/>
        <w:spacing w:line="300" w:lineRule="auto"/>
        <w:rPr>
          <w:rFonts w:ascii="宋体" w:hAnsi="宋体"/>
          <w:color w:val="auto"/>
          <w:szCs w:val="21"/>
          <w:highlight w:val="none"/>
        </w:rPr>
      </w:pPr>
    </w:p>
    <w:p>
      <w:pPr>
        <w:adjustRightInd w:val="0"/>
        <w:snapToGrid w:val="0"/>
        <w:spacing w:line="300" w:lineRule="auto"/>
        <w:rPr>
          <w:rFonts w:ascii="宋体" w:hAnsi="宋体"/>
          <w:color w:val="auto"/>
          <w:szCs w:val="21"/>
          <w:highlight w:val="none"/>
        </w:rPr>
      </w:pPr>
    </w:p>
    <w:p>
      <w:pPr>
        <w:spacing w:line="36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pPr>
        <w:rPr>
          <w:color w:val="auto"/>
          <w:highlight w:val="none"/>
        </w:rPr>
      </w:pPr>
    </w:p>
    <w:p>
      <w:pPr>
        <w:rPr>
          <w:color w:val="auto"/>
          <w:highlight w:val="none"/>
        </w:rPr>
      </w:pPr>
    </w:p>
    <w:p>
      <w:pPr>
        <w:pStyle w:val="54"/>
        <w:rPr>
          <w:color w:val="auto"/>
          <w:highlight w:val="none"/>
        </w:rPr>
      </w:pPr>
    </w:p>
    <w:p>
      <w:pPr>
        <w:pStyle w:val="54"/>
        <w:rPr>
          <w:color w:val="auto"/>
          <w:highlight w:val="none"/>
        </w:rPr>
      </w:pPr>
    </w:p>
    <w:p>
      <w:pPr>
        <w:rPr>
          <w:color w:val="auto"/>
          <w:highlight w:val="none"/>
        </w:rPr>
      </w:pPr>
    </w:p>
    <w:p>
      <w:pPr>
        <w:rPr>
          <w:color w:val="auto"/>
          <w:highlight w:val="none"/>
        </w:rPr>
      </w:pPr>
    </w:p>
    <w:p>
      <w:pPr>
        <w:ind w:firstLine="0"/>
        <w:rPr>
          <w:color w:val="auto"/>
          <w:highlight w:val="none"/>
        </w:rPr>
      </w:pPr>
    </w:p>
    <w:p>
      <w:pPr>
        <w:pStyle w:val="3"/>
        <w:numPr>
          <w:ilvl w:val="0"/>
          <w:numId w:val="0"/>
        </w:numPr>
        <w:rPr>
          <w:color w:val="auto"/>
          <w:highlight w:val="none"/>
        </w:rPr>
      </w:pPr>
      <w:bookmarkStart w:id="1811" w:name="_Toc382404103"/>
      <w:bookmarkStart w:id="1812" w:name="_Toc16979"/>
      <w:r>
        <w:rPr>
          <w:rFonts w:hint="eastAsia"/>
          <w:color w:val="auto"/>
          <w:highlight w:val="none"/>
        </w:rPr>
        <w:t>（一）法定代表人（负责人）证明书</w:t>
      </w:r>
      <w:bookmarkEnd w:id="1811"/>
      <w:bookmarkEnd w:id="1812"/>
    </w:p>
    <w:p>
      <w:pPr>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单位法定代表人（负责人）姓名     </w:t>
      </w:r>
      <w:r>
        <w:rPr>
          <w:rFonts w:hint="eastAsia" w:ascii="宋体" w:hAnsi="宋体"/>
          <w:color w:val="auto"/>
          <w:highlight w:val="none"/>
        </w:rPr>
        <w:t>同志，现任</w:t>
      </w:r>
      <w:r>
        <w:rPr>
          <w:rFonts w:hint="eastAsia" w:ascii="宋体" w:hAnsi="宋体"/>
          <w:color w:val="auto"/>
          <w:highlight w:val="none"/>
          <w:u w:val="single"/>
        </w:rPr>
        <w:t xml:space="preserve">       投标人名称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，为法定代表人（负责人），特此证明。</w:t>
      </w: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      </w:t>
      </w: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附：代表人性别：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 内容必须填写真实、清楚，涂改无效，不得转让、买卖。</w:t>
      </w:r>
    </w:p>
    <w:p>
      <w:pPr>
        <w:spacing w:line="480" w:lineRule="exact"/>
        <w:ind w:firstLine="420" w:firstLineChars="200"/>
        <w:rPr>
          <w:rFonts w:ascii="宋体" w:hAnsi="宋体"/>
          <w:color w:val="auto"/>
          <w:highlight w:val="none"/>
        </w:rPr>
      </w:pPr>
    </w:p>
    <w:p>
      <w:pPr>
        <w:rPr>
          <w:rFonts w:hAnsi="宋体"/>
          <w:color w:val="auto"/>
          <w:sz w:val="21"/>
          <w:highlight w:val="none"/>
        </w:rPr>
      </w:pPr>
    </w:p>
    <w:p>
      <w:pPr>
        <w:rPr>
          <w:color w:val="auto"/>
          <w:highlight w:val="none"/>
        </w:rPr>
        <w:sectPr>
          <w:footerReference r:id="rId13" w:type="default"/>
          <w:pgSz w:w="11906" w:h="16838"/>
          <w:pgMar w:top="1474" w:right="1418" w:bottom="1474" w:left="1418" w:header="851" w:footer="851" w:gutter="0"/>
          <w:cols w:space="720" w:num="1"/>
          <w:titlePg/>
          <w:docGrid w:linePitch="312" w:charSpace="0"/>
        </w:sect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auto"/>
          <w:highlight w:val="none"/>
        </w:rPr>
      </w:pPr>
      <w:bookmarkStart w:id="1813" w:name="_Toc343248432"/>
      <w:bookmarkStart w:id="1814" w:name="_Toc332206723"/>
      <w:bookmarkStart w:id="1815" w:name="_Toc25536"/>
      <w:bookmarkStart w:id="1816" w:name="_Toc365985192"/>
      <w:bookmarkStart w:id="1817" w:name="_Toc333935360"/>
      <w:bookmarkStart w:id="1818" w:name="_Toc339362314"/>
      <w:bookmarkStart w:id="1819" w:name="_Toc333238648"/>
      <w:bookmarkStart w:id="1820" w:name="_Toc340672883"/>
      <w:bookmarkStart w:id="1821" w:name="_Toc342312457"/>
      <w:bookmarkStart w:id="1822" w:name="_Toc340507456"/>
      <w:bookmarkStart w:id="1823" w:name="_Toc341348354"/>
      <w:bookmarkStart w:id="1824" w:name="_Toc340677084"/>
      <w:bookmarkStart w:id="1825" w:name="_Toc350438763"/>
      <w:bookmarkStart w:id="1826" w:name="_Toc365967086"/>
      <w:bookmarkStart w:id="1827" w:name="_Toc342296775"/>
      <w:bookmarkStart w:id="1828" w:name="_Toc345312611"/>
      <w:bookmarkStart w:id="1829" w:name="_Toc350756464"/>
      <w:bookmarkStart w:id="1830" w:name="_Toc331684056"/>
      <w:bookmarkStart w:id="1831" w:name="_Toc343612934"/>
      <w:bookmarkStart w:id="1832" w:name="_Toc339020247"/>
      <w:bookmarkStart w:id="1833" w:name="_Toc332270361"/>
      <w:bookmarkStart w:id="1834" w:name="_Toc333237692"/>
      <w:bookmarkStart w:id="1835" w:name="_Toc337632372"/>
      <w:bookmarkStart w:id="1836" w:name="_Toc330460000"/>
      <w:bookmarkStart w:id="1837" w:name="_Toc342060389"/>
      <w:bookmarkStart w:id="1838" w:name="_Toc366072543"/>
      <w:bookmarkStart w:id="1839" w:name="_Toc339441101"/>
      <w:bookmarkStart w:id="1840" w:name="_Toc339020109"/>
      <w:bookmarkStart w:id="1841" w:name="_Toc343247114"/>
      <w:bookmarkStart w:id="1842" w:name="_Toc339019903"/>
      <w:bookmarkStart w:id="1843" w:name="_Toc333237803"/>
      <w:bookmarkStart w:id="1844" w:name="_Toc336681594"/>
      <w:bookmarkStart w:id="1845" w:name="_Toc333935701"/>
      <w:bookmarkStart w:id="1846" w:name="_Toc339020029"/>
      <w:bookmarkStart w:id="1847" w:name="_Toc336681949"/>
      <w:bookmarkStart w:id="1848" w:name="_Toc331512915"/>
      <w:bookmarkStart w:id="1849" w:name="_Toc342398144"/>
      <w:bookmarkStart w:id="1850" w:name="_Toc382404104"/>
      <w:r>
        <w:rPr>
          <w:rFonts w:hint="eastAsia"/>
          <w:color w:val="auto"/>
          <w:highlight w:val="none"/>
        </w:rPr>
        <w:t>（二）法定代表人（负责人）授权书</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pPr>
        <w:spacing w:line="360" w:lineRule="auto"/>
        <w:ind w:firstLine="420" w:firstLineChars="200"/>
        <w:rPr>
          <w:rFonts w:ascii="宋体" w:hAnsi="宋体"/>
          <w:bCs/>
          <w:color w:val="auto"/>
          <w:kern w:val="0"/>
          <w:highlight w:val="none"/>
        </w:rPr>
      </w:pPr>
    </w:p>
    <w:p>
      <w:pPr>
        <w:spacing w:line="360" w:lineRule="auto"/>
        <w:ind w:firstLine="420" w:firstLineChars="200"/>
        <w:rPr>
          <w:color w:val="auto"/>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（单位法定代表人（负责人）姓名）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的法定代表人（负责人），现授权委托</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为我公司代理人，以本公司的名义参加广东业信采购招标有限公司组织的</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rPr>
        <w:t>）</w:t>
      </w:r>
      <w:r>
        <w:rPr>
          <w:rFonts w:hint="eastAsia" w:ascii="宋体" w:hAnsi="宋体"/>
          <w:bCs/>
          <w:color w:val="auto"/>
          <w:highlight w:val="none"/>
        </w:rPr>
        <w:t>招标（</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w:t>
      </w:r>
      <w:r>
        <w:rPr>
          <w:rFonts w:hint="eastAsia" w:ascii="宋体" w:hAnsi="宋体"/>
          <w:bCs/>
          <w:color w:val="auto"/>
          <w:kern w:val="0"/>
          <w:highlight w:val="none"/>
          <w:u w:val="single"/>
        </w:rPr>
        <w:t xml:space="preserve">   </w:t>
      </w:r>
      <w:r>
        <w:rPr>
          <w:rFonts w:ascii="宋体" w:hAnsi="宋体"/>
          <w:bCs/>
          <w:color w:val="auto"/>
          <w:kern w:val="0"/>
          <w:highlight w:val="none"/>
          <w:u w:val="single"/>
        </w:rPr>
        <w:t xml:space="preserve"> </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性别：</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年龄：</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职务：</w:t>
      </w:r>
      <w:r>
        <w:rPr>
          <w:rFonts w:hint="eastAsia" w:ascii="宋体" w:hAnsi="宋体"/>
          <w:bCs/>
          <w:color w:val="auto"/>
          <w:kern w:val="0"/>
          <w:highlight w:val="none"/>
          <w:u w:val="single"/>
        </w:rPr>
        <w:t xml:space="preserve">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投标人：</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法定代表人（负责人）：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auto"/>
          <w:highlight w:val="none"/>
        </w:rPr>
      </w:pPr>
    </w:p>
    <w:p>
      <w:pPr>
        <w:rPr>
          <w:color w:val="auto"/>
          <w:highlight w:val="none"/>
        </w:rPr>
      </w:pPr>
    </w:p>
    <w:p>
      <w:pPr>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ind w:firstLine="0"/>
        <w:rPr>
          <w:color w:val="auto"/>
          <w:highlight w:val="none"/>
        </w:rPr>
      </w:pPr>
    </w:p>
    <w:p>
      <w:pPr>
        <w:pStyle w:val="54"/>
        <w:rPr>
          <w:color w:val="auto"/>
          <w:highlight w:val="none"/>
        </w:rPr>
      </w:pPr>
    </w:p>
    <w:bookmarkEnd w:id="1710"/>
    <w:p>
      <w:pPr>
        <w:pStyle w:val="3"/>
        <w:numPr>
          <w:ilvl w:val="0"/>
          <w:numId w:val="0"/>
        </w:numPr>
        <w:rPr>
          <w:color w:val="auto"/>
          <w:highlight w:val="none"/>
        </w:rPr>
      </w:pPr>
      <w:bookmarkStart w:id="1851" w:name="_Toc332270368"/>
      <w:bookmarkStart w:id="1852" w:name="_Toc366072550"/>
      <w:bookmarkStart w:id="1853" w:name="_Toc340507463"/>
      <w:bookmarkStart w:id="1854" w:name="_Toc339362321"/>
      <w:bookmarkStart w:id="1855" w:name="_Toc333935367"/>
      <w:bookmarkStart w:id="1856" w:name="_Toc350438770"/>
      <w:bookmarkStart w:id="1857" w:name="_Toc342398151"/>
      <w:bookmarkStart w:id="1858" w:name="_Toc332206730"/>
      <w:bookmarkStart w:id="1859" w:name="_Toc343248439"/>
      <w:bookmarkStart w:id="1860" w:name="_Toc365967093"/>
      <w:bookmarkStart w:id="1861" w:name="_Toc342296782"/>
      <w:bookmarkStart w:id="1862" w:name="_Toc340677091"/>
      <w:bookmarkStart w:id="1863" w:name="_Toc333238655"/>
      <w:bookmarkStart w:id="1864" w:name="_Toc342060396"/>
      <w:bookmarkStart w:id="1865" w:name="_Toc341348361"/>
      <w:bookmarkStart w:id="1866" w:name="_Toc350756471"/>
      <w:bookmarkStart w:id="1867" w:name="_Toc336681956"/>
      <w:bookmarkStart w:id="1868" w:name="_Toc339441108"/>
      <w:bookmarkStart w:id="1869" w:name="_Toc2631"/>
      <w:bookmarkStart w:id="1870" w:name="_Toc333935708"/>
      <w:bookmarkStart w:id="1871" w:name="_Toc339019910"/>
      <w:bookmarkStart w:id="1872" w:name="_Toc343247121"/>
      <w:bookmarkStart w:id="1873" w:name="_Toc337632379"/>
      <w:bookmarkStart w:id="1874" w:name="_Toc331684063"/>
      <w:bookmarkStart w:id="1875" w:name="_Toc343612941"/>
      <w:bookmarkStart w:id="1876" w:name="_Toc365985199"/>
      <w:bookmarkStart w:id="1877" w:name="_Toc345312618"/>
      <w:bookmarkStart w:id="1878" w:name="_Toc340672890"/>
      <w:bookmarkStart w:id="1879" w:name="_Toc339020254"/>
      <w:bookmarkStart w:id="1880" w:name="_Toc339020116"/>
      <w:bookmarkStart w:id="1881" w:name="_Toc330460007"/>
      <w:bookmarkStart w:id="1882" w:name="_Toc336681601"/>
      <w:bookmarkStart w:id="1883" w:name="_Toc333237810"/>
      <w:bookmarkStart w:id="1884" w:name="_Toc342312464"/>
      <w:bookmarkStart w:id="1885" w:name="_Toc339020036"/>
      <w:bookmarkStart w:id="1886" w:name="_Toc331512922"/>
      <w:bookmarkStart w:id="1887" w:name="_Toc333237699"/>
      <w:r>
        <w:rPr>
          <w:rFonts w:hint="eastAsia"/>
          <w:color w:val="auto"/>
          <w:highlight w:val="none"/>
        </w:rPr>
        <w:t>附件一：投标</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rPr>
          <w:rFonts w:hint="eastAsia"/>
          <w:color w:val="auto"/>
          <w:highlight w:val="none"/>
        </w:rPr>
        <w:t>函</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pPr>
        <w:widowControl/>
        <w:spacing w:line="400" w:lineRule="exact"/>
        <w:jc w:val="left"/>
        <w:rPr>
          <w:rFonts w:ascii="宋体" w:hAnsi="宋体" w:cs="宋体"/>
          <w:b/>
          <w:color w:val="auto"/>
          <w:kern w:val="0"/>
          <w:sz w:val="24"/>
          <w:highlight w:val="none"/>
          <w:u w:val="single"/>
        </w:rPr>
      </w:pPr>
      <w:r>
        <w:rPr>
          <w:rFonts w:ascii="宋体" w:hAnsi="宋体"/>
          <w:b/>
          <w:bCs/>
          <w:color w:val="auto"/>
          <w:highlight w:val="none"/>
        </w:rPr>
        <w:t>致</w:t>
      </w:r>
      <w:r>
        <w:rPr>
          <w:rFonts w:ascii="宋体" w:hAnsi="宋体"/>
          <w:b/>
          <w:bCs/>
          <w:color w:val="auto"/>
          <w:highlight w:val="none"/>
          <w:u w:val="single"/>
        </w:rPr>
        <w:t>（采购人</w:t>
      </w:r>
      <w:r>
        <w:rPr>
          <w:rFonts w:hint="eastAsia" w:ascii="宋体" w:hAnsi="宋体"/>
          <w:b/>
          <w:bCs/>
          <w:color w:val="auto"/>
          <w:highlight w:val="none"/>
          <w:u w:val="single"/>
        </w:rPr>
        <w:t>名称</w:t>
      </w:r>
      <w:r>
        <w:rPr>
          <w:rFonts w:ascii="宋体" w:hAnsi="宋体"/>
          <w:b/>
          <w:bCs/>
          <w:color w:val="auto"/>
          <w:highlight w:val="none"/>
          <w:u w:val="single"/>
        </w:rPr>
        <w:t>）            </w:t>
      </w:r>
      <w:r>
        <w:rPr>
          <w:rFonts w:ascii="宋体" w:hAnsi="宋体" w:cs="宋体"/>
          <w:b/>
          <w:color w:val="auto"/>
          <w:kern w:val="0"/>
          <w:sz w:val="24"/>
          <w:highlight w:val="none"/>
        </w:rPr>
        <w:t xml:space="preserve">： </w:t>
      </w:r>
    </w:p>
    <w:p>
      <w:pPr>
        <w:adjustRightInd w:val="0"/>
        <w:snapToGrid w:val="0"/>
        <w:spacing w:line="400" w:lineRule="exact"/>
        <w:ind w:firstLine="420"/>
        <w:rPr>
          <w:rFonts w:ascii="宋体" w:hAnsi="宋体"/>
          <w:b/>
          <w:bCs/>
          <w:color w:val="auto"/>
          <w:highlight w:val="none"/>
        </w:rPr>
      </w:pPr>
      <w:r>
        <w:rPr>
          <w:rFonts w:hint="eastAsia" w:ascii="宋体" w:hAnsi="宋体"/>
          <w:b/>
          <w:bCs/>
          <w:color w:val="auto"/>
          <w:highlight w:val="none"/>
        </w:rPr>
        <w:t>根据贵方就</w:t>
      </w:r>
      <w:r>
        <w:rPr>
          <w:rFonts w:hint="eastAsia" w:ascii="宋体" w:hAnsi="宋体"/>
          <w:b/>
          <w:bCs/>
          <w:color w:val="auto"/>
          <w:highlight w:val="none"/>
          <w:u w:val="single"/>
        </w:rPr>
        <w:t xml:space="preserve">   （</w:t>
      </w:r>
      <w:r>
        <w:rPr>
          <w:rFonts w:hint="eastAsia" w:hAnsi="宋体" w:cs="宋体"/>
          <w:b/>
          <w:color w:val="auto"/>
          <w:szCs w:val="21"/>
          <w:highlight w:val="none"/>
          <w:u w:val="single"/>
        </w:rPr>
        <w:t>项目名称）</w:t>
      </w:r>
      <w:r>
        <w:rPr>
          <w:rFonts w:hint="eastAsia" w:ascii="宋体" w:hAnsi="宋体" w:cs="宋体"/>
          <w:b/>
          <w:color w:val="auto"/>
          <w:szCs w:val="21"/>
          <w:highlight w:val="none"/>
          <w:u w:val="single"/>
        </w:rPr>
        <w:t xml:space="preserve">    </w:t>
      </w:r>
      <w:r>
        <w:rPr>
          <w:rFonts w:hint="eastAsia" w:ascii="宋体" w:hAnsi="宋体"/>
          <w:b/>
          <w:bCs/>
          <w:color w:val="auto"/>
          <w:highlight w:val="none"/>
        </w:rPr>
        <w:t>的投标邀请（项目编号:</w:t>
      </w:r>
      <w:r>
        <w:rPr>
          <w:rFonts w:hint="eastAsia" w:ascii="宋体" w:hAnsi="宋体"/>
          <w:b/>
          <w:bCs/>
          <w:color w:val="auto"/>
          <w:highlight w:val="none"/>
          <w:u w:val="single"/>
        </w:rPr>
        <w:t xml:space="preserve"> </w:t>
      </w:r>
      <w:r>
        <w:rPr>
          <w:rFonts w:ascii="宋体" w:hAnsi="宋体"/>
          <w:b/>
          <w:bCs/>
          <w:color w:val="auto"/>
          <w:highlight w:val="none"/>
          <w:u w:val="single"/>
        </w:rPr>
        <w:t xml:space="preserve">         </w:t>
      </w:r>
      <w:r>
        <w:rPr>
          <w:rFonts w:hint="eastAsia" w:ascii="宋体" w:hAnsi="宋体"/>
          <w:b/>
          <w:bCs/>
          <w:color w:val="auto"/>
          <w:highlight w:val="none"/>
        </w:rPr>
        <w:t>），我方正式响应投标并提交投标文件</w:t>
      </w:r>
      <w:r>
        <w:rPr>
          <w:rFonts w:ascii="宋体" w:hAnsi="宋体"/>
          <w:b/>
          <w:bCs/>
          <w:color w:val="auto"/>
          <w:highlight w:val="none"/>
          <w:u w:val="single"/>
        </w:rPr>
        <w:t xml:space="preserve">   </w:t>
      </w:r>
      <w:r>
        <w:rPr>
          <w:rFonts w:hint="eastAsia" w:ascii="宋体" w:hAnsi="宋体"/>
          <w:b/>
          <w:bCs/>
          <w:color w:val="auto"/>
          <w:highlight w:val="none"/>
        </w:rPr>
        <w:t>份正本和</w:t>
      </w:r>
      <w:r>
        <w:rPr>
          <w:rFonts w:ascii="宋体" w:hAnsi="宋体"/>
          <w:b/>
          <w:bCs/>
          <w:color w:val="auto"/>
          <w:highlight w:val="none"/>
          <w:u w:val="single"/>
        </w:rPr>
        <w:t xml:space="preserve">   </w:t>
      </w:r>
      <w:r>
        <w:rPr>
          <w:rFonts w:hint="eastAsia" w:ascii="宋体" w:hAnsi="宋体"/>
          <w:b/>
          <w:bCs/>
          <w:color w:val="auto"/>
          <w:highlight w:val="none"/>
        </w:rPr>
        <w:t>份副本，</w:t>
      </w:r>
      <w:r>
        <w:rPr>
          <w:rFonts w:hint="eastAsia" w:ascii="宋体" w:hAnsi="宋体"/>
          <w:b/>
          <w:color w:val="auto"/>
          <w:kern w:val="0"/>
          <w:szCs w:val="21"/>
          <w:highlight w:val="none"/>
        </w:rPr>
        <w:t>电子文件</w:t>
      </w:r>
      <w:r>
        <w:rPr>
          <w:rFonts w:hint="eastAsia" w:ascii="宋体" w:hAnsi="宋体"/>
          <w:b/>
          <w:color w:val="auto"/>
          <w:kern w:val="0"/>
          <w:szCs w:val="21"/>
          <w:highlight w:val="none"/>
          <w:u w:val="single"/>
        </w:rPr>
        <w:t xml:space="preserve">     </w:t>
      </w:r>
      <w:r>
        <w:rPr>
          <w:rFonts w:hint="eastAsia" w:ascii="宋体" w:hAnsi="宋体"/>
          <w:b/>
          <w:color w:val="auto"/>
          <w:kern w:val="0"/>
          <w:szCs w:val="21"/>
          <w:highlight w:val="none"/>
        </w:rPr>
        <w:t>份</w:t>
      </w:r>
      <w:r>
        <w:rPr>
          <w:rFonts w:hint="eastAsia" w:ascii="宋体" w:hAnsi="宋体"/>
          <w:b/>
          <w:bCs/>
          <w:color w:val="auto"/>
          <w:highlight w:val="none"/>
        </w:rPr>
        <w:t>。</w:t>
      </w:r>
    </w:p>
    <w:p>
      <w:pPr>
        <w:widowControl/>
        <w:tabs>
          <w:tab w:val="left" w:pos="840"/>
        </w:tabs>
        <w:adjustRightInd w:val="0"/>
        <w:snapToGrid w:val="0"/>
        <w:rPr>
          <w:rFonts w:ascii="宋体" w:hAnsi="宋体"/>
          <w:b/>
          <w:bCs/>
          <w:color w:val="auto"/>
          <w:highlight w:val="none"/>
        </w:rPr>
      </w:pP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
          <w:bCs/>
          <w:color w:val="auto"/>
          <w:highlight w:val="none"/>
        </w:rPr>
        <w:t>据此函，签字代表宣布同意如下：</w:t>
      </w:r>
    </w:p>
    <w:p>
      <w:pPr>
        <w:widowControl/>
        <w:numPr>
          <w:ilvl w:val="0"/>
          <w:numId w:val="37"/>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color w:val="auto"/>
          <w:highlight w:val="none"/>
        </w:rPr>
        <w:t>所附投标价格表中规定的应提交和交付的货物投标总价为人民币：</w:t>
      </w:r>
      <w:r>
        <w:rPr>
          <w:rFonts w:hint="eastAsia" w:ascii="宋体" w:hAnsi="宋体"/>
          <w:color w:val="auto"/>
          <w:highlight w:val="none"/>
          <w:u w:val="single"/>
        </w:rPr>
        <w:t xml:space="preserve"> （用文字和数字表示的投标总价）  </w:t>
      </w:r>
      <w:r>
        <w:rPr>
          <w:rFonts w:hint="eastAsia" w:ascii="宋体" w:hAnsi="宋体"/>
          <w:color w:val="auto"/>
          <w:highlight w:val="none"/>
        </w:rPr>
        <w:t>。</w:t>
      </w:r>
    </w:p>
    <w:p>
      <w:pPr>
        <w:widowControl/>
        <w:numPr>
          <w:ilvl w:val="0"/>
          <w:numId w:val="37"/>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单位负责人为同一人或者存在直接控股、管理关系的不同供应商，不得参加同一合同项下的政府采购活动。</w:t>
      </w:r>
    </w:p>
    <w:p>
      <w:pPr>
        <w:widowControl/>
        <w:numPr>
          <w:ilvl w:val="0"/>
          <w:numId w:val="37"/>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为采购项目提供整体设计、规范编制或者项目管理、监理、检测等服务的供应商，不得再参加该采购该包组的其他采购活动。</w:t>
      </w:r>
    </w:p>
    <w:p>
      <w:pPr>
        <w:widowControl/>
        <w:numPr>
          <w:ilvl w:val="0"/>
          <w:numId w:val="37"/>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本次投标所报内容完全按照招标文件要求填报，所有内容都是真实、准确的。</w:t>
      </w:r>
    </w:p>
    <w:p>
      <w:pPr>
        <w:widowControl/>
        <w:numPr>
          <w:ilvl w:val="0"/>
          <w:numId w:val="37"/>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投标人将按招标文件的规定履行全部合同责任和义务。</w:t>
      </w:r>
    </w:p>
    <w:p>
      <w:pPr>
        <w:widowControl/>
        <w:numPr>
          <w:ilvl w:val="0"/>
          <w:numId w:val="37"/>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投标人已详细审查全部招标文件，包括修改文件（如有的话）以及全部参考资料和有关附件。我们完全理解并同意放弃对这方面有不明及误解的权利。</w:t>
      </w:r>
    </w:p>
    <w:p>
      <w:pPr>
        <w:widowControl/>
        <w:numPr>
          <w:ilvl w:val="0"/>
          <w:numId w:val="37"/>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本次投标自开标日起有效期为90天。</w:t>
      </w:r>
    </w:p>
    <w:p>
      <w:pPr>
        <w:widowControl/>
        <w:numPr>
          <w:ilvl w:val="0"/>
          <w:numId w:val="37"/>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如果在规定的开标时间后，投标人在投标有效期内撤回投标文件，投标保证金将被贵</w:t>
      </w:r>
      <w:r>
        <w:rPr>
          <w:rFonts w:hint="eastAsia" w:ascii="宋体" w:hAnsi="宋体"/>
          <w:color w:val="auto"/>
          <w:szCs w:val="21"/>
          <w:highlight w:val="none"/>
        </w:rPr>
        <w:t>方</w:t>
      </w:r>
      <w:r>
        <w:rPr>
          <w:rFonts w:hint="eastAsia" w:ascii="宋体" w:hAnsi="宋体"/>
          <w:bCs/>
          <w:color w:val="auto"/>
          <w:highlight w:val="none"/>
        </w:rPr>
        <w:t>不予退还。</w:t>
      </w:r>
    </w:p>
    <w:p>
      <w:pPr>
        <w:widowControl/>
        <w:numPr>
          <w:ilvl w:val="0"/>
          <w:numId w:val="37"/>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投标人同意提供按照贵方可能要求与其投标有关的一切数据或资料，完全理解贵方不一定接受最低价的投标或收到的任何投标。</w:t>
      </w:r>
    </w:p>
    <w:p>
      <w:pPr>
        <w:widowControl/>
        <w:numPr>
          <w:ilvl w:val="0"/>
          <w:numId w:val="37"/>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与本投标有关的一切正式往来通讯请寄至投标文件封面指定地址、联系方式。</w:t>
      </w: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日期：</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u w:val="single"/>
        </w:rPr>
        <w:t xml:space="preserve">     </w:t>
      </w:r>
      <w:r>
        <w:rPr>
          <w:rFonts w:hint="eastAsia" w:ascii="宋体" w:hAnsi="宋体"/>
          <w:bCs/>
          <w:color w:val="auto"/>
          <w:highlight w:val="none"/>
        </w:rPr>
        <w:t>月</w:t>
      </w:r>
      <w:r>
        <w:rPr>
          <w:rFonts w:ascii="宋体" w:hAnsi="宋体"/>
          <w:bCs/>
          <w:color w:val="auto"/>
          <w:highlight w:val="none"/>
        </w:rPr>
        <w:t xml:space="preserve"> </w:t>
      </w:r>
      <w:r>
        <w:rPr>
          <w:rFonts w:ascii="宋体" w:hAnsi="宋体"/>
          <w:bCs/>
          <w:color w:val="auto"/>
          <w:highlight w:val="none"/>
          <w:u w:val="single"/>
        </w:rPr>
        <w:t xml:space="preserve">    </w:t>
      </w:r>
      <w:r>
        <w:rPr>
          <w:rFonts w:hint="eastAsia" w:ascii="宋体" w:hAnsi="宋体"/>
          <w:bCs/>
          <w:color w:val="auto"/>
          <w:highlight w:val="none"/>
        </w:rPr>
        <w:t>日</w:t>
      </w:r>
      <w:r>
        <w:rPr>
          <w:rFonts w:ascii="宋体" w:hAnsi="宋体"/>
          <w:bCs/>
          <w:color w:val="auto"/>
          <w:highlight w:val="none"/>
        </w:rPr>
        <w:t xml:space="preserve">   </w:t>
      </w:r>
    </w:p>
    <w:p>
      <w:pPr>
        <w:pStyle w:val="24"/>
        <w:spacing w:line="400" w:lineRule="exact"/>
        <w:rPr>
          <w:rFonts w:hAnsi="宋体"/>
          <w:color w:val="auto"/>
          <w:highlight w:val="none"/>
        </w:rPr>
      </w:pPr>
      <w:r>
        <w:rPr>
          <w:rFonts w:hint="eastAsia" w:hAnsi="宋体"/>
          <w:color w:val="auto"/>
          <w:highlight w:val="none"/>
        </w:rPr>
        <w:t>注：本投标函为投标人响应本次招标项目的郑重承诺，投标人不得改动且必须满足。</w:t>
      </w:r>
    </w:p>
    <w:p>
      <w:pPr>
        <w:pStyle w:val="24"/>
        <w:spacing w:line="400" w:lineRule="exact"/>
        <w:rPr>
          <w:rFonts w:hAnsi="宋体"/>
          <w:color w:val="auto"/>
          <w:highlight w:val="none"/>
        </w:rPr>
      </w:pPr>
    </w:p>
    <w:p>
      <w:pPr>
        <w:pStyle w:val="24"/>
        <w:spacing w:line="400" w:lineRule="exact"/>
        <w:rPr>
          <w:rFonts w:hAnsi="宋体"/>
          <w:color w:val="auto"/>
          <w:highlight w:val="none"/>
        </w:rPr>
      </w:pPr>
    </w:p>
    <w:p>
      <w:pPr>
        <w:pStyle w:val="3"/>
        <w:numPr>
          <w:ilvl w:val="0"/>
          <w:numId w:val="0"/>
        </w:numPr>
        <w:spacing w:line="400" w:lineRule="exact"/>
        <w:rPr>
          <w:color w:val="auto"/>
          <w:highlight w:val="none"/>
        </w:rPr>
      </w:pPr>
      <w:bookmarkStart w:id="1888" w:name="_Hlt16935467"/>
      <w:bookmarkEnd w:id="1888"/>
      <w:bookmarkStart w:id="1889" w:name="_Toc333238656"/>
      <w:bookmarkStart w:id="1890" w:name="_Toc339020117"/>
      <w:bookmarkStart w:id="1891" w:name="_Toc337632380"/>
      <w:bookmarkStart w:id="1892" w:name="_Toc350756472"/>
      <w:bookmarkStart w:id="1893" w:name="_Toc332206731"/>
      <w:bookmarkStart w:id="1894" w:name="_Toc339019911"/>
      <w:bookmarkStart w:id="1895" w:name="_Toc17851"/>
      <w:bookmarkStart w:id="1896" w:name="_Toc342398152"/>
      <w:bookmarkStart w:id="1897" w:name="_Toc333237811"/>
      <w:bookmarkStart w:id="1898" w:name="_Toc78816017"/>
      <w:bookmarkStart w:id="1899" w:name="_Toc365985200"/>
      <w:bookmarkStart w:id="1900" w:name="_Toc342060397"/>
      <w:bookmarkStart w:id="1901" w:name="_Toc343612942"/>
      <w:bookmarkStart w:id="1902" w:name="_Toc330460008"/>
      <w:bookmarkStart w:id="1903" w:name="_Toc331512923"/>
      <w:bookmarkStart w:id="1904" w:name="_Toc342312465"/>
      <w:bookmarkStart w:id="1905" w:name="_Toc340507464"/>
      <w:bookmarkStart w:id="1906" w:name="_Toc333935709"/>
      <w:bookmarkStart w:id="1907" w:name="_Toc339020255"/>
      <w:bookmarkStart w:id="1908" w:name="_Toc339020037"/>
      <w:bookmarkStart w:id="1909" w:name="_Toc336681602"/>
      <w:bookmarkStart w:id="1910" w:name="_Toc341348362"/>
      <w:bookmarkStart w:id="1911" w:name="_Toc331684064"/>
      <w:bookmarkStart w:id="1912" w:name="_Toc340677092"/>
      <w:bookmarkStart w:id="1913" w:name="_Toc366072551"/>
      <w:bookmarkStart w:id="1914" w:name="_Toc350438771"/>
      <w:bookmarkStart w:id="1915" w:name="_Toc339441109"/>
      <w:bookmarkStart w:id="1916" w:name="_Toc333237700"/>
      <w:bookmarkStart w:id="1917" w:name="_Toc333935368"/>
      <w:bookmarkStart w:id="1918" w:name="_Toc336681957"/>
      <w:bookmarkStart w:id="1919" w:name="_Toc343247122"/>
      <w:bookmarkStart w:id="1920" w:name="_Toc340672891"/>
      <w:bookmarkStart w:id="1921" w:name="_Toc345312619"/>
      <w:bookmarkStart w:id="1922" w:name="_Toc343248440"/>
      <w:bookmarkStart w:id="1923" w:name="_Toc332270369"/>
      <w:bookmarkStart w:id="1924" w:name="_Toc365967094"/>
      <w:bookmarkStart w:id="1925" w:name="_Toc339362322"/>
      <w:bookmarkStart w:id="1926" w:name="_Toc342296783"/>
      <w:r>
        <w:rPr>
          <w:rFonts w:hint="eastAsia"/>
          <w:color w:val="auto"/>
          <w:highlight w:val="none"/>
        </w:rPr>
        <w:t>附件二：开标一览表</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p>
      <w:pPr>
        <w:adjustRightInd w:val="0"/>
        <w:snapToGrid w:val="0"/>
        <w:spacing w:line="360" w:lineRule="auto"/>
        <w:jc w:val="left"/>
        <w:rPr>
          <w:rFonts w:ascii="宋体" w:hAnsi="宋体"/>
          <w:bCs/>
          <w:color w:val="auto"/>
          <w:highlight w:val="none"/>
        </w:rPr>
      </w:pPr>
      <w:bookmarkStart w:id="1927" w:name="_Hlk534184967"/>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bookmarkEnd w:id="1927"/>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项目编号</w:t>
            </w:r>
          </w:p>
        </w:tc>
        <w:tc>
          <w:tcPr>
            <w:tcW w:w="2873"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719" w:type="dxa"/>
            <w:vAlign w:val="center"/>
          </w:tcPr>
          <w:p>
            <w:pPr>
              <w:jc w:val="center"/>
              <w:rPr>
                <w:rFonts w:ascii="宋体" w:hAnsi="宋体"/>
                <w:bCs/>
                <w:color w:val="auto"/>
                <w:highlight w:val="none"/>
              </w:rPr>
            </w:pPr>
            <w:r>
              <w:rPr>
                <w:rFonts w:hint="eastAsia" w:ascii="宋体" w:hAnsi="宋体"/>
                <w:bCs/>
                <w:color w:val="auto"/>
                <w:highlight w:val="none"/>
              </w:rPr>
              <w:t>投标总价</w:t>
            </w:r>
          </w:p>
        </w:tc>
        <w:tc>
          <w:tcPr>
            <w:tcW w:w="1673" w:type="dxa"/>
            <w:vAlign w:val="center"/>
          </w:tcPr>
          <w:p>
            <w:pPr>
              <w:jc w:val="center"/>
              <w:rPr>
                <w:rFonts w:hint="eastAsia" w:ascii="宋体" w:hAnsi="宋体" w:eastAsia="宋体"/>
                <w:bCs/>
                <w:color w:val="auto"/>
                <w:highlight w:val="none"/>
                <w:lang w:eastAsia="zh-CN"/>
              </w:rPr>
            </w:pPr>
            <w:r>
              <w:rPr>
                <w:rFonts w:hint="eastAsia" w:ascii="宋体" w:hAnsi="宋体"/>
                <w:bCs/>
                <w:color w:val="auto"/>
                <w:highlight w:val="none"/>
                <w:lang w:eastAsia="zh-CN"/>
              </w:rPr>
              <w:t>完工期</w:t>
            </w:r>
          </w:p>
        </w:tc>
        <w:tc>
          <w:tcPr>
            <w:tcW w:w="689"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auto"/>
                <w:highlight w:val="none"/>
              </w:rPr>
            </w:pPr>
          </w:p>
        </w:tc>
        <w:tc>
          <w:tcPr>
            <w:tcW w:w="2873" w:type="dxa"/>
            <w:vAlign w:val="center"/>
          </w:tcPr>
          <w:p>
            <w:pPr>
              <w:adjustRightInd w:val="0"/>
              <w:snapToGrid w:val="0"/>
              <w:spacing w:line="300" w:lineRule="exact"/>
              <w:jc w:val="center"/>
              <w:rPr>
                <w:rFonts w:ascii="宋体" w:hAnsi="宋体"/>
                <w:bCs/>
                <w:color w:val="auto"/>
                <w:highlight w:val="none"/>
              </w:rPr>
            </w:pPr>
          </w:p>
        </w:tc>
        <w:tc>
          <w:tcPr>
            <w:tcW w:w="2719" w:type="dxa"/>
            <w:vAlign w:val="center"/>
          </w:tcPr>
          <w:p>
            <w:pPr>
              <w:spacing w:line="260" w:lineRule="exact"/>
              <w:rPr>
                <w:rFonts w:ascii="宋体" w:hAnsi="宋体"/>
                <w:bCs/>
                <w:color w:val="auto"/>
                <w:highlight w:val="none"/>
              </w:rPr>
            </w:pPr>
            <w:r>
              <w:rPr>
                <w:rFonts w:hint="eastAsia" w:ascii="宋体" w:hAnsi="宋体"/>
                <w:bCs/>
                <w:color w:val="auto"/>
                <w:highlight w:val="none"/>
              </w:rPr>
              <w:t>大写：</w:t>
            </w:r>
          </w:p>
          <w:p>
            <w:pPr>
              <w:spacing w:line="260" w:lineRule="exact"/>
              <w:rPr>
                <w:rFonts w:ascii="宋体" w:hAnsi="宋体"/>
                <w:bCs/>
                <w:color w:val="auto"/>
                <w:highlight w:val="none"/>
              </w:rPr>
            </w:pPr>
          </w:p>
          <w:p>
            <w:pPr>
              <w:spacing w:line="260" w:lineRule="exact"/>
              <w:rPr>
                <w:rFonts w:ascii="宋体" w:hAnsi="宋体"/>
                <w:bCs/>
                <w:color w:val="auto"/>
                <w:highlight w:val="none"/>
              </w:rPr>
            </w:pPr>
          </w:p>
          <w:p>
            <w:pPr>
              <w:spacing w:line="260" w:lineRule="exact"/>
              <w:rPr>
                <w:rFonts w:ascii="宋体" w:hAnsi="宋体"/>
                <w:bCs/>
                <w:color w:val="auto"/>
                <w:highlight w:val="none"/>
              </w:rPr>
            </w:pPr>
            <w:r>
              <w:rPr>
                <w:rFonts w:hint="eastAsia" w:ascii="宋体" w:hAnsi="宋体"/>
                <w:bCs/>
                <w:color w:val="auto"/>
                <w:highlight w:val="none"/>
              </w:rPr>
              <w:t>小写：</w:t>
            </w:r>
          </w:p>
        </w:tc>
        <w:tc>
          <w:tcPr>
            <w:tcW w:w="1673" w:type="dxa"/>
            <w:vAlign w:val="center"/>
          </w:tcPr>
          <w:p>
            <w:pPr>
              <w:topLinePunct/>
              <w:jc w:val="left"/>
              <w:rPr>
                <w:rFonts w:ascii="宋体" w:hAnsi="宋体"/>
                <w:bCs/>
                <w:color w:val="auto"/>
                <w:highlight w:val="none"/>
                <w:u w:val="single"/>
              </w:rPr>
            </w:pPr>
          </w:p>
        </w:tc>
        <w:tc>
          <w:tcPr>
            <w:tcW w:w="689" w:type="dxa"/>
            <w:vAlign w:val="center"/>
          </w:tcPr>
          <w:p>
            <w:pPr>
              <w:rPr>
                <w:rFonts w:ascii="宋体" w:hAnsi="宋体"/>
                <w:bCs/>
                <w:color w:val="auto"/>
                <w:highlight w:val="none"/>
              </w:rPr>
            </w:pPr>
          </w:p>
        </w:tc>
      </w:tr>
    </w:tbl>
    <w:p>
      <w:pPr>
        <w:spacing w:line="360" w:lineRule="auto"/>
        <w:rPr>
          <w:rFonts w:ascii="宋体" w:hAnsi="宋体"/>
          <w:bCs/>
          <w:color w:val="auto"/>
          <w:highlight w:val="none"/>
        </w:rPr>
      </w:pPr>
      <w:r>
        <w:rPr>
          <w:rFonts w:hint="eastAsia" w:ascii="宋体" w:hAnsi="宋体"/>
          <w:bCs/>
          <w:color w:val="auto"/>
          <w:highlight w:val="none"/>
        </w:rPr>
        <w:t>注：</w:t>
      </w:r>
    </w:p>
    <w:p>
      <w:pPr>
        <w:numPr>
          <w:ilvl w:val="0"/>
          <w:numId w:val="4"/>
        </w:numPr>
        <w:tabs>
          <w:tab w:val="left" w:pos="1365"/>
        </w:tabs>
        <w:spacing w:line="360" w:lineRule="auto"/>
        <w:rPr>
          <w:rFonts w:ascii="宋体" w:hAnsi="宋体"/>
          <w:bCs/>
          <w:color w:val="auto"/>
          <w:highlight w:val="none"/>
        </w:rPr>
      </w:pPr>
      <w:r>
        <w:rPr>
          <w:rFonts w:hint="eastAsia" w:ascii="宋体" w:hAnsi="宋体"/>
          <w:color w:val="auto"/>
          <w:highlight w:val="none"/>
        </w:rPr>
        <w:t>投标人填写此表时不得改变表格的形式。</w:t>
      </w:r>
    </w:p>
    <w:p>
      <w:pPr>
        <w:numPr>
          <w:ilvl w:val="0"/>
          <w:numId w:val="4"/>
        </w:numPr>
        <w:tabs>
          <w:tab w:val="left" w:pos="1365"/>
        </w:tabs>
        <w:spacing w:line="360" w:lineRule="auto"/>
        <w:rPr>
          <w:rFonts w:ascii="宋体" w:hAnsi="宋体"/>
          <w:bCs/>
          <w:color w:val="auto"/>
          <w:highlight w:val="none"/>
        </w:rPr>
      </w:pPr>
      <w:r>
        <w:rPr>
          <w:rFonts w:hint="eastAsia"/>
          <w:bCs/>
          <w:color w:val="auto"/>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auto"/>
          <w:highlight w:val="none"/>
        </w:rPr>
      </w:pPr>
      <w:r>
        <w:rPr>
          <w:rFonts w:hint="eastAsia" w:ascii="宋体" w:hAnsi="宋体"/>
          <w:bCs/>
          <w:color w:val="auto"/>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auto"/>
          <w:highlight w:val="none"/>
          <w:u w:val="single"/>
        </w:rPr>
      </w:pP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日期：</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u w:val="single"/>
        </w:rPr>
        <w:t xml:space="preserve">     </w:t>
      </w:r>
      <w:r>
        <w:rPr>
          <w:rFonts w:hint="eastAsia" w:ascii="宋体" w:hAnsi="宋体"/>
          <w:bCs/>
          <w:color w:val="auto"/>
          <w:highlight w:val="none"/>
        </w:rPr>
        <w:t>月</w:t>
      </w:r>
      <w:r>
        <w:rPr>
          <w:rFonts w:ascii="宋体" w:hAnsi="宋体"/>
          <w:bCs/>
          <w:color w:val="auto"/>
          <w:highlight w:val="none"/>
        </w:rPr>
        <w:t xml:space="preserve"> </w:t>
      </w:r>
      <w:r>
        <w:rPr>
          <w:rFonts w:ascii="宋体" w:hAnsi="宋体"/>
          <w:bCs/>
          <w:color w:val="auto"/>
          <w:highlight w:val="none"/>
          <w:u w:val="single"/>
        </w:rPr>
        <w:t xml:space="preserve">    </w:t>
      </w:r>
      <w:r>
        <w:rPr>
          <w:rFonts w:hint="eastAsia" w:ascii="宋体" w:hAnsi="宋体"/>
          <w:bCs/>
          <w:color w:val="auto"/>
          <w:highlight w:val="none"/>
        </w:rPr>
        <w:t>日</w:t>
      </w:r>
      <w:r>
        <w:rPr>
          <w:rFonts w:ascii="宋体" w:hAnsi="宋体"/>
          <w:bCs/>
          <w:color w:val="auto"/>
          <w:highlight w:val="none"/>
        </w:rPr>
        <w:t xml:space="preserve"> </w:t>
      </w: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pStyle w:val="3"/>
        <w:numPr>
          <w:ilvl w:val="0"/>
          <w:numId w:val="0"/>
        </w:numPr>
        <w:spacing w:line="400" w:lineRule="exact"/>
        <w:rPr>
          <w:color w:val="auto"/>
          <w:highlight w:val="none"/>
        </w:rPr>
      </w:pPr>
      <w:bookmarkStart w:id="1928" w:name="_Toc337632381"/>
      <w:bookmarkStart w:id="1929" w:name="_Toc340507465"/>
      <w:bookmarkStart w:id="1930" w:name="_Toc333935710"/>
      <w:bookmarkStart w:id="1931" w:name="_Toc365967095"/>
      <w:bookmarkStart w:id="1932" w:name="_Toc342060398"/>
      <w:bookmarkStart w:id="1933" w:name="_Toc365985201"/>
      <w:bookmarkStart w:id="1934" w:name="_Toc343612943"/>
      <w:bookmarkStart w:id="1935" w:name="_Toc336681958"/>
      <w:bookmarkStart w:id="1936" w:name="_Toc339019912"/>
      <w:bookmarkStart w:id="1937" w:name="_Toc340672892"/>
      <w:bookmarkStart w:id="1938" w:name="_Toc339020038"/>
      <w:bookmarkStart w:id="1939" w:name="_Toc342312466"/>
      <w:bookmarkStart w:id="1940" w:name="_Toc331512924"/>
      <w:bookmarkStart w:id="1941" w:name="_Toc332270370"/>
      <w:bookmarkStart w:id="1942" w:name="_Toc345312620"/>
      <w:bookmarkStart w:id="1943" w:name="_Toc341348363"/>
      <w:bookmarkStart w:id="1944" w:name="_Toc342398153"/>
      <w:bookmarkStart w:id="1945" w:name="_Toc339020118"/>
      <w:bookmarkStart w:id="1946" w:name="_Toc339020256"/>
      <w:bookmarkStart w:id="1947" w:name="_Toc339441110"/>
      <w:bookmarkStart w:id="1948" w:name="_Toc22517"/>
      <w:bookmarkStart w:id="1949" w:name="_Toc333237701"/>
      <w:bookmarkStart w:id="1950" w:name="_Toc333935369"/>
      <w:bookmarkStart w:id="1951" w:name="_Toc340677093"/>
      <w:bookmarkStart w:id="1952" w:name="_Toc350756473"/>
      <w:bookmarkStart w:id="1953" w:name="_Toc343248441"/>
      <w:bookmarkStart w:id="1954" w:name="_Toc333237812"/>
      <w:bookmarkStart w:id="1955" w:name="_Toc330460009"/>
      <w:bookmarkStart w:id="1956" w:name="_Toc331684065"/>
      <w:bookmarkStart w:id="1957" w:name="_Toc342296784"/>
      <w:bookmarkStart w:id="1958" w:name="_Toc350438772"/>
      <w:bookmarkStart w:id="1959" w:name="_Toc333238657"/>
      <w:bookmarkStart w:id="1960" w:name="_Toc366072552"/>
      <w:bookmarkStart w:id="1961" w:name="_Toc339362323"/>
      <w:bookmarkStart w:id="1962" w:name="_Toc332206732"/>
      <w:bookmarkStart w:id="1963" w:name="_Toc343247123"/>
      <w:bookmarkStart w:id="1964" w:name="_Toc336681603"/>
      <w:r>
        <w:rPr>
          <w:rFonts w:hint="eastAsia"/>
          <w:color w:val="auto"/>
          <w:highlight w:val="none"/>
        </w:rPr>
        <w:t>附件三：</w:t>
      </w:r>
      <w:r>
        <w:rPr>
          <w:color w:val="auto"/>
          <w:highlight w:val="none"/>
        </w:rPr>
        <w:t>投标</w:t>
      </w:r>
      <w:r>
        <w:rPr>
          <w:rFonts w:hint="eastAsia"/>
          <w:color w:val="auto"/>
          <w:highlight w:val="none"/>
        </w:rPr>
        <w:t>分项报价</w:t>
      </w:r>
      <w:r>
        <w:rPr>
          <w:color w:val="auto"/>
          <w:highlight w:val="none"/>
        </w:rPr>
        <w:t>表</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pPr>
        <w:adjustRightInd w:val="0"/>
        <w:snapToGrid w:val="0"/>
        <w:spacing w:line="360" w:lineRule="auto"/>
        <w:jc w:val="left"/>
        <w:rPr>
          <w:color w:val="auto"/>
          <w:szCs w:val="18"/>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Cs/>
          <w:caps/>
          <w:color w:val="auto"/>
          <w:highlight w:val="none"/>
        </w:rPr>
        <w:t xml:space="preserve">                        </w:t>
      </w:r>
      <w:r>
        <w:rPr>
          <w:rFonts w:hint="eastAsia"/>
          <w:color w:val="auto"/>
          <w:szCs w:val="18"/>
          <w:highlight w:val="none"/>
        </w:rPr>
        <w:t xml:space="preserve">                     </w:t>
      </w:r>
    </w:p>
    <w:p>
      <w:pPr>
        <w:adjustRightInd w:val="0"/>
        <w:snapToGrid w:val="0"/>
        <w:spacing w:line="360" w:lineRule="auto"/>
        <w:ind w:left="1050" w:hanging="1050" w:hangingChars="500"/>
        <w:jc w:val="left"/>
        <w:rPr>
          <w:color w:val="auto"/>
          <w:szCs w:val="21"/>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auto"/>
          <w:highlight w:val="none"/>
        </w:rPr>
      </w:pPr>
      <w:r>
        <w:rPr>
          <w:rFonts w:hint="eastAsia" w:ascii="宋体" w:hAnsi="宋体"/>
          <w:b/>
          <w:bCs/>
          <w:caps/>
          <w:color w:val="auto"/>
          <w:highlight w:val="none"/>
        </w:rPr>
        <w:t xml:space="preserve">                                     </w:t>
      </w:r>
      <w:r>
        <w:rPr>
          <w:rFonts w:hint="eastAsia"/>
          <w:color w:val="auto"/>
          <w:szCs w:val="18"/>
          <w:highlight w:val="none"/>
        </w:rPr>
        <w:t xml:space="preserve">                           </w:t>
      </w:r>
      <w:r>
        <w:rPr>
          <w:rFonts w:hint="eastAsia"/>
          <w:color w:val="auto"/>
          <w:szCs w:val="18"/>
          <w:highlight w:val="none"/>
          <w:lang w:val="en-US" w:eastAsia="zh-CN"/>
        </w:rPr>
        <w:t xml:space="preserve">     </w:t>
      </w:r>
      <w:r>
        <w:rPr>
          <w:rFonts w:hint="eastAsia"/>
          <w:color w:val="auto"/>
          <w:szCs w:val="18"/>
          <w:highlight w:val="none"/>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1</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3</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4</w:t>
            </w: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1</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2</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3</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4</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5</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6</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7</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8</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9</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10</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其他费用</w:t>
            </w:r>
          </w:p>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11</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auto"/>
                <w:sz w:val="21"/>
                <w:szCs w:val="21"/>
                <w:highlight w:val="none"/>
              </w:rPr>
            </w:pPr>
            <w:r>
              <w:rPr>
                <w:rFonts w:hint="eastAsia" w:hAnsi="宋体" w:cs="宋体"/>
                <w:bCs/>
                <w:color w:val="auto"/>
                <w:sz w:val="21"/>
                <w:szCs w:val="21"/>
                <w:highlight w:val="none"/>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rPr>
                <w:rFonts w:hAnsi="宋体" w:cs="宋体"/>
                <w:bCs/>
                <w:color w:val="auto"/>
                <w:sz w:val="21"/>
                <w:szCs w:val="21"/>
                <w:highlight w:val="none"/>
              </w:rPr>
            </w:pPr>
            <w:r>
              <w:rPr>
                <w:rFonts w:hint="eastAsia" w:hAnsi="宋体" w:cs="宋体"/>
                <w:bCs/>
                <w:color w:val="auto"/>
                <w:sz w:val="21"/>
                <w:szCs w:val="21"/>
                <w:highlight w:val="none"/>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rPr>
                <w:rFonts w:hAnsi="宋体" w:cs="宋体"/>
                <w:bCs/>
                <w:color w:val="auto"/>
                <w:sz w:val="21"/>
                <w:szCs w:val="21"/>
                <w:highlight w:val="none"/>
              </w:rPr>
            </w:pPr>
            <w:r>
              <w:rPr>
                <w:rFonts w:hint="eastAsia" w:hAnsi="宋体" w:cs="宋体"/>
                <w:bCs/>
                <w:color w:val="auto"/>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auto"/>
                <w:sz w:val="21"/>
                <w:szCs w:val="21"/>
                <w:highlight w:val="none"/>
              </w:rPr>
            </w:pPr>
            <w:r>
              <w:rPr>
                <w:rFonts w:hint="eastAsia" w:hAnsi="宋体" w:cs="宋体"/>
                <w:color w:val="auto"/>
                <w:sz w:val="21"/>
                <w:szCs w:val="21"/>
                <w:highlight w:val="none"/>
              </w:rPr>
              <w:t>12</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auto"/>
                <w:sz w:val="21"/>
                <w:szCs w:val="21"/>
                <w:highlight w:val="none"/>
              </w:rPr>
            </w:pPr>
            <w:r>
              <w:rPr>
                <w:rFonts w:hint="eastAsia" w:hAnsi="宋体" w:cs="宋体"/>
                <w:bCs/>
                <w:color w:val="auto"/>
                <w:sz w:val="21"/>
                <w:szCs w:val="21"/>
                <w:highlight w:val="none"/>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auto"/>
                <w:sz w:val="21"/>
                <w:szCs w:val="21"/>
                <w:highlight w:val="none"/>
              </w:rPr>
            </w:pPr>
          </w:p>
        </w:tc>
      </w:tr>
    </w:tbl>
    <w:p>
      <w:pPr>
        <w:spacing w:line="360" w:lineRule="auto"/>
        <w:rPr>
          <w:color w:val="auto"/>
          <w:highlight w:val="none"/>
        </w:rPr>
      </w:pPr>
      <w:r>
        <w:rPr>
          <w:rFonts w:hint="eastAsia"/>
          <w:color w:val="auto"/>
          <w:highlight w:val="none"/>
        </w:rPr>
        <w:t>注：如本表格式内容不能满足需要，投标人可自行划表填写。</w:t>
      </w:r>
    </w:p>
    <w:p>
      <w:pPr>
        <w:adjustRightInd w:val="0"/>
        <w:snapToGrid w:val="0"/>
        <w:spacing w:line="400" w:lineRule="exact"/>
        <w:rPr>
          <w:rFonts w:hint="eastAsia" w:ascii="宋体" w:hAnsi="宋体"/>
          <w:bCs/>
          <w:color w:val="auto"/>
          <w:highlight w:val="none"/>
        </w:rPr>
      </w:pP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bookmarkStart w:id="1965" w:name="_Toc333935370"/>
      <w:bookmarkStart w:id="1966" w:name="_Toc343247124"/>
      <w:bookmarkStart w:id="1967" w:name="_Toc342398154"/>
      <w:bookmarkStart w:id="1968" w:name="_Toc365985202"/>
      <w:bookmarkStart w:id="1969" w:name="_Toc343612944"/>
      <w:bookmarkStart w:id="1970" w:name="_Toc333935711"/>
      <w:bookmarkStart w:id="1971" w:name="_Toc332270371"/>
      <w:bookmarkStart w:id="1972" w:name="_Toc339020257"/>
      <w:bookmarkStart w:id="1973" w:name="_Toc342312467"/>
      <w:bookmarkStart w:id="1974" w:name="_Toc340507466"/>
      <w:bookmarkStart w:id="1975" w:name="_Toc340677094"/>
      <w:bookmarkStart w:id="1976" w:name="_Toc342296785"/>
      <w:bookmarkStart w:id="1977" w:name="_Toc333237813"/>
      <w:bookmarkStart w:id="1978" w:name="_Toc339362324"/>
      <w:bookmarkStart w:id="1979" w:name="_Toc336681604"/>
      <w:bookmarkStart w:id="1980" w:name="_Toc339441111"/>
      <w:bookmarkStart w:id="1981" w:name="_Toc340672893"/>
      <w:bookmarkStart w:id="1982" w:name="_Toc332206733"/>
      <w:bookmarkStart w:id="1983" w:name="_Toc331684066"/>
      <w:bookmarkStart w:id="1984" w:name="_Toc339020039"/>
      <w:bookmarkStart w:id="1985" w:name="_Toc333238658"/>
      <w:bookmarkStart w:id="1986" w:name="_Toc331512925"/>
      <w:bookmarkStart w:id="1987" w:name="_Toc345312621"/>
      <w:bookmarkStart w:id="1988" w:name="_Toc342060399"/>
      <w:bookmarkStart w:id="1989" w:name="_Toc333237702"/>
      <w:bookmarkStart w:id="1990" w:name="_Toc343248442"/>
      <w:bookmarkStart w:id="1991" w:name="_Toc336681959"/>
      <w:bookmarkStart w:id="1992" w:name="_Toc350438773"/>
      <w:bookmarkStart w:id="1993" w:name="_Toc366072553"/>
      <w:bookmarkStart w:id="1994" w:name="_Toc341348364"/>
      <w:bookmarkStart w:id="1995" w:name="_Toc337632382"/>
      <w:bookmarkStart w:id="1996" w:name="_Toc330460010"/>
      <w:bookmarkStart w:id="1997" w:name="_Toc365967096"/>
      <w:bookmarkStart w:id="1998" w:name="_Toc339020119"/>
      <w:bookmarkStart w:id="1999" w:name="_Toc339019913"/>
      <w:bookmarkStart w:id="2000" w:name="_Toc350756474"/>
    </w:p>
    <w:p>
      <w:pPr>
        <w:rPr>
          <w:rFonts w:hint="eastAsia"/>
          <w:color w:val="auto"/>
          <w:highlight w:val="none"/>
        </w:rPr>
      </w:pPr>
    </w:p>
    <w:p>
      <w:pPr>
        <w:pStyle w:val="3"/>
        <w:numPr>
          <w:ilvl w:val="0"/>
          <w:numId w:val="0"/>
        </w:numPr>
        <w:spacing w:line="400" w:lineRule="exact"/>
        <w:rPr>
          <w:rFonts w:hint="eastAsia"/>
          <w:color w:val="auto"/>
          <w:highlight w:val="none"/>
        </w:rPr>
      </w:pPr>
    </w:p>
    <w:p>
      <w:pPr>
        <w:rPr>
          <w:rFonts w:hint="eastAsia"/>
          <w:color w:val="auto"/>
          <w:highlight w:val="none"/>
        </w:rPr>
      </w:pPr>
    </w:p>
    <w:p>
      <w:pPr>
        <w:pStyle w:val="3"/>
        <w:numPr>
          <w:ilvl w:val="0"/>
          <w:numId w:val="0"/>
        </w:numPr>
        <w:spacing w:line="400" w:lineRule="exact"/>
        <w:rPr>
          <w:color w:val="auto"/>
          <w:highlight w:val="none"/>
        </w:rPr>
      </w:pPr>
      <w:bookmarkStart w:id="2001" w:name="_Toc7796"/>
      <w:r>
        <w:rPr>
          <w:rFonts w:hint="eastAsia"/>
          <w:color w:val="auto"/>
          <w:highlight w:val="none"/>
        </w:rPr>
        <w:t>附件四：商务条款偏离一览表</w:t>
      </w:r>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p>
    <w:p>
      <w:pPr>
        <w:adjustRightInd w:val="0"/>
        <w:snapToGrid w:val="0"/>
        <w:spacing w:line="360" w:lineRule="auto"/>
        <w:jc w:val="left"/>
        <w:rPr>
          <w:rFonts w:ascii="宋体" w:hAnsi="宋体"/>
          <w:bCs/>
          <w:caps/>
          <w:color w:val="auto"/>
          <w:highlight w:val="none"/>
          <w:u w:val="singl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r>
        <w:rPr>
          <w:rFonts w:hint="eastAsia" w:ascii="宋体" w:hAnsi="宋体"/>
          <w:bCs/>
          <w:caps/>
          <w:color w:val="auto"/>
          <w:highlight w:val="none"/>
        </w:rPr>
        <w:t xml:space="preserve">          </w:t>
      </w:r>
    </w:p>
    <w:p>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2）对招标文件中商务条款按上列格式逐条说明。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
          <w:bCs/>
          <w:color w:val="auto"/>
          <w:highlight w:val="none"/>
        </w:rPr>
      </w:pPr>
      <w:r>
        <w:rPr>
          <w:rFonts w:hint="eastAsia" w:ascii="宋体" w:hAnsi="宋体"/>
          <w:b/>
          <w:bCs/>
          <w:color w:val="auto"/>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adjustRightInd w:val="0"/>
        <w:snapToGrid w:val="0"/>
        <w:spacing w:line="360" w:lineRule="auto"/>
        <w:rPr>
          <w:rFonts w:ascii="宋体" w:hAnsi="宋体"/>
          <w:bCs/>
          <w:color w:val="auto"/>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auto"/>
          <w:highlight w:val="none"/>
        </w:rPr>
      </w:pPr>
      <w:bookmarkStart w:id="2002" w:name="_Toc12958"/>
      <w:bookmarkStart w:id="2003" w:name="_Toc330460011"/>
      <w:bookmarkStart w:id="2004" w:name="_Toc340672894"/>
      <w:bookmarkStart w:id="2005" w:name="_Toc337632383"/>
      <w:bookmarkStart w:id="2006" w:name="_Toc365985203"/>
      <w:bookmarkStart w:id="2007" w:name="_Toc343248443"/>
      <w:bookmarkStart w:id="2008" w:name="_Toc339362325"/>
      <w:bookmarkStart w:id="2009" w:name="_Toc339020120"/>
      <w:bookmarkStart w:id="2010" w:name="_Toc342296786"/>
      <w:bookmarkStart w:id="2011" w:name="_Toc332206734"/>
      <w:bookmarkStart w:id="2012" w:name="_Toc340677095"/>
      <w:bookmarkStart w:id="2013" w:name="_Toc333935712"/>
      <w:bookmarkStart w:id="2014" w:name="_Toc350438774"/>
      <w:bookmarkStart w:id="2015" w:name="_Toc332270372"/>
      <w:bookmarkStart w:id="2016" w:name="_Toc365967097"/>
      <w:bookmarkStart w:id="2017" w:name="_Toc342398155"/>
      <w:bookmarkStart w:id="2018" w:name="_Toc345312622"/>
      <w:bookmarkStart w:id="2019" w:name="_Toc333935371"/>
      <w:bookmarkStart w:id="2020" w:name="_Toc339019914"/>
      <w:bookmarkStart w:id="2021" w:name="_Toc366072554"/>
      <w:bookmarkStart w:id="2022" w:name="_Toc333238659"/>
      <w:bookmarkStart w:id="2023" w:name="_Toc339441112"/>
      <w:bookmarkStart w:id="2024" w:name="_Toc341348365"/>
      <w:bookmarkStart w:id="2025" w:name="_Toc343612945"/>
      <w:bookmarkStart w:id="2026" w:name="_Toc339020258"/>
      <w:bookmarkStart w:id="2027" w:name="_Toc340507467"/>
      <w:bookmarkStart w:id="2028" w:name="_Toc331512926"/>
      <w:bookmarkStart w:id="2029" w:name="_Toc333237814"/>
      <w:bookmarkStart w:id="2030" w:name="_Toc339020040"/>
      <w:bookmarkStart w:id="2031" w:name="_Toc331684067"/>
      <w:bookmarkStart w:id="2032" w:name="_Toc342312468"/>
      <w:bookmarkStart w:id="2033" w:name="_Toc350756475"/>
      <w:bookmarkStart w:id="2034" w:name="_Toc343247125"/>
      <w:bookmarkStart w:id="2035" w:name="_Toc342060400"/>
      <w:bookmarkStart w:id="2036" w:name="_Toc336681960"/>
      <w:bookmarkStart w:id="2037" w:name="_Toc333237703"/>
      <w:bookmarkStart w:id="2038" w:name="_Toc336681605"/>
      <w:r>
        <w:rPr>
          <w:rFonts w:hint="eastAsia"/>
          <w:color w:val="auto"/>
          <w:highlight w:val="none"/>
        </w:rPr>
        <w:t>附件五：技术条款偏离一览表</w:t>
      </w:r>
      <w:bookmarkEnd w:id="2002"/>
    </w:p>
    <w:p>
      <w:pPr>
        <w:adjustRightInd w:val="0"/>
        <w:snapToGrid w:val="0"/>
        <w:spacing w:line="360" w:lineRule="auto"/>
        <w:jc w:val="left"/>
        <w:rPr>
          <w:rFonts w:ascii="宋体" w:hAnsi="宋体"/>
          <w:bCs/>
          <w:caps/>
          <w:color w:val="auto"/>
          <w:highlight w:val="none"/>
          <w:u w:val="singl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
          <w:color w:val="auto"/>
          <w:highlight w:val="none"/>
        </w:rPr>
      </w:pPr>
      <w:r>
        <w:rPr>
          <w:rFonts w:hint="eastAsia" w:ascii="宋体" w:hAnsi="宋体"/>
          <w:b/>
          <w:bCs/>
          <w:color w:val="auto"/>
          <w:highlight w:val="none"/>
        </w:rPr>
        <w:t>投标人声明：</w:t>
      </w:r>
      <w:r>
        <w:rPr>
          <w:rFonts w:hint="eastAsia" w:ascii="宋体" w:hAnsi="宋体"/>
          <w:b/>
          <w:color w:val="auto"/>
          <w:highlight w:val="none"/>
        </w:rPr>
        <w:t>表中未列</w:t>
      </w:r>
      <w:r>
        <w:rPr>
          <w:rFonts w:hint="eastAsia" w:ascii="宋体" w:hAnsi="宋体"/>
          <w:b/>
          <w:bCs/>
          <w:color w:val="auto"/>
          <w:highlight w:val="none"/>
        </w:rPr>
        <w:t>全</w:t>
      </w:r>
      <w:r>
        <w:rPr>
          <w:rFonts w:hint="eastAsia" w:ascii="宋体" w:hAnsi="宋体"/>
          <w:b/>
          <w:color w:val="auto"/>
          <w:highlight w:val="none"/>
        </w:rPr>
        <w:t>的技术条款，我方均表示完全响应招标文件技术条款的所有要求。</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Pr>
        <w:ind w:firstLine="0"/>
        <w:rPr>
          <w:rFonts w:hAnsi="宋体"/>
          <w:color w:val="auto"/>
          <w:sz w:val="21"/>
          <w:szCs w:val="21"/>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auto"/>
          <w:highlight w:val="none"/>
        </w:rPr>
      </w:pPr>
      <w:bookmarkStart w:id="2039" w:name="_Toc350756479"/>
      <w:bookmarkStart w:id="2040" w:name="_Toc331512930"/>
      <w:bookmarkStart w:id="2041" w:name="_Toc332206738"/>
      <w:bookmarkStart w:id="2042" w:name="_Toc330460015"/>
      <w:bookmarkStart w:id="2043" w:name="_Toc345312626"/>
      <w:bookmarkStart w:id="2044" w:name="_Toc343247129"/>
      <w:bookmarkStart w:id="2045" w:name="_Toc342312472"/>
      <w:bookmarkStart w:id="2046" w:name="_Toc432695228"/>
      <w:bookmarkStart w:id="2047" w:name="_Toc341348369"/>
      <w:bookmarkStart w:id="2048" w:name="_Toc336681964"/>
      <w:bookmarkStart w:id="2049" w:name="_Toc342398159"/>
      <w:bookmarkStart w:id="2050" w:name="_Toc339441116"/>
      <w:bookmarkStart w:id="2051" w:name="_Toc333935375"/>
      <w:bookmarkStart w:id="2052" w:name="_Toc340507471"/>
      <w:bookmarkStart w:id="2053" w:name="_Toc342060404"/>
      <w:bookmarkStart w:id="2054" w:name="_Toc343248447"/>
      <w:bookmarkStart w:id="2055" w:name="_Toc336681609"/>
      <w:bookmarkStart w:id="2056" w:name="_Toc331684071"/>
      <w:bookmarkStart w:id="2057" w:name="_Toc333237818"/>
      <w:bookmarkStart w:id="2058" w:name="_Toc342296790"/>
      <w:bookmarkStart w:id="2059" w:name="_Toc366072561"/>
      <w:bookmarkStart w:id="2060" w:name="_Toc339020044"/>
      <w:bookmarkStart w:id="2061" w:name="_Toc340672898"/>
      <w:bookmarkStart w:id="2062" w:name="_Toc333238663"/>
      <w:bookmarkStart w:id="2063" w:name="_Toc350438778"/>
      <w:bookmarkStart w:id="2064" w:name="_Toc343612949"/>
      <w:bookmarkStart w:id="2065" w:name="_Toc339019918"/>
      <w:bookmarkStart w:id="2066" w:name="_Toc337632387"/>
      <w:bookmarkStart w:id="2067" w:name="_Toc333237707"/>
      <w:bookmarkStart w:id="2068" w:name="_Toc24990"/>
      <w:bookmarkStart w:id="2069" w:name="_Toc339020124"/>
      <w:bookmarkStart w:id="2070" w:name="_Toc332270376"/>
      <w:bookmarkStart w:id="2071" w:name="_Toc340677099"/>
      <w:bookmarkStart w:id="2072" w:name="_Toc339362329"/>
      <w:bookmarkStart w:id="2073" w:name="_Toc365967104"/>
      <w:bookmarkStart w:id="2074" w:name="_Toc339020262"/>
      <w:bookmarkStart w:id="2075" w:name="_Toc333935716"/>
      <w:bookmarkStart w:id="2076" w:name="_Toc365985210"/>
      <w:r>
        <w:rPr>
          <w:rFonts w:hint="eastAsia"/>
          <w:color w:val="auto"/>
          <w:highlight w:val="none"/>
        </w:rPr>
        <w:t>附件六：同类业绩一览表</w:t>
      </w:r>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p>
    <w:p>
      <w:pPr>
        <w:adjustRightInd w:val="0"/>
        <w:snapToGrid w:val="0"/>
        <w:spacing w:line="360" w:lineRule="auto"/>
        <w:jc w:val="left"/>
        <w:rPr>
          <w:rFonts w:ascii="宋体" w:hAnsi="宋体"/>
          <w:bCs/>
          <w:caps/>
          <w:color w:val="auto"/>
          <w:szCs w:val="21"/>
          <w:highlight w:val="none"/>
          <w:u w:val="single"/>
        </w:rPr>
      </w:pPr>
      <w:bookmarkStart w:id="2077" w:name="_Hlk534184855"/>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bookmarkEnd w:id="2077"/>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序号</w:t>
            </w:r>
          </w:p>
        </w:tc>
        <w:tc>
          <w:tcPr>
            <w:tcW w:w="1215" w:type="dxa"/>
            <w:vAlign w:val="center"/>
          </w:tcPr>
          <w:p>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项目名称</w:t>
            </w:r>
          </w:p>
        </w:tc>
        <w:tc>
          <w:tcPr>
            <w:tcW w:w="1267" w:type="dxa"/>
            <w:vAlign w:val="center"/>
          </w:tcPr>
          <w:p>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内容</w:t>
            </w:r>
          </w:p>
        </w:tc>
        <w:tc>
          <w:tcPr>
            <w:tcW w:w="1117" w:type="dxa"/>
            <w:vAlign w:val="center"/>
          </w:tcPr>
          <w:p>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数量</w:t>
            </w:r>
          </w:p>
        </w:tc>
        <w:tc>
          <w:tcPr>
            <w:tcW w:w="1400" w:type="dxa"/>
            <w:vAlign w:val="center"/>
          </w:tcPr>
          <w:p>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中标金额（元）</w:t>
            </w:r>
          </w:p>
        </w:tc>
        <w:tc>
          <w:tcPr>
            <w:tcW w:w="1233" w:type="dxa"/>
            <w:vAlign w:val="center"/>
          </w:tcPr>
          <w:p>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完成日期</w:t>
            </w:r>
          </w:p>
        </w:tc>
        <w:tc>
          <w:tcPr>
            <w:tcW w:w="1183" w:type="dxa"/>
            <w:vAlign w:val="center"/>
          </w:tcPr>
          <w:p>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用户单位</w:t>
            </w:r>
          </w:p>
        </w:tc>
        <w:tc>
          <w:tcPr>
            <w:tcW w:w="1220" w:type="dxa"/>
            <w:vAlign w:val="center"/>
          </w:tcPr>
          <w:p>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联系电话</w:t>
            </w:r>
          </w:p>
        </w:tc>
        <w:tc>
          <w:tcPr>
            <w:tcW w:w="817" w:type="dxa"/>
            <w:vAlign w:val="center"/>
          </w:tcPr>
          <w:p>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ind w:firstLine="0"/>
              <w:jc w:val="center"/>
              <w:rPr>
                <w:rFonts w:hAnsi="宋体"/>
                <w:bCs/>
                <w:color w:val="auto"/>
                <w:kern w:val="2"/>
                <w:sz w:val="21"/>
                <w:szCs w:val="24"/>
                <w:highlight w:val="none"/>
              </w:rPr>
            </w:pPr>
          </w:p>
        </w:tc>
        <w:tc>
          <w:tcPr>
            <w:tcW w:w="1215" w:type="dxa"/>
            <w:vAlign w:val="center"/>
          </w:tcPr>
          <w:p>
            <w:pPr>
              <w:snapToGrid w:val="0"/>
              <w:ind w:firstLine="0"/>
              <w:jc w:val="center"/>
              <w:rPr>
                <w:rFonts w:hAnsi="宋体"/>
                <w:bCs/>
                <w:color w:val="auto"/>
                <w:kern w:val="2"/>
                <w:sz w:val="21"/>
                <w:szCs w:val="24"/>
                <w:highlight w:val="none"/>
              </w:rPr>
            </w:pPr>
          </w:p>
        </w:tc>
        <w:tc>
          <w:tcPr>
            <w:tcW w:w="1267" w:type="dxa"/>
            <w:vAlign w:val="center"/>
          </w:tcPr>
          <w:p>
            <w:pPr>
              <w:snapToGrid w:val="0"/>
              <w:jc w:val="center"/>
              <w:rPr>
                <w:rFonts w:hAnsi="宋体"/>
                <w:bCs/>
                <w:color w:val="auto"/>
                <w:kern w:val="2"/>
                <w:sz w:val="21"/>
                <w:szCs w:val="24"/>
                <w:highlight w:val="none"/>
              </w:rPr>
            </w:pPr>
          </w:p>
        </w:tc>
        <w:tc>
          <w:tcPr>
            <w:tcW w:w="1117" w:type="dxa"/>
            <w:vAlign w:val="center"/>
          </w:tcPr>
          <w:p>
            <w:pPr>
              <w:snapToGrid w:val="0"/>
              <w:ind w:firstLine="0"/>
              <w:jc w:val="center"/>
              <w:rPr>
                <w:rFonts w:hAnsi="宋体"/>
                <w:bCs/>
                <w:color w:val="auto"/>
                <w:kern w:val="2"/>
                <w:sz w:val="21"/>
                <w:szCs w:val="24"/>
                <w:highlight w:val="none"/>
              </w:rPr>
            </w:pPr>
          </w:p>
        </w:tc>
        <w:tc>
          <w:tcPr>
            <w:tcW w:w="1400" w:type="dxa"/>
            <w:vAlign w:val="center"/>
          </w:tcPr>
          <w:p>
            <w:pPr>
              <w:snapToGrid w:val="0"/>
              <w:jc w:val="center"/>
              <w:rPr>
                <w:rFonts w:hAnsi="宋体"/>
                <w:bCs/>
                <w:color w:val="auto"/>
                <w:kern w:val="2"/>
                <w:sz w:val="21"/>
                <w:szCs w:val="24"/>
                <w:highlight w:val="none"/>
              </w:rPr>
            </w:pPr>
          </w:p>
        </w:tc>
        <w:tc>
          <w:tcPr>
            <w:tcW w:w="1233" w:type="dxa"/>
            <w:vAlign w:val="center"/>
          </w:tcPr>
          <w:p>
            <w:pPr>
              <w:snapToGrid w:val="0"/>
              <w:jc w:val="center"/>
              <w:rPr>
                <w:rFonts w:hAnsi="宋体"/>
                <w:bCs/>
                <w:color w:val="auto"/>
                <w:kern w:val="2"/>
                <w:sz w:val="21"/>
                <w:szCs w:val="24"/>
                <w:highlight w:val="none"/>
              </w:rPr>
            </w:pPr>
          </w:p>
        </w:tc>
        <w:tc>
          <w:tcPr>
            <w:tcW w:w="1183" w:type="dxa"/>
            <w:vAlign w:val="center"/>
          </w:tcPr>
          <w:p>
            <w:pPr>
              <w:snapToGrid w:val="0"/>
              <w:jc w:val="center"/>
              <w:rPr>
                <w:rFonts w:hAnsi="宋体"/>
                <w:bCs/>
                <w:color w:val="auto"/>
                <w:kern w:val="2"/>
                <w:sz w:val="21"/>
                <w:szCs w:val="24"/>
                <w:highlight w:val="none"/>
              </w:rPr>
            </w:pPr>
          </w:p>
        </w:tc>
        <w:tc>
          <w:tcPr>
            <w:tcW w:w="1220" w:type="dxa"/>
            <w:vAlign w:val="center"/>
          </w:tcPr>
          <w:p>
            <w:pPr>
              <w:snapToGrid w:val="0"/>
              <w:jc w:val="center"/>
              <w:rPr>
                <w:rFonts w:hAnsi="宋体"/>
                <w:bCs/>
                <w:color w:val="auto"/>
                <w:kern w:val="2"/>
                <w:sz w:val="21"/>
                <w:szCs w:val="24"/>
                <w:highlight w:val="none"/>
              </w:rPr>
            </w:pPr>
          </w:p>
        </w:tc>
        <w:tc>
          <w:tcPr>
            <w:tcW w:w="817" w:type="dxa"/>
            <w:vAlign w:val="center"/>
          </w:tcPr>
          <w:p>
            <w:pPr>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auto"/>
                <w:kern w:val="2"/>
                <w:sz w:val="21"/>
                <w:szCs w:val="24"/>
                <w:highlight w:val="none"/>
              </w:rPr>
            </w:pPr>
          </w:p>
        </w:tc>
        <w:tc>
          <w:tcPr>
            <w:tcW w:w="1215" w:type="dxa"/>
            <w:vAlign w:val="center"/>
          </w:tcPr>
          <w:p>
            <w:pPr>
              <w:snapToGrid w:val="0"/>
              <w:jc w:val="center"/>
              <w:rPr>
                <w:rFonts w:hAnsi="宋体"/>
                <w:bCs/>
                <w:color w:val="auto"/>
                <w:kern w:val="2"/>
                <w:sz w:val="21"/>
                <w:szCs w:val="24"/>
                <w:highlight w:val="none"/>
              </w:rPr>
            </w:pPr>
          </w:p>
        </w:tc>
        <w:tc>
          <w:tcPr>
            <w:tcW w:w="1267" w:type="dxa"/>
            <w:vAlign w:val="center"/>
          </w:tcPr>
          <w:p>
            <w:pPr>
              <w:snapToGrid w:val="0"/>
              <w:jc w:val="center"/>
              <w:rPr>
                <w:rFonts w:hAnsi="宋体"/>
                <w:bCs/>
                <w:color w:val="auto"/>
                <w:kern w:val="2"/>
                <w:sz w:val="21"/>
                <w:szCs w:val="24"/>
                <w:highlight w:val="none"/>
              </w:rPr>
            </w:pPr>
          </w:p>
        </w:tc>
        <w:tc>
          <w:tcPr>
            <w:tcW w:w="1117" w:type="dxa"/>
            <w:vAlign w:val="center"/>
          </w:tcPr>
          <w:p>
            <w:pPr>
              <w:snapToGrid w:val="0"/>
              <w:jc w:val="center"/>
              <w:rPr>
                <w:rFonts w:hAnsi="宋体"/>
                <w:bCs/>
                <w:color w:val="auto"/>
                <w:kern w:val="2"/>
                <w:sz w:val="21"/>
                <w:szCs w:val="24"/>
                <w:highlight w:val="none"/>
              </w:rPr>
            </w:pPr>
          </w:p>
        </w:tc>
        <w:tc>
          <w:tcPr>
            <w:tcW w:w="1400" w:type="dxa"/>
            <w:vAlign w:val="center"/>
          </w:tcPr>
          <w:p>
            <w:pPr>
              <w:snapToGrid w:val="0"/>
              <w:jc w:val="center"/>
              <w:rPr>
                <w:rFonts w:hAnsi="宋体"/>
                <w:bCs/>
                <w:color w:val="auto"/>
                <w:kern w:val="2"/>
                <w:sz w:val="21"/>
                <w:szCs w:val="24"/>
                <w:highlight w:val="none"/>
              </w:rPr>
            </w:pPr>
          </w:p>
        </w:tc>
        <w:tc>
          <w:tcPr>
            <w:tcW w:w="1233" w:type="dxa"/>
            <w:vAlign w:val="center"/>
          </w:tcPr>
          <w:p>
            <w:pPr>
              <w:snapToGrid w:val="0"/>
              <w:jc w:val="center"/>
              <w:rPr>
                <w:rFonts w:hAnsi="宋体"/>
                <w:bCs/>
                <w:color w:val="auto"/>
                <w:kern w:val="2"/>
                <w:sz w:val="21"/>
                <w:szCs w:val="24"/>
                <w:highlight w:val="none"/>
              </w:rPr>
            </w:pPr>
          </w:p>
        </w:tc>
        <w:tc>
          <w:tcPr>
            <w:tcW w:w="1183" w:type="dxa"/>
            <w:vAlign w:val="center"/>
          </w:tcPr>
          <w:p>
            <w:pPr>
              <w:snapToGrid w:val="0"/>
              <w:jc w:val="center"/>
              <w:rPr>
                <w:rFonts w:hAnsi="宋体"/>
                <w:bCs/>
                <w:color w:val="auto"/>
                <w:kern w:val="2"/>
                <w:sz w:val="21"/>
                <w:szCs w:val="24"/>
                <w:highlight w:val="none"/>
              </w:rPr>
            </w:pPr>
          </w:p>
        </w:tc>
        <w:tc>
          <w:tcPr>
            <w:tcW w:w="1220" w:type="dxa"/>
            <w:vAlign w:val="center"/>
          </w:tcPr>
          <w:p>
            <w:pPr>
              <w:snapToGrid w:val="0"/>
              <w:jc w:val="center"/>
              <w:rPr>
                <w:rFonts w:hAnsi="宋体"/>
                <w:bCs/>
                <w:color w:val="auto"/>
                <w:kern w:val="2"/>
                <w:sz w:val="21"/>
                <w:szCs w:val="24"/>
                <w:highlight w:val="none"/>
              </w:rPr>
            </w:pPr>
          </w:p>
        </w:tc>
        <w:tc>
          <w:tcPr>
            <w:tcW w:w="817" w:type="dxa"/>
            <w:vAlign w:val="center"/>
          </w:tcPr>
          <w:p>
            <w:pPr>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auto"/>
                <w:kern w:val="2"/>
                <w:sz w:val="21"/>
                <w:szCs w:val="24"/>
                <w:highlight w:val="none"/>
              </w:rPr>
            </w:pPr>
          </w:p>
        </w:tc>
        <w:tc>
          <w:tcPr>
            <w:tcW w:w="1215" w:type="dxa"/>
            <w:vAlign w:val="center"/>
          </w:tcPr>
          <w:p>
            <w:pPr>
              <w:snapToGrid w:val="0"/>
              <w:jc w:val="center"/>
              <w:rPr>
                <w:rFonts w:hAnsi="宋体"/>
                <w:bCs/>
                <w:color w:val="auto"/>
                <w:kern w:val="2"/>
                <w:sz w:val="21"/>
                <w:szCs w:val="24"/>
                <w:highlight w:val="none"/>
              </w:rPr>
            </w:pPr>
          </w:p>
        </w:tc>
        <w:tc>
          <w:tcPr>
            <w:tcW w:w="1267" w:type="dxa"/>
            <w:vAlign w:val="center"/>
          </w:tcPr>
          <w:p>
            <w:pPr>
              <w:snapToGrid w:val="0"/>
              <w:jc w:val="center"/>
              <w:rPr>
                <w:rFonts w:hAnsi="宋体"/>
                <w:bCs/>
                <w:color w:val="auto"/>
                <w:kern w:val="2"/>
                <w:sz w:val="21"/>
                <w:szCs w:val="24"/>
                <w:highlight w:val="none"/>
              </w:rPr>
            </w:pPr>
          </w:p>
        </w:tc>
        <w:tc>
          <w:tcPr>
            <w:tcW w:w="1117" w:type="dxa"/>
            <w:vAlign w:val="center"/>
          </w:tcPr>
          <w:p>
            <w:pPr>
              <w:snapToGrid w:val="0"/>
              <w:jc w:val="center"/>
              <w:rPr>
                <w:rFonts w:hAnsi="宋体"/>
                <w:bCs/>
                <w:color w:val="auto"/>
                <w:kern w:val="2"/>
                <w:sz w:val="21"/>
                <w:szCs w:val="24"/>
                <w:highlight w:val="none"/>
              </w:rPr>
            </w:pPr>
          </w:p>
        </w:tc>
        <w:tc>
          <w:tcPr>
            <w:tcW w:w="1400" w:type="dxa"/>
            <w:vAlign w:val="center"/>
          </w:tcPr>
          <w:p>
            <w:pPr>
              <w:snapToGrid w:val="0"/>
              <w:jc w:val="center"/>
              <w:rPr>
                <w:rFonts w:hAnsi="宋体"/>
                <w:bCs/>
                <w:color w:val="auto"/>
                <w:kern w:val="2"/>
                <w:sz w:val="21"/>
                <w:szCs w:val="24"/>
                <w:highlight w:val="none"/>
              </w:rPr>
            </w:pPr>
          </w:p>
        </w:tc>
        <w:tc>
          <w:tcPr>
            <w:tcW w:w="1233" w:type="dxa"/>
            <w:vAlign w:val="center"/>
          </w:tcPr>
          <w:p>
            <w:pPr>
              <w:snapToGrid w:val="0"/>
              <w:jc w:val="center"/>
              <w:rPr>
                <w:rFonts w:hAnsi="宋体"/>
                <w:bCs/>
                <w:color w:val="auto"/>
                <w:kern w:val="2"/>
                <w:sz w:val="21"/>
                <w:szCs w:val="24"/>
                <w:highlight w:val="none"/>
              </w:rPr>
            </w:pPr>
          </w:p>
        </w:tc>
        <w:tc>
          <w:tcPr>
            <w:tcW w:w="1183" w:type="dxa"/>
            <w:vAlign w:val="center"/>
          </w:tcPr>
          <w:p>
            <w:pPr>
              <w:snapToGrid w:val="0"/>
              <w:jc w:val="center"/>
              <w:rPr>
                <w:rFonts w:hAnsi="宋体"/>
                <w:bCs/>
                <w:color w:val="auto"/>
                <w:kern w:val="2"/>
                <w:sz w:val="21"/>
                <w:szCs w:val="24"/>
                <w:highlight w:val="none"/>
              </w:rPr>
            </w:pPr>
          </w:p>
        </w:tc>
        <w:tc>
          <w:tcPr>
            <w:tcW w:w="1220" w:type="dxa"/>
            <w:vAlign w:val="center"/>
          </w:tcPr>
          <w:p>
            <w:pPr>
              <w:snapToGrid w:val="0"/>
              <w:jc w:val="center"/>
              <w:rPr>
                <w:rFonts w:hAnsi="宋体"/>
                <w:bCs/>
                <w:color w:val="auto"/>
                <w:kern w:val="2"/>
                <w:sz w:val="21"/>
                <w:szCs w:val="24"/>
                <w:highlight w:val="none"/>
              </w:rPr>
            </w:pPr>
          </w:p>
        </w:tc>
        <w:tc>
          <w:tcPr>
            <w:tcW w:w="817" w:type="dxa"/>
            <w:vAlign w:val="center"/>
          </w:tcPr>
          <w:p>
            <w:pPr>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auto"/>
                <w:kern w:val="2"/>
                <w:sz w:val="21"/>
                <w:szCs w:val="24"/>
                <w:highlight w:val="none"/>
              </w:rPr>
            </w:pPr>
          </w:p>
        </w:tc>
        <w:tc>
          <w:tcPr>
            <w:tcW w:w="1215" w:type="dxa"/>
            <w:vAlign w:val="center"/>
          </w:tcPr>
          <w:p>
            <w:pPr>
              <w:snapToGrid w:val="0"/>
              <w:jc w:val="center"/>
              <w:rPr>
                <w:rFonts w:hAnsi="宋体"/>
                <w:bCs/>
                <w:color w:val="auto"/>
                <w:kern w:val="2"/>
                <w:sz w:val="21"/>
                <w:szCs w:val="24"/>
                <w:highlight w:val="none"/>
              </w:rPr>
            </w:pPr>
          </w:p>
        </w:tc>
        <w:tc>
          <w:tcPr>
            <w:tcW w:w="1267" w:type="dxa"/>
            <w:vAlign w:val="center"/>
          </w:tcPr>
          <w:p>
            <w:pPr>
              <w:snapToGrid w:val="0"/>
              <w:jc w:val="center"/>
              <w:rPr>
                <w:rFonts w:hAnsi="宋体"/>
                <w:bCs/>
                <w:color w:val="auto"/>
                <w:kern w:val="2"/>
                <w:sz w:val="21"/>
                <w:szCs w:val="24"/>
                <w:highlight w:val="none"/>
              </w:rPr>
            </w:pPr>
          </w:p>
        </w:tc>
        <w:tc>
          <w:tcPr>
            <w:tcW w:w="1117" w:type="dxa"/>
            <w:vAlign w:val="center"/>
          </w:tcPr>
          <w:p>
            <w:pPr>
              <w:snapToGrid w:val="0"/>
              <w:jc w:val="center"/>
              <w:rPr>
                <w:rFonts w:hAnsi="宋体"/>
                <w:bCs/>
                <w:color w:val="auto"/>
                <w:kern w:val="2"/>
                <w:sz w:val="21"/>
                <w:szCs w:val="24"/>
                <w:highlight w:val="none"/>
              </w:rPr>
            </w:pPr>
          </w:p>
        </w:tc>
        <w:tc>
          <w:tcPr>
            <w:tcW w:w="1400" w:type="dxa"/>
            <w:vAlign w:val="center"/>
          </w:tcPr>
          <w:p>
            <w:pPr>
              <w:snapToGrid w:val="0"/>
              <w:jc w:val="center"/>
              <w:rPr>
                <w:rFonts w:hAnsi="宋体"/>
                <w:bCs/>
                <w:color w:val="auto"/>
                <w:kern w:val="2"/>
                <w:sz w:val="21"/>
                <w:szCs w:val="24"/>
                <w:highlight w:val="none"/>
              </w:rPr>
            </w:pPr>
          </w:p>
        </w:tc>
        <w:tc>
          <w:tcPr>
            <w:tcW w:w="1233" w:type="dxa"/>
            <w:vAlign w:val="center"/>
          </w:tcPr>
          <w:p>
            <w:pPr>
              <w:snapToGrid w:val="0"/>
              <w:jc w:val="center"/>
              <w:rPr>
                <w:rFonts w:hAnsi="宋体"/>
                <w:bCs/>
                <w:color w:val="auto"/>
                <w:kern w:val="2"/>
                <w:sz w:val="21"/>
                <w:szCs w:val="24"/>
                <w:highlight w:val="none"/>
              </w:rPr>
            </w:pPr>
          </w:p>
        </w:tc>
        <w:tc>
          <w:tcPr>
            <w:tcW w:w="1183" w:type="dxa"/>
            <w:vAlign w:val="center"/>
          </w:tcPr>
          <w:p>
            <w:pPr>
              <w:snapToGrid w:val="0"/>
              <w:jc w:val="center"/>
              <w:rPr>
                <w:rFonts w:hAnsi="宋体"/>
                <w:bCs/>
                <w:color w:val="auto"/>
                <w:kern w:val="2"/>
                <w:sz w:val="21"/>
                <w:szCs w:val="24"/>
                <w:highlight w:val="none"/>
              </w:rPr>
            </w:pPr>
          </w:p>
        </w:tc>
        <w:tc>
          <w:tcPr>
            <w:tcW w:w="1220" w:type="dxa"/>
            <w:vAlign w:val="center"/>
          </w:tcPr>
          <w:p>
            <w:pPr>
              <w:snapToGrid w:val="0"/>
              <w:jc w:val="center"/>
              <w:rPr>
                <w:rFonts w:hAnsi="宋体"/>
                <w:bCs/>
                <w:color w:val="auto"/>
                <w:kern w:val="2"/>
                <w:sz w:val="21"/>
                <w:szCs w:val="24"/>
                <w:highlight w:val="none"/>
              </w:rPr>
            </w:pPr>
          </w:p>
        </w:tc>
        <w:tc>
          <w:tcPr>
            <w:tcW w:w="817" w:type="dxa"/>
            <w:vAlign w:val="center"/>
          </w:tcPr>
          <w:p>
            <w:pPr>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auto"/>
                <w:kern w:val="2"/>
                <w:sz w:val="21"/>
                <w:szCs w:val="24"/>
                <w:highlight w:val="none"/>
              </w:rPr>
            </w:pPr>
          </w:p>
        </w:tc>
        <w:tc>
          <w:tcPr>
            <w:tcW w:w="1215" w:type="dxa"/>
            <w:vAlign w:val="center"/>
          </w:tcPr>
          <w:p>
            <w:pPr>
              <w:snapToGrid w:val="0"/>
              <w:jc w:val="center"/>
              <w:rPr>
                <w:rFonts w:hAnsi="宋体"/>
                <w:bCs/>
                <w:color w:val="auto"/>
                <w:kern w:val="2"/>
                <w:sz w:val="21"/>
                <w:szCs w:val="24"/>
                <w:highlight w:val="none"/>
              </w:rPr>
            </w:pPr>
          </w:p>
        </w:tc>
        <w:tc>
          <w:tcPr>
            <w:tcW w:w="1267" w:type="dxa"/>
            <w:vAlign w:val="center"/>
          </w:tcPr>
          <w:p>
            <w:pPr>
              <w:snapToGrid w:val="0"/>
              <w:jc w:val="center"/>
              <w:rPr>
                <w:rFonts w:hAnsi="宋体"/>
                <w:bCs/>
                <w:color w:val="auto"/>
                <w:kern w:val="2"/>
                <w:sz w:val="21"/>
                <w:szCs w:val="24"/>
                <w:highlight w:val="none"/>
              </w:rPr>
            </w:pPr>
          </w:p>
        </w:tc>
        <w:tc>
          <w:tcPr>
            <w:tcW w:w="1117" w:type="dxa"/>
            <w:vAlign w:val="center"/>
          </w:tcPr>
          <w:p>
            <w:pPr>
              <w:snapToGrid w:val="0"/>
              <w:jc w:val="center"/>
              <w:rPr>
                <w:rFonts w:hAnsi="宋体"/>
                <w:bCs/>
                <w:color w:val="auto"/>
                <w:kern w:val="2"/>
                <w:sz w:val="21"/>
                <w:szCs w:val="24"/>
                <w:highlight w:val="none"/>
              </w:rPr>
            </w:pPr>
          </w:p>
        </w:tc>
        <w:tc>
          <w:tcPr>
            <w:tcW w:w="1400" w:type="dxa"/>
            <w:vAlign w:val="center"/>
          </w:tcPr>
          <w:p>
            <w:pPr>
              <w:snapToGrid w:val="0"/>
              <w:jc w:val="center"/>
              <w:rPr>
                <w:rFonts w:hAnsi="宋体"/>
                <w:bCs/>
                <w:color w:val="auto"/>
                <w:kern w:val="2"/>
                <w:sz w:val="21"/>
                <w:szCs w:val="24"/>
                <w:highlight w:val="none"/>
              </w:rPr>
            </w:pPr>
          </w:p>
        </w:tc>
        <w:tc>
          <w:tcPr>
            <w:tcW w:w="1233" w:type="dxa"/>
            <w:vAlign w:val="center"/>
          </w:tcPr>
          <w:p>
            <w:pPr>
              <w:snapToGrid w:val="0"/>
              <w:jc w:val="center"/>
              <w:rPr>
                <w:rFonts w:hAnsi="宋体"/>
                <w:bCs/>
                <w:color w:val="auto"/>
                <w:kern w:val="2"/>
                <w:sz w:val="21"/>
                <w:szCs w:val="24"/>
                <w:highlight w:val="none"/>
              </w:rPr>
            </w:pPr>
          </w:p>
        </w:tc>
        <w:tc>
          <w:tcPr>
            <w:tcW w:w="1183" w:type="dxa"/>
            <w:vAlign w:val="center"/>
          </w:tcPr>
          <w:p>
            <w:pPr>
              <w:snapToGrid w:val="0"/>
              <w:jc w:val="center"/>
              <w:rPr>
                <w:rFonts w:hAnsi="宋体"/>
                <w:bCs/>
                <w:color w:val="auto"/>
                <w:kern w:val="2"/>
                <w:sz w:val="21"/>
                <w:szCs w:val="24"/>
                <w:highlight w:val="none"/>
              </w:rPr>
            </w:pPr>
          </w:p>
        </w:tc>
        <w:tc>
          <w:tcPr>
            <w:tcW w:w="1220" w:type="dxa"/>
            <w:vAlign w:val="center"/>
          </w:tcPr>
          <w:p>
            <w:pPr>
              <w:snapToGrid w:val="0"/>
              <w:jc w:val="center"/>
              <w:rPr>
                <w:rFonts w:hAnsi="宋体"/>
                <w:bCs/>
                <w:color w:val="auto"/>
                <w:kern w:val="2"/>
                <w:sz w:val="21"/>
                <w:szCs w:val="24"/>
                <w:highlight w:val="none"/>
              </w:rPr>
            </w:pPr>
          </w:p>
        </w:tc>
        <w:tc>
          <w:tcPr>
            <w:tcW w:w="817" w:type="dxa"/>
            <w:vAlign w:val="center"/>
          </w:tcPr>
          <w:p>
            <w:pPr>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auto"/>
                <w:kern w:val="2"/>
                <w:sz w:val="21"/>
                <w:szCs w:val="24"/>
                <w:highlight w:val="none"/>
              </w:rPr>
            </w:pPr>
          </w:p>
        </w:tc>
        <w:tc>
          <w:tcPr>
            <w:tcW w:w="1215" w:type="dxa"/>
            <w:vAlign w:val="center"/>
          </w:tcPr>
          <w:p>
            <w:pPr>
              <w:snapToGrid w:val="0"/>
              <w:jc w:val="center"/>
              <w:rPr>
                <w:rFonts w:hAnsi="宋体"/>
                <w:bCs/>
                <w:color w:val="auto"/>
                <w:kern w:val="2"/>
                <w:sz w:val="21"/>
                <w:szCs w:val="24"/>
                <w:highlight w:val="none"/>
              </w:rPr>
            </w:pPr>
          </w:p>
        </w:tc>
        <w:tc>
          <w:tcPr>
            <w:tcW w:w="1267" w:type="dxa"/>
            <w:vAlign w:val="center"/>
          </w:tcPr>
          <w:p>
            <w:pPr>
              <w:snapToGrid w:val="0"/>
              <w:jc w:val="center"/>
              <w:rPr>
                <w:rFonts w:hAnsi="宋体"/>
                <w:bCs/>
                <w:color w:val="auto"/>
                <w:kern w:val="2"/>
                <w:sz w:val="21"/>
                <w:szCs w:val="24"/>
                <w:highlight w:val="none"/>
              </w:rPr>
            </w:pPr>
          </w:p>
        </w:tc>
        <w:tc>
          <w:tcPr>
            <w:tcW w:w="1117" w:type="dxa"/>
            <w:vAlign w:val="center"/>
          </w:tcPr>
          <w:p>
            <w:pPr>
              <w:snapToGrid w:val="0"/>
              <w:jc w:val="center"/>
              <w:rPr>
                <w:rFonts w:hAnsi="宋体"/>
                <w:bCs/>
                <w:color w:val="auto"/>
                <w:kern w:val="2"/>
                <w:sz w:val="21"/>
                <w:szCs w:val="24"/>
                <w:highlight w:val="none"/>
              </w:rPr>
            </w:pPr>
          </w:p>
        </w:tc>
        <w:tc>
          <w:tcPr>
            <w:tcW w:w="1400" w:type="dxa"/>
            <w:vAlign w:val="center"/>
          </w:tcPr>
          <w:p>
            <w:pPr>
              <w:snapToGrid w:val="0"/>
              <w:jc w:val="center"/>
              <w:rPr>
                <w:rFonts w:hAnsi="宋体"/>
                <w:bCs/>
                <w:color w:val="auto"/>
                <w:kern w:val="2"/>
                <w:sz w:val="21"/>
                <w:szCs w:val="24"/>
                <w:highlight w:val="none"/>
              </w:rPr>
            </w:pPr>
          </w:p>
        </w:tc>
        <w:tc>
          <w:tcPr>
            <w:tcW w:w="1233" w:type="dxa"/>
            <w:vAlign w:val="center"/>
          </w:tcPr>
          <w:p>
            <w:pPr>
              <w:snapToGrid w:val="0"/>
              <w:jc w:val="center"/>
              <w:rPr>
                <w:rFonts w:hAnsi="宋体"/>
                <w:bCs/>
                <w:color w:val="auto"/>
                <w:kern w:val="2"/>
                <w:sz w:val="21"/>
                <w:szCs w:val="24"/>
                <w:highlight w:val="none"/>
              </w:rPr>
            </w:pPr>
          </w:p>
        </w:tc>
        <w:tc>
          <w:tcPr>
            <w:tcW w:w="1183" w:type="dxa"/>
            <w:vAlign w:val="center"/>
          </w:tcPr>
          <w:p>
            <w:pPr>
              <w:snapToGrid w:val="0"/>
              <w:jc w:val="center"/>
              <w:rPr>
                <w:rFonts w:hAnsi="宋体"/>
                <w:bCs/>
                <w:color w:val="auto"/>
                <w:kern w:val="2"/>
                <w:sz w:val="21"/>
                <w:szCs w:val="24"/>
                <w:highlight w:val="none"/>
              </w:rPr>
            </w:pPr>
          </w:p>
        </w:tc>
        <w:tc>
          <w:tcPr>
            <w:tcW w:w="1220" w:type="dxa"/>
            <w:vAlign w:val="center"/>
          </w:tcPr>
          <w:p>
            <w:pPr>
              <w:snapToGrid w:val="0"/>
              <w:jc w:val="center"/>
              <w:rPr>
                <w:rFonts w:hAnsi="宋体"/>
                <w:bCs/>
                <w:color w:val="auto"/>
                <w:kern w:val="2"/>
                <w:sz w:val="21"/>
                <w:szCs w:val="24"/>
                <w:highlight w:val="none"/>
              </w:rPr>
            </w:pPr>
          </w:p>
        </w:tc>
        <w:tc>
          <w:tcPr>
            <w:tcW w:w="817" w:type="dxa"/>
            <w:vAlign w:val="center"/>
          </w:tcPr>
          <w:p>
            <w:pPr>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auto"/>
                <w:kern w:val="2"/>
                <w:sz w:val="21"/>
                <w:szCs w:val="24"/>
                <w:highlight w:val="none"/>
              </w:rPr>
            </w:pPr>
          </w:p>
        </w:tc>
        <w:tc>
          <w:tcPr>
            <w:tcW w:w="1215" w:type="dxa"/>
            <w:vAlign w:val="center"/>
          </w:tcPr>
          <w:p>
            <w:pPr>
              <w:snapToGrid w:val="0"/>
              <w:jc w:val="center"/>
              <w:rPr>
                <w:rFonts w:hAnsi="宋体"/>
                <w:bCs/>
                <w:color w:val="auto"/>
                <w:kern w:val="2"/>
                <w:sz w:val="21"/>
                <w:szCs w:val="24"/>
                <w:highlight w:val="none"/>
              </w:rPr>
            </w:pPr>
          </w:p>
        </w:tc>
        <w:tc>
          <w:tcPr>
            <w:tcW w:w="1267" w:type="dxa"/>
            <w:vAlign w:val="center"/>
          </w:tcPr>
          <w:p>
            <w:pPr>
              <w:snapToGrid w:val="0"/>
              <w:jc w:val="center"/>
              <w:rPr>
                <w:rFonts w:hAnsi="宋体"/>
                <w:bCs/>
                <w:color w:val="auto"/>
                <w:kern w:val="2"/>
                <w:sz w:val="21"/>
                <w:szCs w:val="24"/>
                <w:highlight w:val="none"/>
              </w:rPr>
            </w:pPr>
          </w:p>
        </w:tc>
        <w:tc>
          <w:tcPr>
            <w:tcW w:w="1117" w:type="dxa"/>
            <w:vAlign w:val="center"/>
          </w:tcPr>
          <w:p>
            <w:pPr>
              <w:snapToGrid w:val="0"/>
              <w:jc w:val="center"/>
              <w:rPr>
                <w:rFonts w:hAnsi="宋体"/>
                <w:bCs/>
                <w:color w:val="auto"/>
                <w:kern w:val="2"/>
                <w:sz w:val="21"/>
                <w:szCs w:val="24"/>
                <w:highlight w:val="none"/>
              </w:rPr>
            </w:pPr>
          </w:p>
        </w:tc>
        <w:tc>
          <w:tcPr>
            <w:tcW w:w="1400" w:type="dxa"/>
            <w:vAlign w:val="center"/>
          </w:tcPr>
          <w:p>
            <w:pPr>
              <w:snapToGrid w:val="0"/>
              <w:jc w:val="center"/>
              <w:rPr>
                <w:rFonts w:hAnsi="宋体"/>
                <w:bCs/>
                <w:color w:val="auto"/>
                <w:kern w:val="2"/>
                <w:sz w:val="21"/>
                <w:szCs w:val="24"/>
                <w:highlight w:val="none"/>
              </w:rPr>
            </w:pPr>
          </w:p>
        </w:tc>
        <w:tc>
          <w:tcPr>
            <w:tcW w:w="1233" w:type="dxa"/>
            <w:vAlign w:val="center"/>
          </w:tcPr>
          <w:p>
            <w:pPr>
              <w:snapToGrid w:val="0"/>
              <w:jc w:val="center"/>
              <w:rPr>
                <w:rFonts w:hAnsi="宋体"/>
                <w:bCs/>
                <w:color w:val="auto"/>
                <w:kern w:val="2"/>
                <w:sz w:val="21"/>
                <w:szCs w:val="24"/>
                <w:highlight w:val="none"/>
              </w:rPr>
            </w:pPr>
          </w:p>
        </w:tc>
        <w:tc>
          <w:tcPr>
            <w:tcW w:w="1183" w:type="dxa"/>
            <w:vAlign w:val="center"/>
          </w:tcPr>
          <w:p>
            <w:pPr>
              <w:snapToGrid w:val="0"/>
              <w:jc w:val="center"/>
              <w:rPr>
                <w:rFonts w:hAnsi="宋体"/>
                <w:bCs/>
                <w:color w:val="auto"/>
                <w:kern w:val="2"/>
                <w:sz w:val="21"/>
                <w:szCs w:val="24"/>
                <w:highlight w:val="none"/>
              </w:rPr>
            </w:pPr>
          </w:p>
        </w:tc>
        <w:tc>
          <w:tcPr>
            <w:tcW w:w="1220" w:type="dxa"/>
            <w:vAlign w:val="center"/>
          </w:tcPr>
          <w:p>
            <w:pPr>
              <w:snapToGrid w:val="0"/>
              <w:jc w:val="center"/>
              <w:rPr>
                <w:rFonts w:hAnsi="宋体"/>
                <w:bCs/>
                <w:color w:val="auto"/>
                <w:kern w:val="2"/>
                <w:sz w:val="21"/>
                <w:szCs w:val="24"/>
                <w:highlight w:val="none"/>
              </w:rPr>
            </w:pPr>
          </w:p>
        </w:tc>
        <w:tc>
          <w:tcPr>
            <w:tcW w:w="817" w:type="dxa"/>
            <w:vAlign w:val="center"/>
          </w:tcPr>
          <w:p>
            <w:pPr>
              <w:snapToGrid w:val="0"/>
              <w:jc w:val="center"/>
              <w:rPr>
                <w:rFonts w:hAnsi="宋体"/>
                <w:bCs/>
                <w:color w:val="auto"/>
                <w:kern w:val="2"/>
                <w:sz w:val="21"/>
                <w:szCs w:val="24"/>
                <w:highlight w:val="none"/>
              </w:rPr>
            </w:pPr>
          </w:p>
        </w:tc>
      </w:tr>
    </w:tbl>
    <w:p>
      <w:pPr>
        <w:snapToGrid w:val="0"/>
        <w:spacing w:line="360" w:lineRule="auto"/>
        <w:ind w:firstLine="0"/>
        <w:rPr>
          <w:rFonts w:hAnsi="宋体"/>
          <w:bCs/>
          <w:color w:val="auto"/>
          <w:sz w:val="21"/>
          <w:highlight w:val="none"/>
        </w:rPr>
      </w:pPr>
      <w:r>
        <w:rPr>
          <w:rFonts w:hint="eastAsia" w:hAnsi="宋体"/>
          <w:bCs/>
          <w:color w:val="auto"/>
          <w:sz w:val="21"/>
          <w:highlight w:val="none"/>
        </w:rPr>
        <w:t>注：如本表格式内容不能满足需要，投标人可自行划表填写，但必须体现以上内容。</w:t>
      </w:r>
    </w:p>
    <w:p>
      <w:pPr>
        <w:snapToGrid w:val="0"/>
        <w:spacing w:line="360" w:lineRule="auto"/>
        <w:ind w:firstLine="0"/>
        <w:rPr>
          <w:rFonts w:hAnsi="宋体"/>
          <w:bCs/>
          <w:color w:val="auto"/>
          <w:sz w:val="21"/>
          <w:highlight w:val="none"/>
        </w:rPr>
      </w:pPr>
    </w:p>
    <w:p>
      <w:pPr>
        <w:snapToGrid w:val="0"/>
        <w:spacing w:line="360" w:lineRule="auto"/>
        <w:ind w:firstLine="0"/>
        <w:rPr>
          <w:rFonts w:hAnsi="宋体"/>
          <w:bCs/>
          <w:color w:val="auto"/>
          <w:sz w:val="21"/>
          <w:highlight w:val="none"/>
        </w:rPr>
      </w:pPr>
    </w:p>
    <w:p>
      <w:pPr>
        <w:snapToGrid w:val="0"/>
        <w:spacing w:line="360" w:lineRule="auto"/>
        <w:ind w:firstLine="0"/>
        <w:rPr>
          <w:rFonts w:hAnsi="宋体"/>
          <w:bCs/>
          <w:color w:val="auto"/>
          <w:sz w:val="21"/>
          <w:highlight w:val="none"/>
        </w:rPr>
      </w:pPr>
    </w:p>
    <w:p>
      <w:pPr>
        <w:snapToGrid w:val="0"/>
        <w:spacing w:line="360" w:lineRule="auto"/>
        <w:ind w:firstLine="0"/>
        <w:rPr>
          <w:rFonts w:hAnsi="宋体"/>
          <w:bCs/>
          <w:color w:val="auto"/>
          <w:sz w:val="21"/>
          <w:highlight w:val="none"/>
        </w:rPr>
      </w:pPr>
    </w:p>
    <w:p>
      <w:pPr>
        <w:adjustRightInd w:val="0"/>
        <w:snapToGrid w:val="0"/>
        <w:spacing w:line="360" w:lineRule="auto"/>
        <w:rPr>
          <w:rFonts w:ascii="宋体" w:hAnsi="宋体"/>
          <w:bCs/>
          <w:color w:val="auto"/>
          <w:highlight w:val="none"/>
        </w:rPr>
      </w:pPr>
      <w:bookmarkStart w:id="2078" w:name="_Hlk534184880"/>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bookmarkEnd w:id="2078"/>
    </w:p>
    <w:p>
      <w:pPr>
        <w:pStyle w:val="3"/>
        <w:numPr>
          <w:ilvl w:val="1"/>
          <w:numId w:val="0"/>
        </w:numPr>
        <w:jc w:val="both"/>
        <w:rPr>
          <w:color w:val="auto"/>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auto"/>
          <w:highlight w:val="none"/>
        </w:rPr>
      </w:pPr>
      <w:bookmarkStart w:id="2079" w:name="_Toc432695229"/>
      <w:bookmarkStart w:id="2080" w:name="_Toc27346"/>
      <w:bookmarkStart w:id="2081" w:name="_Toc430771089"/>
      <w:bookmarkStart w:id="2082" w:name="_Toc432682754"/>
      <w:bookmarkStart w:id="2083" w:name="_Toc340677100"/>
      <w:bookmarkStart w:id="2084" w:name="_Toc339441117"/>
      <w:bookmarkStart w:id="2085" w:name="_Toc365967105"/>
      <w:bookmarkStart w:id="2086" w:name="_Toc339020263"/>
      <w:bookmarkStart w:id="2087" w:name="_Toc345312627"/>
      <w:bookmarkStart w:id="2088" w:name="_Toc366072562"/>
      <w:bookmarkStart w:id="2089" w:name="_Toc343612950"/>
      <w:bookmarkStart w:id="2090" w:name="_Toc350756480"/>
      <w:bookmarkStart w:id="2091" w:name="_Toc365985211"/>
      <w:bookmarkStart w:id="2092" w:name="_Toc341348370"/>
      <w:bookmarkStart w:id="2093" w:name="_Toc337632388"/>
      <w:bookmarkStart w:id="2094" w:name="_Toc342060405"/>
      <w:bookmarkStart w:id="2095" w:name="_Toc343248448"/>
      <w:bookmarkStart w:id="2096" w:name="_Toc342312473"/>
      <w:bookmarkStart w:id="2097" w:name="_Toc332270377"/>
      <w:bookmarkStart w:id="2098" w:name="_Toc330460016"/>
      <w:bookmarkStart w:id="2099" w:name="_Toc336681965"/>
      <w:bookmarkStart w:id="2100" w:name="_Toc336681610"/>
      <w:bookmarkStart w:id="2101" w:name="_Toc333935376"/>
      <w:bookmarkStart w:id="2102" w:name="_Toc331512931"/>
      <w:bookmarkStart w:id="2103" w:name="_Toc342296791"/>
      <w:bookmarkStart w:id="2104" w:name="_Toc333237819"/>
      <w:bookmarkStart w:id="2105" w:name="_Toc339019919"/>
      <w:bookmarkStart w:id="2106" w:name="_Toc342398160"/>
      <w:bookmarkStart w:id="2107" w:name="_Toc339362330"/>
      <w:bookmarkStart w:id="2108" w:name="_Toc102451601"/>
      <w:bookmarkStart w:id="2109" w:name="_Toc331684072"/>
      <w:bookmarkStart w:id="2110" w:name="_Toc333237708"/>
      <w:bookmarkStart w:id="2111" w:name="_Toc340507472"/>
      <w:bookmarkStart w:id="2112" w:name="_Toc343247130"/>
      <w:bookmarkStart w:id="2113" w:name="_Toc340672899"/>
      <w:bookmarkStart w:id="2114" w:name="_Toc339020045"/>
      <w:bookmarkStart w:id="2115" w:name="_Toc339020125"/>
      <w:bookmarkStart w:id="2116" w:name="_Toc333238664"/>
      <w:bookmarkStart w:id="2117" w:name="_Toc332206739"/>
      <w:bookmarkStart w:id="2118" w:name="_Toc333935717"/>
      <w:bookmarkStart w:id="2119" w:name="_Toc350438779"/>
      <w:r>
        <w:rPr>
          <w:rFonts w:hint="eastAsia"/>
          <w:color w:val="auto"/>
          <w:highlight w:val="none"/>
        </w:rPr>
        <w:t>附件七：</w:t>
      </w:r>
      <w:r>
        <w:rPr>
          <w:rFonts w:hint="eastAsia" w:hAnsi="黑体" w:cs="黑体"/>
          <w:color w:val="auto"/>
          <w:highlight w:val="none"/>
        </w:rPr>
        <w:t>中小微企业声明函</w:t>
      </w:r>
      <w:bookmarkEnd w:id="2079"/>
      <w:bookmarkEnd w:id="2080"/>
      <w:bookmarkEnd w:id="2081"/>
      <w:bookmarkEnd w:id="2082"/>
    </w:p>
    <w:p>
      <w:pPr>
        <w:spacing w:line="440" w:lineRule="exact"/>
        <w:ind w:firstLine="420"/>
        <w:rPr>
          <w:rFonts w:ascii="宋体"/>
          <w:color w:val="auto"/>
          <w:highlight w:val="none"/>
        </w:rPr>
      </w:pPr>
      <w:r>
        <w:rPr>
          <w:rFonts w:hint="eastAsia" w:ascii="宋体" w:hAnsi="宋体" w:cs="宋体"/>
          <w:color w:val="auto"/>
          <w:highlight w:val="none"/>
        </w:rPr>
        <w:t>本公司郑重声明，根据</w:t>
      </w:r>
      <w:r>
        <w:rPr>
          <w:rFonts w:ascii="宋体" w:hAnsi="宋体"/>
          <w:color w:val="auto"/>
          <w:szCs w:val="21"/>
          <w:highlight w:val="none"/>
        </w:rPr>
        <w:t>《政府采购促进中小企业发展管理办法》（财库﹝2020﹞46 号）</w:t>
      </w:r>
      <w:r>
        <w:rPr>
          <w:rFonts w:hint="eastAsia" w:ascii="宋体" w:hAnsi="宋体" w:cs="宋体"/>
          <w:color w:val="auto"/>
          <w:highlight w:val="none"/>
        </w:rPr>
        <w:t>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s="宋体"/>
          <w:color w:val="auto"/>
          <w:highlight w:val="none"/>
        </w:rPr>
        <w:t>（项目编号：</w:t>
      </w:r>
      <w:r>
        <w:rPr>
          <w:rFonts w:ascii="宋体" w:hAnsi="宋体" w:cs="宋体"/>
          <w:color w:val="auto"/>
          <w:highlight w:val="none"/>
        </w:rPr>
        <w:t xml:space="preserve"> </w:t>
      </w:r>
      <w:r>
        <w:rPr>
          <w:rFonts w:hint="eastAsia" w:ascii="宋体" w:hAnsi="宋体"/>
          <w:color w:val="auto"/>
          <w:highlight w:val="none"/>
          <w:u w:val="single"/>
        </w:rPr>
        <w:t xml:space="preserve">             </w:t>
      </w:r>
      <w:r>
        <w:rPr>
          <w:rFonts w:hint="eastAsia" w:ascii="宋体" w:hAnsi="宋体" w:cs="宋体"/>
          <w:color w:val="auto"/>
          <w:highlight w:val="none"/>
        </w:rPr>
        <w:t>）采购活动提供本企业制造的货物，由本企业承担工程、</w:t>
      </w:r>
      <w:r>
        <w:rPr>
          <w:rFonts w:ascii="宋体" w:hAnsi="宋体" w:cs="宋体"/>
          <w:color w:val="auto"/>
          <w:highlight w:val="none"/>
        </w:rPr>
        <w:t xml:space="preserve"> </w:t>
      </w:r>
      <w:r>
        <w:rPr>
          <w:rFonts w:hint="eastAsia" w:ascii="宋体" w:hAnsi="宋体" w:cs="宋体"/>
          <w:color w:val="auto"/>
          <w:highlight w:val="none"/>
        </w:rPr>
        <w:t>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w:t>
      </w:r>
      <w:r>
        <w:rPr>
          <w:rFonts w:ascii="宋体" w:hAnsi="宋体" w:cs="宋体"/>
          <w:color w:val="auto"/>
          <w:highlight w:val="none"/>
        </w:rPr>
        <w:t xml:space="preserve"> </w:t>
      </w: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adjustRightInd w:val="0"/>
        <w:snapToGrid w:val="0"/>
        <w:spacing w:line="440" w:lineRule="exact"/>
        <w:rPr>
          <w:rFonts w:ascii="宋体" w:hAnsi="宋体"/>
          <w:bCs/>
          <w:color w:val="auto"/>
          <w:highlight w:val="none"/>
        </w:rPr>
      </w:pPr>
      <w:bookmarkStart w:id="2120" w:name="_Hlk534184837"/>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40" w:lineRule="exact"/>
        <w:rPr>
          <w:rFonts w:ascii="宋体"/>
          <w:color w:val="auto"/>
          <w:highlight w:val="none"/>
        </w:rPr>
      </w:pPr>
      <w:r>
        <w:rPr>
          <w:rFonts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bookmarkEnd w:id="2120"/>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rPr>
          <w:color w:val="auto"/>
          <w:highlight w:val="none"/>
        </w:rPr>
      </w:pPr>
    </w:p>
    <w:p>
      <w:pPr>
        <w:rPr>
          <w:color w:val="auto"/>
          <w:highlight w:val="none"/>
        </w:rPr>
      </w:pPr>
    </w:p>
    <w:p>
      <w:pPr>
        <w:rPr>
          <w:color w:val="auto"/>
          <w:highlight w:val="none"/>
        </w:rPr>
      </w:pPr>
    </w:p>
    <w:p>
      <w:pPr>
        <w:pStyle w:val="3"/>
        <w:keepLines w:val="0"/>
        <w:numPr>
          <w:ilvl w:val="0"/>
          <w:numId w:val="0"/>
        </w:numPr>
        <w:tabs>
          <w:tab w:val="left" w:pos="851"/>
        </w:tabs>
        <w:spacing w:before="0" w:after="0" w:line="360" w:lineRule="auto"/>
        <w:rPr>
          <w:rFonts w:ascii="宋体" w:eastAsia="宋体"/>
          <w:color w:val="auto"/>
          <w:szCs w:val="21"/>
          <w:highlight w:val="none"/>
        </w:rPr>
      </w:pPr>
      <w:bookmarkStart w:id="2121" w:name="_Toc17032"/>
      <w:bookmarkStart w:id="2122" w:name="_Hlk534184757"/>
      <w:r>
        <w:rPr>
          <w:rFonts w:hint="eastAsia"/>
          <w:color w:val="auto"/>
          <w:highlight w:val="none"/>
        </w:rPr>
        <w:t>附件八：</w:t>
      </w:r>
      <w:r>
        <w:rPr>
          <w:rFonts w:hint="eastAsia" w:hAnsi="黑体" w:cs="黑体"/>
          <w:color w:val="auto"/>
          <w:highlight w:val="none"/>
        </w:rPr>
        <w:t>残疾人福利性单位声明函</w:t>
      </w:r>
      <w:bookmarkEnd w:id="2121"/>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投标人法定代表人（负责人）或授权代理人（签字）：</w:t>
      </w:r>
      <w:r>
        <w:rPr>
          <w:rFonts w:hint="eastAsia" w:ascii="宋体" w:hAnsi="宋体"/>
          <w:bCs/>
          <w:color w:val="auto"/>
          <w:szCs w:val="21"/>
          <w:highlight w:val="none"/>
          <w:u w:val="single"/>
        </w:rPr>
        <w:t xml:space="preserve">                            </w:t>
      </w:r>
    </w:p>
    <w:p>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投标人名称（公章）：</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pPr>
        <w:spacing w:line="360" w:lineRule="auto"/>
        <w:ind w:firstLine="0"/>
        <w:rPr>
          <w:rFonts w:hAnsi="宋体" w:cs="宋体"/>
          <w:color w:val="auto"/>
          <w:kern w:val="2"/>
          <w:sz w:val="21"/>
          <w:szCs w:val="24"/>
          <w:highlight w:val="none"/>
        </w:rPr>
      </w:pPr>
      <w:r>
        <w:rPr>
          <w:rFonts w:hAnsi="宋体"/>
          <w:color w:val="auto"/>
          <w:sz w:val="21"/>
          <w:szCs w:val="21"/>
          <w:highlight w:val="none"/>
        </w:rPr>
        <w:t>日期：</w:t>
      </w:r>
      <w:r>
        <w:rPr>
          <w:rFonts w:hAnsi="宋体"/>
          <w:color w:val="auto"/>
          <w:sz w:val="21"/>
          <w:szCs w:val="21"/>
          <w:highlight w:val="none"/>
          <w:u w:val="single"/>
        </w:rPr>
        <w:t xml:space="preserve">       </w:t>
      </w:r>
      <w:r>
        <w:rPr>
          <w:rFonts w:hAnsi="宋体"/>
          <w:color w:val="auto"/>
          <w:sz w:val="21"/>
          <w:szCs w:val="21"/>
          <w:highlight w:val="none"/>
        </w:rPr>
        <w:t>年</w:t>
      </w:r>
      <w:r>
        <w:rPr>
          <w:rFonts w:hAnsi="宋体"/>
          <w:color w:val="auto"/>
          <w:sz w:val="21"/>
          <w:szCs w:val="21"/>
          <w:highlight w:val="none"/>
          <w:u w:val="single"/>
        </w:rPr>
        <w:t xml:space="preserve">     </w:t>
      </w:r>
      <w:r>
        <w:rPr>
          <w:rFonts w:hAnsi="宋体"/>
          <w:color w:val="auto"/>
          <w:sz w:val="21"/>
          <w:szCs w:val="21"/>
          <w:highlight w:val="none"/>
        </w:rPr>
        <w:t>月</w:t>
      </w:r>
      <w:r>
        <w:rPr>
          <w:rFonts w:hAnsi="宋体"/>
          <w:color w:val="auto"/>
          <w:sz w:val="21"/>
          <w:szCs w:val="21"/>
          <w:highlight w:val="none"/>
          <w:u w:val="single"/>
        </w:rPr>
        <w:t xml:space="preserve">      </w:t>
      </w:r>
      <w:r>
        <w:rPr>
          <w:rFonts w:hAnsi="宋体"/>
          <w:color w:val="auto"/>
          <w:sz w:val="21"/>
          <w:szCs w:val="21"/>
          <w:highlight w:val="none"/>
        </w:rPr>
        <w:t>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numPr>
          <w:ilvl w:val="1"/>
          <w:numId w:val="0"/>
        </w:numPr>
        <w:spacing w:line="400" w:lineRule="exact"/>
        <w:rPr>
          <w:color w:val="auto"/>
          <w:highlight w:val="none"/>
        </w:rPr>
      </w:pPr>
      <w:bookmarkStart w:id="2123" w:name="_Toc432695230"/>
      <w:bookmarkStart w:id="2124" w:name="_Toc32675"/>
      <w:r>
        <w:rPr>
          <w:rFonts w:hint="eastAsia"/>
          <w:color w:val="auto"/>
          <w:highlight w:val="none"/>
        </w:rPr>
        <w:t>附件九：中标服务费承诺</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3"/>
      <w:bookmarkEnd w:id="2124"/>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广东业信采购招标有限公司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针对贵方组织的（项目名称：</w:t>
      </w:r>
      <w:r>
        <w:rPr>
          <w:rFonts w:hint="eastAsia" w:ascii="宋体" w:hAnsi="宋体"/>
          <w:color w:val="auto"/>
          <w:highlight w:val="none"/>
          <w:u w:val="single"/>
        </w:rPr>
        <w:t xml:space="preserve">                   </w:t>
      </w:r>
      <w:r>
        <w:rPr>
          <w:rFonts w:hint="eastAsia" w:ascii="宋体" w:hAnsi="宋体"/>
          <w:color w:val="auto"/>
          <w:highlight w:val="none"/>
        </w:rPr>
        <w:t xml:space="preserve">）招标（项目编号: </w:t>
      </w:r>
      <w:r>
        <w:rPr>
          <w:rFonts w:hint="eastAsia" w:ascii="宋体" w:hAnsi="宋体"/>
          <w:color w:val="auto"/>
          <w:highlight w:val="none"/>
          <w:u w:val="single"/>
        </w:rPr>
        <w:t xml:space="preserve">          </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 若我方中标，将严格遵照本项目招标文件的规定向代理采购机构缴纳中标服务费。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 若我方中标后拒绝如数缴纳或未按本项目招标文件规定的期限缴纳中标服务费，则视为我方自动放弃该中标结果，贵</w:t>
      </w:r>
      <w:r>
        <w:rPr>
          <w:rFonts w:hint="eastAsia" w:ascii="宋体" w:hAnsi="宋体"/>
          <w:color w:val="auto"/>
          <w:szCs w:val="21"/>
          <w:highlight w:val="none"/>
        </w:rPr>
        <w:t>方</w:t>
      </w:r>
      <w:r>
        <w:rPr>
          <w:rFonts w:hint="eastAsia" w:ascii="宋体" w:hAnsi="宋体"/>
          <w:color w:val="auto"/>
          <w:highlight w:val="none"/>
        </w:rPr>
        <w:t>有权重新确定中标结果，</w:t>
      </w:r>
      <w:r>
        <w:rPr>
          <w:rFonts w:hint="eastAsia" w:ascii="宋体"/>
          <w:color w:val="auto"/>
          <w:highlight w:val="none"/>
        </w:rPr>
        <w:t>我方对此无任何异议。</w:t>
      </w:r>
    </w:p>
    <w:p>
      <w:pPr>
        <w:spacing w:line="440" w:lineRule="exact"/>
        <w:rPr>
          <w:rFonts w:ascii="宋体" w:hAnsi="宋体"/>
          <w:color w:val="auto"/>
          <w:highlight w:val="none"/>
        </w:rPr>
      </w:pPr>
      <w:r>
        <w:rPr>
          <w:rFonts w:hint="eastAsia" w:ascii="宋体" w:hAnsi="宋体"/>
          <w:color w:val="auto"/>
          <w:highlight w:val="none"/>
        </w:rPr>
        <w:t xml:space="preserve">     </w:t>
      </w:r>
    </w:p>
    <w:p>
      <w:pPr>
        <w:spacing w:line="440" w:lineRule="exact"/>
        <w:ind w:firstLine="420" w:firstLineChars="200"/>
        <w:rPr>
          <w:rFonts w:ascii="宋体" w:hAns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rPr>
          <w:color w:val="auto"/>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auto"/>
          <w:highlight w:val="none"/>
        </w:rPr>
      </w:pPr>
      <w:bookmarkStart w:id="2125" w:name="_Toc326065622"/>
      <w:bookmarkStart w:id="2126" w:name="_Toc339019920"/>
      <w:bookmarkStart w:id="2127" w:name="_Toc331684073"/>
      <w:bookmarkStart w:id="2128" w:name="_Toc342296792"/>
      <w:bookmarkStart w:id="2129" w:name="_Toc340672900"/>
      <w:bookmarkStart w:id="2130" w:name="_Toc366072563"/>
      <w:bookmarkStart w:id="2131" w:name="_Toc333237709"/>
      <w:bookmarkStart w:id="2132" w:name="_Toc336681611"/>
      <w:bookmarkStart w:id="2133" w:name="_Toc339441118"/>
      <w:bookmarkStart w:id="2134" w:name="_Toc343247131"/>
      <w:bookmarkStart w:id="2135" w:name="_Toc365985212"/>
      <w:bookmarkStart w:id="2136" w:name="_Toc350438780"/>
      <w:bookmarkStart w:id="2137" w:name="_Toc339362331"/>
      <w:bookmarkStart w:id="2138" w:name="_Toc339020264"/>
      <w:bookmarkStart w:id="2139" w:name="_Toc340677101"/>
      <w:bookmarkStart w:id="2140" w:name="_Toc342312474"/>
      <w:bookmarkStart w:id="2141" w:name="_Toc336681966"/>
      <w:bookmarkStart w:id="2142" w:name="_Toc342398161"/>
      <w:bookmarkStart w:id="2143" w:name="_Toc333238665"/>
      <w:bookmarkStart w:id="2144" w:name="_Toc332206740"/>
      <w:bookmarkStart w:id="2145" w:name="_Toc343248449"/>
      <w:bookmarkStart w:id="2146" w:name="_Toc333237820"/>
      <w:bookmarkStart w:id="2147" w:name="_Toc345312628"/>
      <w:bookmarkStart w:id="2148" w:name="_Toc332270378"/>
      <w:bookmarkStart w:id="2149" w:name="_Toc339020126"/>
      <w:bookmarkStart w:id="2150" w:name="_Toc333935718"/>
      <w:bookmarkStart w:id="2151" w:name="_Toc330460017"/>
      <w:bookmarkStart w:id="2152" w:name="_Toc432695231"/>
      <w:bookmarkStart w:id="2153" w:name="_Toc331512932"/>
      <w:bookmarkStart w:id="2154" w:name="_Toc342060406"/>
      <w:bookmarkStart w:id="2155" w:name="_Toc350756481"/>
      <w:bookmarkStart w:id="2156" w:name="_Toc333935377"/>
      <w:bookmarkStart w:id="2157" w:name="_Toc340507473"/>
      <w:bookmarkStart w:id="2158" w:name="_Toc24850"/>
      <w:bookmarkStart w:id="2159" w:name="_Toc365967106"/>
      <w:bookmarkStart w:id="2160" w:name="_Toc343612951"/>
      <w:bookmarkStart w:id="2161" w:name="_Toc339020046"/>
      <w:bookmarkStart w:id="2162" w:name="_Toc337632389"/>
      <w:bookmarkStart w:id="2163" w:name="_Toc341348371"/>
      <w:r>
        <w:rPr>
          <w:rFonts w:hint="eastAsia"/>
          <w:color w:val="auto"/>
          <w:highlight w:val="none"/>
        </w:rPr>
        <w:t>附件十：</w:t>
      </w:r>
      <w:bookmarkEnd w:id="2125"/>
      <w:r>
        <w:rPr>
          <w:rFonts w:hint="eastAsia"/>
          <w:color w:val="auto"/>
          <w:highlight w:val="none"/>
        </w:rPr>
        <w:t>投标人提交的其它商务和技术资料</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p>
    <w:p>
      <w:pPr>
        <w:adjustRightInd w:val="0"/>
        <w:snapToGrid w:val="0"/>
        <w:spacing w:line="360" w:lineRule="auto"/>
        <w:ind w:left="1050" w:hanging="1050" w:hangingChars="500"/>
        <w:jc w:val="left"/>
        <w:rPr>
          <w:rFonts w:ascii="宋体" w:hAnsi="宋体"/>
          <w:bCs/>
          <w:color w:val="auto"/>
          <w:highlight w:val="none"/>
        </w:rPr>
      </w:pPr>
    </w:p>
    <w:p>
      <w:pPr>
        <w:spacing w:line="360" w:lineRule="auto"/>
        <w:rPr>
          <w:rFonts w:hAnsi="宋体"/>
          <w:bCs/>
          <w:color w:val="auto"/>
          <w:sz w:val="21"/>
          <w:highlight w:val="none"/>
        </w:rPr>
      </w:pPr>
    </w:p>
    <w:p>
      <w:pPr>
        <w:spacing w:line="360" w:lineRule="auto"/>
        <w:rPr>
          <w:rFonts w:hAnsi="宋体"/>
          <w:bCs/>
          <w:color w:val="auto"/>
          <w:sz w:val="21"/>
          <w:highlight w:val="none"/>
        </w:rPr>
      </w:pPr>
      <w:r>
        <w:rPr>
          <w:rFonts w:hint="eastAsia" w:hAnsi="宋体"/>
          <w:bCs/>
          <w:color w:val="auto"/>
          <w:sz w:val="21"/>
          <w:highlight w:val="none"/>
        </w:rPr>
        <w:t>本节无格式要求，投标人可根据自身实际情况以及招标文件评分细则规定的详细评审内容和应当提供的证明材料进行编制。</w:t>
      </w:r>
    </w:p>
    <w:p>
      <w:pPr>
        <w:spacing w:line="360" w:lineRule="auto"/>
        <w:rPr>
          <w:rFonts w:hAnsi="宋体"/>
          <w:bCs/>
          <w:color w:val="auto"/>
          <w:sz w:val="21"/>
          <w:highlight w:val="none"/>
        </w:rPr>
      </w:pPr>
      <w:r>
        <w:rPr>
          <w:rFonts w:hint="eastAsia" w:hAnsi="宋体"/>
          <w:bCs/>
          <w:color w:val="auto"/>
          <w:sz w:val="21"/>
          <w:highlight w:val="none"/>
        </w:rPr>
        <w:t>一、</w:t>
      </w:r>
      <w:r>
        <w:rPr>
          <w:rFonts w:hAnsi="宋体"/>
          <w:bCs/>
          <w:color w:val="auto"/>
          <w:sz w:val="21"/>
          <w:highlight w:val="none"/>
        </w:rPr>
        <w:t>...</w:t>
      </w:r>
    </w:p>
    <w:p>
      <w:pPr>
        <w:spacing w:line="360" w:lineRule="auto"/>
        <w:rPr>
          <w:rFonts w:hAnsi="宋体"/>
          <w:bCs/>
          <w:color w:val="auto"/>
          <w:sz w:val="21"/>
          <w:highlight w:val="none"/>
        </w:rPr>
      </w:pPr>
      <w:r>
        <w:rPr>
          <w:rFonts w:hint="eastAsia" w:hAnsi="宋体"/>
          <w:bCs/>
          <w:color w:val="auto"/>
          <w:sz w:val="21"/>
          <w:highlight w:val="none"/>
        </w:rPr>
        <w:t>二、</w:t>
      </w:r>
      <w:r>
        <w:rPr>
          <w:rFonts w:hAnsi="宋体"/>
          <w:bCs/>
          <w:color w:val="auto"/>
          <w:sz w:val="21"/>
          <w:highlight w:val="none"/>
        </w:rPr>
        <w:t>...</w:t>
      </w:r>
    </w:p>
    <w:p>
      <w:pPr>
        <w:spacing w:line="360" w:lineRule="auto"/>
        <w:rPr>
          <w:rFonts w:hAnsi="宋体"/>
          <w:bCs/>
          <w:color w:val="auto"/>
          <w:sz w:val="21"/>
          <w:highlight w:val="none"/>
        </w:rPr>
      </w:pPr>
      <w:r>
        <w:rPr>
          <w:rFonts w:hint="eastAsia" w:hAnsi="宋体"/>
          <w:bCs/>
          <w:color w:val="auto"/>
          <w:sz w:val="21"/>
          <w:highlight w:val="none"/>
        </w:rPr>
        <w:t>三、</w:t>
      </w:r>
      <w:r>
        <w:rPr>
          <w:rFonts w:hAnsi="宋体"/>
          <w:bCs/>
          <w:color w:val="auto"/>
          <w:sz w:val="21"/>
          <w:highlight w:val="none"/>
        </w:rPr>
        <w:t>...</w:t>
      </w:r>
    </w:p>
    <w:p>
      <w:pPr>
        <w:spacing w:line="360" w:lineRule="auto"/>
        <w:rPr>
          <w:rFonts w:hAnsi="宋体"/>
          <w:bCs/>
          <w:color w:val="auto"/>
          <w:sz w:val="21"/>
          <w:highlight w:val="none"/>
        </w:rPr>
      </w:pPr>
      <w:r>
        <w:rPr>
          <w:rFonts w:hint="eastAsia" w:hAnsi="宋体"/>
          <w:bCs/>
          <w:color w:val="auto"/>
          <w:sz w:val="21"/>
          <w:highlight w:val="none"/>
        </w:rPr>
        <w:t>四、</w:t>
      </w:r>
      <w:r>
        <w:rPr>
          <w:rFonts w:hAnsi="宋体"/>
          <w:bCs/>
          <w:color w:val="auto"/>
          <w:sz w:val="21"/>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（投标人认为本节无须提交的，应注明“本节空白”字样）。</w:t>
      </w:r>
    </w:p>
    <w:p>
      <w:pPr>
        <w:rPr>
          <w:color w:val="auto"/>
          <w:highlight w:val="none"/>
        </w:rPr>
      </w:pPr>
      <w:bookmarkStart w:id="2164" w:name="_Toc434832511"/>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2122"/>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ind w:left="0" w:leftChars="0" w:firstLine="0" w:firstLineChars="0"/>
        <w:rPr>
          <w:color w:val="auto"/>
          <w:highlight w:val="none"/>
        </w:rPr>
      </w:pPr>
    </w:p>
    <w:p>
      <w:pPr>
        <w:rPr>
          <w:color w:val="auto"/>
          <w:highlight w:val="none"/>
        </w:rPr>
      </w:pPr>
    </w:p>
    <w:p>
      <w:pPr>
        <w:pStyle w:val="3"/>
        <w:numPr>
          <w:ilvl w:val="0"/>
          <w:numId w:val="0"/>
        </w:numPr>
        <w:rPr>
          <w:color w:val="auto"/>
          <w:sz w:val="52"/>
          <w:highlight w:val="none"/>
        </w:rPr>
      </w:pPr>
      <w:bookmarkStart w:id="2165" w:name="_Toc456887842"/>
      <w:bookmarkStart w:id="2166" w:name="_Toc456888293"/>
      <w:bookmarkStart w:id="2167" w:name="_Toc564"/>
      <w:r>
        <w:rPr>
          <w:rFonts w:hint="eastAsia"/>
          <w:color w:val="auto"/>
          <w:sz w:val="52"/>
          <w:highlight w:val="none"/>
        </w:rPr>
        <w:t>其 他 格 式</w:t>
      </w:r>
      <w:bookmarkEnd w:id="2164"/>
      <w:bookmarkEnd w:id="2165"/>
      <w:bookmarkEnd w:id="2166"/>
      <w:bookmarkEnd w:id="2167"/>
    </w:p>
    <w:p>
      <w:pPr>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54"/>
        <w:rPr>
          <w:rFonts w:ascii="宋体" w:hAnsi="宋体"/>
          <w:color w:val="auto"/>
          <w:highlight w:val="none"/>
        </w:rPr>
      </w:pPr>
    </w:p>
    <w:p>
      <w:pPr>
        <w:pStyle w:val="54"/>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jc w:val="center"/>
        <w:rPr>
          <w:rFonts w:hint="eastAsia"/>
          <w:b/>
          <w:bCs/>
          <w:color w:val="auto"/>
          <w:szCs w:val="21"/>
          <w:highlight w:val="none"/>
        </w:rPr>
      </w:pPr>
      <w:bookmarkStart w:id="2168" w:name="_Hlk534184791"/>
      <w:r>
        <w:rPr>
          <w:rFonts w:hint="eastAsia"/>
          <w:b/>
          <w:bCs/>
          <w:color w:val="auto"/>
          <w:sz w:val="44"/>
          <w:szCs w:val="44"/>
          <w:highlight w:val="none"/>
        </w:rPr>
        <w:t>购买标书登记表</w:t>
      </w:r>
    </w:p>
    <w:p>
      <w:pPr>
        <w:jc w:val="center"/>
        <w:rPr>
          <w:rFonts w:hint="eastAsia"/>
          <w:color w:val="auto"/>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rPr>
          <w:rFonts w:hint="eastAsia" w:ascii="宋体" w:hAnsi="宋体"/>
          <w:b/>
          <w:color w:val="auto"/>
          <w:sz w:val="24"/>
          <w:highlight w:val="none"/>
        </w:rPr>
      </w:pPr>
      <w:r>
        <w:rPr>
          <w:rFonts w:hint="eastAsia" w:ascii="宋体" w:hAnsi="宋体"/>
          <w:b/>
          <w:color w:val="auto"/>
          <w:sz w:val="24"/>
          <w:highlight w:val="none"/>
        </w:rPr>
        <w:br w:type="page"/>
      </w: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42"/>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auto"/>
          <w:szCs w:val="21"/>
          <w:highlight w:val="none"/>
        </w:rPr>
      </w:pPr>
    </w:p>
    <w:p>
      <w:pPr>
        <w:pStyle w:val="42"/>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42"/>
        <w:spacing w:before="0" w:beforeAutospacing="0" w:after="0" w:afterAutospacing="0" w:line="360" w:lineRule="auto"/>
        <w:jc w:val="center"/>
        <w:rPr>
          <w:rStyle w:val="49"/>
          <w:rFonts w:cs="Times New Roman"/>
          <w:color w:val="auto"/>
          <w:highlight w:val="none"/>
        </w:rPr>
      </w:pPr>
      <w:r>
        <w:rPr>
          <w:rStyle w:val="49"/>
          <w:rFonts w:hint="eastAsia" w:cs="Times New Roman"/>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42"/>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42"/>
        <w:spacing w:before="0" w:beforeAutospacing="0" w:after="0" w:afterAutospacing="0" w:line="360" w:lineRule="auto"/>
        <w:jc w:val="center"/>
        <w:rPr>
          <w:rStyle w:val="49"/>
          <w:rFonts w:cs="Times New Roman"/>
          <w:color w:val="auto"/>
          <w:highlight w:val="none"/>
        </w:rPr>
      </w:pPr>
      <w:r>
        <w:rPr>
          <w:rStyle w:val="49"/>
          <w:rFonts w:hint="eastAsia" w:cs="Times New Roman"/>
          <w:b w:val="0"/>
          <w:color w:val="auto"/>
          <w:highlight w:val="none"/>
        </w:rPr>
        <w:t>质疑函</w:t>
      </w:r>
    </w:p>
    <w:p>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签字(签章)：                   公章：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bookmarkEnd w:id="2168"/>
    <w:p>
      <w:pPr>
        <w:spacing w:line="360" w:lineRule="auto"/>
        <w:jc w:val="left"/>
        <w:rPr>
          <w:rFonts w:ascii="仿宋_GB2312" w:hAnsi="仿宋" w:eastAsia="仿宋_GB2312"/>
          <w:color w:val="auto"/>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楷体_GB2312"/>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4"/>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DB9D8F9"/>
    <w:multiLevelType w:val="singleLevel"/>
    <w:tmpl w:val="0DB9D8F9"/>
    <w:lvl w:ilvl="0" w:tentative="0">
      <w:start w:val="1"/>
      <w:numFmt w:val="bullet"/>
      <w:lvlText w:val=""/>
      <w:lvlJc w:val="left"/>
      <w:pPr>
        <w:ind w:left="420" w:hanging="420"/>
      </w:pPr>
      <w:rPr>
        <w:rFonts w:hint="default" w:ascii="Wingdings" w:hAnsi="Wingdings"/>
      </w:r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5BAEA3DB"/>
    <w:multiLevelType w:val="singleLevel"/>
    <w:tmpl w:val="5BAEA3DB"/>
    <w:lvl w:ilvl="0" w:tentative="0">
      <w:start w:val="2"/>
      <w:numFmt w:val="decimal"/>
      <w:suff w:val="nothing"/>
      <w:lvlText w:val="（%1）"/>
      <w:lvlJc w:val="left"/>
    </w:lvl>
  </w:abstractNum>
  <w:abstractNum w:abstractNumId="36">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1"/>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35"/>
  </w:num>
  <w:num w:numId="33">
    <w:abstractNumId w:val="33"/>
  </w:num>
  <w:num w:numId="34">
    <w:abstractNumId w:val="2"/>
  </w:num>
  <w:num w:numId="35">
    <w:abstractNumId w:val="0"/>
  </w:num>
  <w:num w:numId="36">
    <w:abstractNumId w:val="34"/>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B3238"/>
    <w:rsid w:val="02513AD3"/>
    <w:rsid w:val="025B6C82"/>
    <w:rsid w:val="02F32FFC"/>
    <w:rsid w:val="05415B8D"/>
    <w:rsid w:val="055D5421"/>
    <w:rsid w:val="05E23528"/>
    <w:rsid w:val="08E9737B"/>
    <w:rsid w:val="097F381D"/>
    <w:rsid w:val="0ACE05D7"/>
    <w:rsid w:val="0B833A2A"/>
    <w:rsid w:val="0B9D61FB"/>
    <w:rsid w:val="0C3759F5"/>
    <w:rsid w:val="0C421E8C"/>
    <w:rsid w:val="0C5035BB"/>
    <w:rsid w:val="0D6214AA"/>
    <w:rsid w:val="0D735465"/>
    <w:rsid w:val="0DA6583B"/>
    <w:rsid w:val="0E2E5AB0"/>
    <w:rsid w:val="0E30321A"/>
    <w:rsid w:val="0EB82544"/>
    <w:rsid w:val="0ECE669B"/>
    <w:rsid w:val="0EEB051B"/>
    <w:rsid w:val="0F4315F5"/>
    <w:rsid w:val="0FEF50EF"/>
    <w:rsid w:val="1310792D"/>
    <w:rsid w:val="1331204B"/>
    <w:rsid w:val="156E0D26"/>
    <w:rsid w:val="167F7E34"/>
    <w:rsid w:val="16AA4182"/>
    <w:rsid w:val="175E693E"/>
    <w:rsid w:val="19185113"/>
    <w:rsid w:val="19622BDC"/>
    <w:rsid w:val="19DD6175"/>
    <w:rsid w:val="1A230556"/>
    <w:rsid w:val="1B9227DD"/>
    <w:rsid w:val="1C991E61"/>
    <w:rsid w:val="1CD46B76"/>
    <w:rsid w:val="1D241D81"/>
    <w:rsid w:val="1E34727F"/>
    <w:rsid w:val="1F8D1B58"/>
    <w:rsid w:val="1FBA5176"/>
    <w:rsid w:val="204F7E4F"/>
    <w:rsid w:val="20BE6CA5"/>
    <w:rsid w:val="212A1E87"/>
    <w:rsid w:val="212B0A36"/>
    <w:rsid w:val="212E3725"/>
    <w:rsid w:val="21CF5CF2"/>
    <w:rsid w:val="21F0084A"/>
    <w:rsid w:val="22427039"/>
    <w:rsid w:val="22AB7731"/>
    <w:rsid w:val="248158CD"/>
    <w:rsid w:val="25876994"/>
    <w:rsid w:val="25E24D5B"/>
    <w:rsid w:val="26413603"/>
    <w:rsid w:val="27221F7E"/>
    <w:rsid w:val="274517C9"/>
    <w:rsid w:val="27F96020"/>
    <w:rsid w:val="283260BE"/>
    <w:rsid w:val="28F462CE"/>
    <w:rsid w:val="299A07BA"/>
    <w:rsid w:val="29DD6D1C"/>
    <w:rsid w:val="2A515672"/>
    <w:rsid w:val="2AA62056"/>
    <w:rsid w:val="2BC16D67"/>
    <w:rsid w:val="2CFF241A"/>
    <w:rsid w:val="2D9D6DCE"/>
    <w:rsid w:val="2E0E0B66"/>
    <w:rsid w:val="2EA414CB"/>
    <w:rsid w:val="2F443AF1"/>
    <w:rsid w:val="2FA8323D"/>
    <w:rsid w:val="30F36D0F"/>
    <w:rsid w:val="311D2C13"/>
    <w:rsid w:val="323D7C0D"/>
    <w:rsid w:val="32B83797"/>
    <w:rsid w:val="336F02F9"/>
    <w:rsid w:val="33B14872"/>
    <w:rsid w:val="33BF377F"/>
    <w:rsid w:val="342C193B"/>
    <w:rsid w:val="35262FD6"/>
    <w:rsid w:val="35DE7FC1"/>
    <w:rsid w:val="36017065"/>
    <w:rsid w:val="36121410"/>
    <w:rsid w:val="368801F3"/>
    <w:rsid w:val="377D6D5D"/>
    <w:rsid w:val="384B0C09"/>
    <w:rsid w:val="38593838"/>
    <w:rsid w:val="39FA6443"/>
    <w:rsid w:val="3A8D5704"/>
    <w:rsid w:val="3AC96DF8"/>
    <w:rsid w:val="3B2319C9"/>
    <w:rsid w:val="3B2714BA"/>
    <w:rsid w:val="3C47049B"/>
    <w:rsid w:val="3C937640"/>
    <w:rsid w:val="3D6D107C"/>
    <w:rsid w:val="3E390C29"/>
    <w:rsid w:val="3E495BEB"/>
    <w:rsid w:val="3ECD6BDA"/>
    <w:rsid w:val="402406BD"/>
    <w:rsid w:val="40DE315C"/>
    <w:rsid w:val="416E4518"/>
    <w:rsid w:val="418070E3"/>
    <w:rsid w:val="41A21687"/>
    <w:rsid w:val="41A35612"/>
    <w:rsid w:val="421156DC"/>
    <w:rsid w:val="44023365"/>
    <w:rsid w:val="44056110"/>
    <w:rsid w:val="443D3AFC"/>
    <w:rsid w:val="449F6565"/>
    <w:rsid w:val="44C7369A"/>
    <w:rsid w:val="45610B8F"/>
    <w:rsid w:val="45F0646A"/>
    <w:rsid w:val="47B03BA9"/>
    <w:rsid w:val="48E856C7"/>
    <w:rsid w:val="4AD131F0"/>
    <w:rsid w:val="4BE10A3F"/>
    <w:rsid w:val="4C204020"/>
    <w:rsid w:val="4CBA6878"/>
    <w:rsid w:val="4E04493F"/>
    <w:rsid w:val="4F9A6D9E"/>
    <w:rsid w:val="502B5150"/>
    <w:rsid w:val="503A5393"/>
    <w:rsid w:val="50461F8A"/>
    <w:rsid w:val="510E2E01"/>
    <w:rsid w:val="511968B3"/>
    <w:rsid w:val="51575861"/>
    <w:rsid w:val="53892DB3"/>
    <w:rsid w:val="53AC47FA"/>
    <w:rsid w:val="5497438F"/>
    <w:rsid w:val="55524F2D"/>
    <w:rsid w:val="55A376D3"/>
    <w:rsid w:val="55A51501"/>
    <w:rsid w:val="55A90FF1"/>
    <w:rsid w:val="57575979"/>
    <w:rsid w:val="576E0066"/>
    <w:rsid w:val="5A6C09D0"/>
    <w:rsid w:val="5B765E19"/>
    <w:rsid w:val="5B9718EC"/>
    <w:rsid w:val="5B9C26A2"/>
    <w:rsid w:val="5BA67EC7"/>
    <w:rsid w:val="5C5F7B73"/>
    <w:rsid w:val="5D790702"/>
    <w:rsid w:val="5DD40BD5"/>
    <w:rsid w:val="5F553F98"/>
    <w:rsid w:val="5F9E149B"/>
    <w:rsid w:val="5FCF78A6"/>
    <w:rsid w:val="60154BB8"/>
    <w:rsid w:val="601C5F3B"/>
    <w:rsid w:val="6025767A"/>
    <w:rsid w:val="60760A2E"/>
    <w:rsid w:val="608929BD"/>
    <w:rsid w:val="61277968"/>
    <w:rsid w:val="62FD472A"/>
    <w:rsid w:val="64061775"/>
    <w:rsid w:val="64590086"/>
    <w:rsid w:val="648839C7"/>
    <w:rsid w:val="64D21405"/>
    <w:rsid w:val="65C56BAC"/>
    <w:rsid w:val="66250BF8"/>
    <w:rsid w:val="663568D1"/>
    <w:rsid w:val="663F3BFB"/>
    <w:rsid w:val="66B94CA7"/>
    <w:rsid w:val="67F0485E"/>
    <w:rsid w:val="68914293"/>
    <w:rsid w:val="6A476624"/>
    <w:rsid w:val="6A54159E"/>
    <w:rsid w:val="6A8B3BD0"/>
    <w:rsid w:val="6ACE10E0"/>
    <w:rsid w:val="6C172D01"/>
    <w:rsid w:val="6C9402E1"/>
    <w:rsid w:val="6D1B05CF"/>
    <w:rsid w:val="6D556D75"/>
    <w:rsid w:val="6E113433"/>
    <w:rsid w:val="6E194598"/>
    <w:rsid w:val="6EA43D07"/>
    <w:rsid w:val="6EC72090"/>
    <w:rsid w:val="6F2F6AED"/>
    <w:rsid w:val="7104581E"/>
    <w:rsid w:val="7276681C"/>
    <w:rsid w:val="74606B8C"/>
    <w:rsid w:val="75051529"/>
    <w:rsid w:val="756274F0"/>
    <w:rsid w:val="757C5983"/>
    <w:rsid w:val="75947170"/>
    <w:rsid w:val="76393874"/>
    <w:rsid w:val="765C05C3"/>
    <w:rsid w:val="767174B1"/>
    <w:rsid w:val="77012A91"/>
    <w:rsid w:val="78BD33D8"/>
    <w:rsid w:val="7A456C8B"/>
    <w:rsid w:val="7AA80E99"/>
    <w:rsid w:val="7B4524BD"/>
    <w:rsid w:val="7D0F1E92"/>
    <w:rsid w:val="7D732EF6"/>
    <w:rsid w:val="7DF917AF"/>
    <w:rsid w:val="7E1507D5"/>
    <w:rsid w:val="7F9B5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6"/>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09"/>
    <w:qFormat/>
    <w:uiPriority w:val="0"/>
    <w:pPr>
      <w:keepNext/>
      <w:keepLines/>
      <w:spacing w:before="280" w:after="290" w:line="376" w:lineRule="auto"/>
      <w:outlineLvl w:val="4"/>
    </w:pPr>
    <w:rPr>
      <w:b/>
      <w:sz w:val="28"/>
      <w:szCs w:val="20"/>
    </w:rPr>
  </w:style>
  <w:style w:type="paragraph" w:styleId="7">
    <w:name w:val="heading 6"/>
    <w:basedOn w:val="1"/>
    <w:next w:val="1"/>
    <w:link w:val="94"/>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3"/>
    <w:qFormat/>
    <w:uiPriority w:val="0"/>
    <w:pPr>
      <w:keepNext/>
      <w:keepLines/>
      <w:spacing w:before="240" w:after="64" w:line="320" w:lineRule="auto"/>
      <w:outlineLvl w:val="6"/>
    </w:pPr>
    <w:rPr>
      <w:b/>
      <w:sz w:val="24"/>
      <w:szCs w:val="20"/>
    </w:rPr>
  </w:style>
  <w:style w:type="paragraph" w:styleId="9">
    <w:name w:val="heading 8"/>
    <w:basedOn w:val="1"/>
    <w:next w:val="1"/>
    <w:link w:val="101"/>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3"/>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3"/>
    <w:autoRedefine/>
    <w:qFormat/>
    <w:uiPriority w:val="0"/>
    <w:pPr>
      <w:spacing w:line="360" w:lineRule="auto"/>
      <w:jc w:val="left"/>
    </w:pPr>
    <w:rPr>
      <w:sz w:val="24"/>
    </w:rPr>
  </w:style>
  <w:style w:type="paragraph" w:styleId="17">
    <w:name w:val="Body Text 3"/>
    <w:basedOn w:val="1"/>
    <w:link w:val="309"/>
    <w:autoRedefine/>
    <w:qFormat/>
    <w:uiPriority w:val="0"/>
    <w:pPr>
      <w:widowControl/>
      <w:spacing w:after="120"/>
      <w:jc w:val="left"/>
    </w:pPr>
    <w:rPr>
      <w:kern w:val="0"/>
      <w:sz w:val="16"/>
      <w:szCs w:val="16"/>
    </w:rPr>
  </w:style>
  <w:style w:type="paragraph" w:styleId="18">
    <w:name w:val="Body Text"/>
    <w:basedOn w:val="1"/>
    <w:next w:val="1"/>
    <w:link w:val="79"/>
    <w:autoRedefine/>
    <w:qFormat/>
    <w:uiPriority w:val="0"/>
    <w:pPr>
      <w:spacing w:after="120"/>
    </w:pPr>
  </w:style>
  <w:style w:type="paragraph" w:styleId="19">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1"/>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6"/>
    <w:autoRedefine/>
    <w:qFormat/>
    <w:uiPriority w:val="0"/>
    <w:pPr>
      <w:numPr>
        <w:ilvl w:val="0"/>
        <w:numId w:val="4"/>
      </w:numPr>
      <w:ind w:left="100" w:leftChars="2500"/>
    </w:pPr>
  </w:style>
  <w:style w:type="paragraph" w:styleId="27">
    <w:name w:val="Body Text Indent 2"/>
    <w:basedOn w:val="1"/>
    <w:link w:val="74"/>
    <w:autoRedefine/>
    <w:qFormat/>
    <w:uiPriority w:val="0"/>
    <w:pPr>
      <w:spacing w:line="480" w:lineRule="exact"/>
      <w:ind w:left="810" w:firstLine="675"/>
    </w:pPr>
    <w:rPr>
      <w:rFonts w:eastAsia="仿宋_GB2312"/>
      <w:sz w:val="30"/>
      <w:szCs w:val="20"/>
    </w:rPr>
  </w:style>
  <w:style w:type="paragraph" w:styleId="28">
    <w:name w:val="Balloon Text"/>
    <w:basedOn w:val="1"/>
    <w:link w:val="89"/>
    <w:autoRedefine/>
    <w:qFormat/>
    <w:uiPriority w:val="0"/>
    <w:rPr>
      <w:sz w:val="18"/>
      <w:szCs w:val="18"/>
    </w:rPr>
  </w:style>
  <w:style w:type="paragraph" w:styleId="29">
    <w:name w:val="footer"/>
    <w:basedOn w:val="1"/>
    <w:link w:val="134"/>
    <w:autoRedefine/>
    <w:qFormat/>
    <w:uiPriority w:val="0"/>
    <w:pPr>
      <w:tabs>
        <w:tab w:val="center" w:pos="4153"/>
        <w:tab w:val="right" w:pos="8306"/>
      </w:tabs>
      <w:snapToGrid w:val="0"/>
      <w:jc w:val="left"/>
    </w:pPr>
    <w:rPr>
      <w:sz w:val="18"/>
      <w:szCs w:val="20"/>
    </w:rPr>
  </w:style>
  <w:style w:type="paragraph" w:styleId="30">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4"/>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Normal Indent"/>
    <w:basedOn w:val="1"/>
    <w:qFormat/>
    <w:uiPriority w:val="0"/>
    <w:pPr>
      <w:ind w:firstLine="420"/>
    </w:pPr>
    <w:rPr>
      <w:rFonts w:ascii="Times New Roman" w:hAnsi="Times New Roman" w:eastAsia="宋体" w:cs="Times New Roman"/>
      <w:szCs w:val="20"/>
    </w:rPr>
  </w:style>
  <w:style w:type="paragraph" w:customStyle="1" w:styleId="55">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6">
    <w:name w:val="Default"/>
    <w:next w:val="57"/>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8"/>
    <w:qFormat/>
    <w:uiPriority w:val="0"/>
  </w:style>
  <w:style w:type="character" w:customStyle="1" w:styleId="63">
    <w:name w:val="正文首行缩进 2 Char"/>
    <w:link w:val="46"/>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6"/>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6"/>
    <w:link w:val="71"/>
    <w:autoRedefine/>
    <w:qFormat/>
    <w:uiPriority w:val="0"/>
  </w:style>
  <w:style w:type="character" w:customStyle="1" w:styleId="73">
    <w:name w:val="style71"/>
    <w:qFormat/>
    <w:uiPriority w:val="0"/>
    <w:rPr>
      <w:sz w:val="21"/>
      <w:szCs w:val="21"/>
    </w:rPr>
  </w:style>
  <w:style w:type="character" w:customStyle="1" w:styleId="74">
    <w:name w:val="正文文本缩进 2 Char"/>
    <w:link w:val="27"/>
    <w:qFormat/>
    <w:uiPriority w:val="0"/>
    <w:rPr>
      <w:rFonts w:eastAsia="仿宋_GB2312"/>
      <w:kern w:val="2"/>
      <w:sz w:val="30"/>
      <w:lang w:val="en-US" w:eastAsia="zh-CN" w:bidi="ar-SA"/>
    </w:rPr>
  </w:style>
  <w:style w:type="character" w:customStyle="1" w:styleId="75">
    <w:name w:val="正文文本缩进 3 Char"/>
    <w:link w:val="37"/>
    <w:qFormat/>
    <w:uiPriority w:val="0"/>
    <w:rPr>
      <w:rFonts w:ascii="宋体" w:hAnsi="宋体" w:eastAsia="宋体"/>
      <w:kern w:val="2"/>
      <w:sz w:val="21"/>
      <w:szCs w:val="24"/>
      <w:lang w:val="en-US" w:eastAsia="zh-CN" w:bidi="ar-SA"/>
    </w:rPr>
  </w:style>
  <w:style w:type="character" w:customStyle="1" w:styleId="76">
    <w:name w:val="ca-9"/>
    <w:basedOn w:val="48"/>
    <w:qFormat/>
    <w:uiPriority w:val="0"/>
  </w:style>
  <w:style w:type="character" w:customStyle="1" w:styleId="77">
    <w:name w:val="纯文本 Char"/>
    <w:link w:val="24"/>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8"/>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8"/>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28"/>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8"/>
    <w:qFormat/>
    <w:uiPriority w:val="0"/>
  </w:style>
  <w:style w:type="character" w:customStyle="1" w:styleId="92">
    <w:name w:val="不明显参考1"/>
    <w:qFormat/>
    <w:uiPriority w:val="0"/>
    <w:rPr>
      <w:smallCaps/>
      <w:color w:val="C0504D"/>
      <w:u w:val="single"/>
    </w:rPr>
  </w:style>
  <w:style w:type="character" w:customStyle="1" w:styleId="93">
    <w:name w:val="标题 9 Char"/>
    <w:link w:val="10"/>
    <w:qFormat/>
    <w:uiPriority w:val="0"/>
    <w:rPr>
      <w:rFonts w:ascii="Arial" w:hAnsi="Arial" w:eastAsia="黑体"/>
      <w:kern w:val="2"/>
      <w:sz w:val="21"/>
      <w:lang w:val="en-US" w:eastAsia="zh-CN" w:bidi="ar-SA"/>
    </w:rPr>
  </w:style>
  <w:style w:type="character" w:customStyle="1" w:styleId="94">
    <w:name w:val="标题 6 Char"/>
    <w:link w:val="7"/>
    <w:qFormat/>
    <w:uiPriority w:val="0"/>
    <w:rPr>
      <w:rFonts w:ascii="Arial" w:hAnsi="Arial" w:eastAsia="黑体"/>
      <w:b/>
      <w:kern w:val="2"/>
      <w:sz w:val="24"/>
      <w:lang w:val="en-US" w:eastAsia="zh-CN" w:bidi="ar-SA"/>
    </w:rPr>
  </w:style>
  <w:style w:type="character" w:customStyle="1" w:styleId="95">
    <w:name w:val="ca-10"/>
    <w:basedOn w:val="48"/>
    <w:qFormat/>
    <w:uiPriority w:val="0"/>
  </w:style>
  <w:style w:type="character" w:customStyle="1" w:styleId="96">
    <w:name w:val="标题 4 Char"/>
    <w:link w:val="5"/>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8"/>
    <w:qFormat/>
    <w:uiPriority w:val="0"/>
  </w:style>
  <w:style w:type="character" w:customStyle="1" w:styleId="101">
    <w:name w:val="标题 8 Char"/>
    <w:link w:val="9"/>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0"/>
    <w:qFormat/>
    <w:uiPriority w:val="0"/>
    <w:rPr>
      <w:rFonts w:ascii="仿宋_GB2312" w:eastAsia="仿宋_GB2312"/>
      <w:kern w:val="2"/>
      <w:sz w:val="32"/>
      <w:szCs w:val="24"/>
      <w:lang w:val="en-US" w:eastAsia="zh-CN" w:bidi="ar-SA"/>
    </w:rPr>
  </w:style>
  <w:style w:type="character" w:customStyle="1" w:styleId="105">
    <w:name w:val="标题 2 Char1"/>
    <w:link w:val="3"/>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6"/>
    <w:qFormat/>
    <w:uiPriority w:val="0"/>
    <w:rPr>
      <w:rFonts w:eastAsia="宋体"/>
      <w:b/>
      <w:kern w:val="2"/>
      <w:sz w:val="28"/>
      <w:lang w:val="en-US" w:eastAsia="zh-CN" w:bidi="ar-SA"/>
    </w:rPr>
  </w:style>
  <w:style w:type="character" w:customStyle="1" w:styleId="110">
    <w:name w:val="p12"/>
    <w:basedOn w:val="48"/>
    <w:qFormat/>
    <w:uiPriority w:val="0"/>
  </w:style>
  <w:style w:type="character" w:customStyle="1" w:styleId="111">
    <w:name w:val="正文缩进 Char2"/>
    <w:link w:val="55"/>
    <w:qFormat/>
    <w:uiPriority w:val="0"/>
    <w:rPr>
      <w:rFonts w:ascii="宋体" w:eastAsia="宋体"/>
      <w:sz w:val="34"/>
      <w:lang w:bidi="ar-SA"/>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8"/>
    <w:qFormat/>
    <w:uiPriority w:val="0"/>
    <w:rPr>
      <w:rFonts w:eastAsia="宋体"/>
      <w:b/>
      <w:kern w:val="2"/>
      <w:sz w:val="24"/>
      <w:lang w:val="en-US" w:eastAsia="zh-CN" w:bidi="ar-SA"/>
    </w:rPr>
  </w:style>
  <w:style w:type="character" w:customStyle="1" w:styleId="114">
    <w:name w:val="flname7"/>
    <w:basedOn w:val="48"/>
    <w:qFormat/>
    <w:uiPriority w:val="0"/>
  </w:style>
  <w:style w:type="character" w:customStyle="1" w:styleId="115">
    <w:name w:val="正文缩进 Char"/>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6"/>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8"/>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8"/>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paragraph" w:customStyle="1" w:styleId="315">
    <w:name w:val="立项表格"/>
    <w:basedOn w:val="1"/>
    <w:qFormat/>
    <w:uiPriority w:val="0"/>
    <w:pPr>
      <w:widowControl/>
      <w:spacing w:line="360" w:lineRule="auto"/>
      <w:contextualSpacing/>
      <w:jc w:val="center"/>
    </w:pPr>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30355</Words>
  <Characters>31760</Characters>
  <Lines>291</Lines>
  <Paragraphs>82</Paragraphs>
  <TotalTime>2</TotalTime>
  <ScaleCrop>false</ScaleCrop>
  <LinksUpToDate>false</LinksUpToDate>
  <CharactersWithSpaces>36638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锁锁</cp:lastModifiedBy>
  <cp:lastPrinted>2024-05-15T07:34:00Z</cp:lastPrinted>
  <dcterms:modified xsi:type="dcterms:W3CDTF">2024-06-04T08:32:00Z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4096CC01464247E7BE3161DFCC148142</vt:lpwstr>
  </property>
</Properties>
</file>